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44"/>
          <w:szCs w:val="44"/>
        </w:rPr>
      </w:pPr>
      <w:bookmarkStart w:id="0" w:name="OLE_LINK2"/>
      <w:r>
        <w:rPr>
          <w:rFonts w:hint="eastAsia"/>
          <w:sz w:val="44"/>
          <w:szCs w:val="44"/>
        </w:rPr>
        <w:t>广州大学城分散热力站节能优化改造项目</w:t>
      </w:r>
      <w:bookmarkEnd w:id="0"/>
    </w:p>
    <w:p>
      <w:pPr>
        <w:spacing w:line="360" w:lineRule="auto"/>
        <w:jc w:val="center"/>
        <w:rPr>
          <w:sz w:val="44"/>
          <w:szCs w:val="44"/>
        </w:rPr>
      </w:pPr>
      <w:r>
        <w:rPr>
          <w:rFonts w:hint="eastAsia"/>
          <w:sz w:val="44"/>
          <w:szCs w:val="44"/>
          <w:lang w:val="en-US" w:eastAsia="zh-CN"/>
        </w:rPr>
        <w:t>材料采购项目包组一电气自控柜</w:t>
      </w:r>
      <w:r>
        <w:rPr>
          <w:rFonts w:hint="eastAsia"/>
          <w:sz w:val="44"/>
          <w:szCs w:val="44"/>
        </w:rPr>
        <w:t>采购合同</w:t>
      </w:r>
    </w:p>
    <w:p>
      <w:pPr>
        <w:spacing w:line="360" w:lineRule="auto"/>
        <w:jc w:val="right"/>
        <w:rPr>
          <w:rFonts w:hint="default" w:eastAsia="宋体"/>
          <w:bCs/>
          <w:sz w:val="24"/>
          <w:lang w:val="en-US" w:eastAsia="zh-CN"/>
        </w:rPr>
      </w:pPr>
      <w:r>
        <w:rPr>
          <w:rFonts w:hint="eastAsia"/>
          <w:bCs/>
          <w:sz w:val="24"/>
        </w:rPr>
        <w:t>合同编号：</w:t>
      </w:r>
      <w:r>
        <w:rPr>
          <w:rFonts w:hint="eastAsia"/>
          <w:bCs/>
          <w:sz w:val="24"/>
          <w:lang w:val="en-US" w:eastAsia="zh-CN"/>
        </w:rPr>
        <w:t>NY</w:t>
      </w:r>
      <w:r>
        <w:rPr>
          <w:rFonts w:hint="eastAsia"/>
          <w:bCs/>
          <w:sz w:val="24"/>
        </w:rPr>
        <w:t>-202</w:t>
      </w:r>
      <w:r>
        <w:rPr>
          <w:rFonts w:hint="eastAsia"/>
          <w:bCs/>
          <w:sz w:val="24"/>
          <w:lang w:val="en-US" w:eastAsia="zh-CN"/>
        </w:rPr>
        <w:t>5-XXX</w:t>
      </w:r>
    </w:p>
    <w:p>
      <w:pPr>
        <w:spacing w:line="360" w:lineRule="auto"/>
        <w:rPr>
          <w:bCs/>
          <w:sz w:val="24"/>
        </w:rPr>
      </w:pPr>
      <w:r>
        <w:rPr>
          <w:rFonts w:hint="eastAsia"/>
          <w:bCs/>
          <w:sz w:val="24"/>
        </w:rPr>
        <w:t>甲方（需方）</w:t>
      </w:r>
      <w:r>
        <w:rPr>
          <w:rFonts w:hint="eastAsia"/>
          <w:sz w:val="24"/>
        </w:rPr>
        <w:t>：</w:t>
      </w:r>
      <w:r>
        <w:rPr>
          <w:rFonts w:hint="eastAsia"/>
          <w:sz w:val="24"/>
          <w:lang w:eastAsia="zh-CN"/>
        </w:rPr>
        <w:t>广州大学城能源发展有限公司</w:t>
      </w:r>
      <w:r>
        <w:rPr>
          <w:rFonts w:hint="eastAsia"/>
          <w:sz w:val="24"/>
        </w:rPr>
        <w:t>　</w:t>
      </w:r>
    </w:p>
    <w:p>
      <w:pPr>
        <w:spacing w:line="360" w:lineRule="auto"/>
        <w:rPr>
          <w:sz w:val="24"/>
        </w:rPr>
      </w:pPr>
      <w:r>
        <w:rPr>
          <w:rFonts w:hint="eastAsia"/>
          <w:bCs/>
          <w:sz w:val="24"/>
        </w:rPr>
        <w:t>乙方（供方）</w:t>
      </w:r>
      <w:r>
        <w:rPr>
          <w:rFonts w:hint="eastAsia"/>
          <w:sz w:val="24"/>
        </w:rPr>
        <w:t xml:space="preserve">： </w:t>
      </w:r>
    </w:p>
    <w:p>
      <w:pPr>
        <w:spacing w:line="360" w:lineRule="auto"/>
        <w:rPr>
          <w:sz w:val="24"/>
        </w:rPr>
      </w:pPr>
    </w:p>
    <w:p>
      <w:pPr>
        <w:spacing w:line="324" w:lineRule="auto"/>
        <w:ind w:firstLine="480" w:firstLineChars="200"/>
        <w:rPr>
          <w:sz w:val="24"/>
        </w:rPr>
      </w:pPr>
      <w:r>
        <w:rPr>
          <w:rFonts w:hint="eastAsia"/>
          <w:sz w:val="24"/>
        </w:rPr>
        <w:t>根据《中华人民共和国招标投标法》、《中华人民共和国民法典》、甲方的《招标文件》、乙方的《投标文件》及该项目的《中标通知书》，甲、乙双方同意签订本合同。详细技术说明及其他有关合同项目的特定信息由合同附件予以说明，合同附件及本项目的招标文件、投标文件、《中标通知书》等均为本合同不可分割的部分，双方同意共同遵守</w:t>
      </w:r>
      <w:r>
        <w:rPr>
          <w:rFonts w:hint="eastAsia"/>
          <w:sz w:val="24"/>
          <w:lang w:eastAsia="zh-CN"/>
        </w:rPr>
        <w:t>。</w:t>
      </w:r>
      <w:r>
        <w:rPr>
          <w:rFonts w:hint="eastAsia"/>
          <w:sz w:val="24"/>
        </w:rPr>
        <w:t>经供需双方平等友好协商一致，就</w:t>
      </w:r>
      <w:r>
        <w:rPr>
          <w:rFonts w:hint="eastAsia"/>
          <w:sz w:val="24"/>
          <w:u w:val="single"/>
          <w:lang w:val="en-US" w:eastAsia="zh-CN"/>
        </w:rPr>
        <w:t xml:space="preserve">            </w:t>
      </w:r>
      <w:r>
        <w:rPr>
          <w:rFonts w:hint="eastAsia"/>
          <w:sz w:val="24"/>
        </w:rPr>
        <w:t>采购项目，签订如下合同：</w:t>
      </w:r>
    </w:p>
    <w:p>
      <w:pPr>
        <w:numPr>
          <w:ilvl w:val="0"/>
          <w:numId w:val="1"/>
        </w:numPr>
        <w:tabs>
          <w:tab w:val="left" w:pos="1710"/>
        </w:tabs>
        <w:spacing w:line="360" w:lineRule="auto"/>
        <w:jc w:val="left"/>
        <w:rPr>
          <w:b/>
          <w:sz w:val="24"/>
        </w:rPr>
      </w:pPr>
      <w:r>
        <w:rPr>
          <w:rFonts w:hint="eastAsia"/>
          <w:b/>
          <w:sz w:val="24"/>
        </w:rPr>
        <w:t>产品名称、规格型号、生产厂家、单位、数量、单价、金额、交货期</w:t>
      </w:r>
    </w:p>
    <w:p>
      <w:pPr>
        <w:tabs>
          <w:tab w:val="left" w:pos="644"/>
        </w:tabs>
        <w:spacing w:line="360" w:lineRule="auto"/>
        <w:rPr>
          <w:sz w:val="24"/>
        </w:rPr>
      </w:pPr>
      <w:r>
        <w:rPr>
          <w:rFonts w:hint="eastAsia"/>
          <w:sz w:val="24"/>
        </w:rPr>
        <w:t xml:space="preserve">    （一）所采购的为控制柜及辅材，含箱体、通讯模块、交换机、通信网关等电器部件、各种必须的紧固螺丝以及随机配件和专业工具等</w:t>
      </w:r>
      <w:r>
        <w:rPr>
          <w:rFonts w:hint="eastAsia"/>
          <w:sz w:val="24"/>
          <w:highlight w:val="yellow"/>
        </w:rPr>
        <w:t>，具体按附件</w:t>
      </w:r>
      <w:r>
        <w:rPr>
          <w:rFonts w:hint="eastAsia"/>
          <w:sz w:val="24"/>
          <w:highlight w:val="yellow"/>
          <w:lang w:val="en-US" w:eastAsia="zh-CN"/>
        </w:rPr>
        <w:t>2</w:t>
      </w:r>
      <w:r>
        <w:rPr>
          <w:rFonts w:hint="eastAsia"/>
          <w:sz w:val="24"/>
          <w:highlight w:val="yellow"/>
        </w:rPr>
        <w:t>采购需求的要求。</w:t>
      </w:r>
      <w:r>
        <w:rPr>
          <w:rFonts w:hint="eastAsia"/>
          <w:sz w:val="24"/>
        </w:rPr>
        <w:t>购买设备种类、价格详见附件</w:t>
      </w:r>
      <w:r>
        <w:rPr>
          <w:rFonts w:hint="eastAsia"/>
          <w:sz w:val="24"/>
          <w:lang w:val="en-US" w:eastAsia="zh-CN"/>
        </w:rPr>
        <w:t>1报</w:t>
      </w:r>
      <w:r>
        <w:rPr>
          <w:rFonts w:hint="eastAsia"/>
          <w:sz w:val="24"/>
        </w:rPr>
        <w:t>价表。</w:t>
      </w:r>
    </w:p>
    <w:p>
      <w:pPr>
        <w:tabs>
          <w:tab w:val="left" w:pos="644"/>
        </w:tabs>
        <w:spacing w:line="360" w:lineRule="auto"/>
        <w:ind w:firstLine="480" w:firstLineChars="200"/>
        <w:rPr>
          <w:sz w:val="24"/>
        </w:rPr>
      </w:pPr>
      <w:r>
        <w:rPr>
          <w:rFonts w:hint="eastAsia"/>
          <w:sz w:val="24"/>
        </w:rPr>
        <w:t xml:space="preserve"> (二)合同总金额（含13%增值税专票税）为</w:t>
      </w:r>
      <w:r>
        <w:rPr>
          <w:sz w:val="24"/>
        </w:rPr>
        <w:t>元</w:t>
      </w:r>
      <w:r>
        <w:rPr>
          <w:rFonts w:hint="eastAsia"/>
          <w:sz w:val="24"/>
        </w:rPr>
        <w:t>，</w:t>
      </w:r>
      <w:r>
        <w:rPr>
          <w:sz w:val="24"/>
        </w:rPr>
        <w:t>大写</w:t>
      </w:r>
      <w:r>
        <w:rPr>
          <w:rFonts w:hint="eastAsia"/>
          <w:sz w:val="24"/>
        </w:rPr>
        <w:t>整，</w:t>
      </w:r>
      <w:r>
        <w:rPr>
          <w:sz w:val="24"/>
        </w:rPr>
        <w:t>不含税价</w:t>
      </w:r>
      <w:r>
        <w:rPr>
          <w:rFonts w:hint="eastAsia"/>
          <w:sz w:val="24"/>
        </w:rPr>
        <w:t>：元。该合同金额包含按要求完成本合同所需的运至需方指定交货地的货物、设计、采购、制造、供货、检测、试验、包装、搬运至</w:t>
      </w:r>
      <w:r>
        <w:rPr>
          <w:rFonts w:hint="eastAsia" w:ascii="宋体" w:hAnsi="宋体"/>
          <w:sz w:val="24"/>
          <w:lang w:val="en-US" w:eastAsia="zh-CN"/>
        </w:rPr>
        <w:t>大学城各</w:t>
      </w:r>
      <w:r>
        <w:rPr>
          <w:rFonts w:hint="eastAsia" w:ascii="宋体" w:hAnsi="宋体"/>
          <w:sz w:val="24"/>
        </w:rPr>
        <w:t>热力站</w:t>
      </w:r>
      <w:r>
        <w:rPr>
          <w:rFonts w:hint="eastAsia"/>
          <w:sz w:val="24"/>
        </w:rPr>
        <w:t>、装卸、设备的吊装、安装、调试、试运行</w:t>
      </w:r>
      <w:r>
        <w:rPr>
          <w:rFonts w:hint="eastAsia"/>
          <w:sz w:val="24"/>
          <w:lang w:eastAsia="zh-CN"/>
        </w:rPr>
        <w:t>、</w:t>
      </w:r>
      <w:r>
        <w:rPr>
          <w:rFonts w:hint="eastAsia"/>
          <w:sz w:val="24"/>
          <w:lang w:val="en-US" w:eastAsia="zh-CN"/>
        </w:rPr>
        <w:t>培训</w:t>
      </w:r>
      <w:r>
        <w:rPr>
          <w:rFonts w:hint="eastAsia"/>
          <w:sz w:val="24"/>
        </w:rPr>
        <w:t>等相关的配套服务直至设备正常投入生产使用所需费用、保险、随机附件（专用工器具和消耗件）、验收、维护以及相关技术服务（包括安装使用说明书、出厂合格证等技术资料、图纸的设计和提供、操作及培训手册等）、质保期保障、售后服务、全部人工、材料、随机零配件、标配工具、相关附件、组件、检测费、利润、</w:t>
      </w:r>
      <w:r>
        <w:rPr>
          <w:rFonts w:hint="eastAsia" w:ascii="宋体" w:hAnsi="宋体"/>
          <w:sz w:val="24"/>
        </w:rPr>
        <w:t>税费</w:t>
      </w:r>
      <w:r>
        <w:rPr>
          <w:rFonts w:hint="eastAsia"/>
          <w:sz w:val="24"/>
        </w:rPr>
        <w:t>、合同实施过程中应预见和不可预见费用等，</w:t>
      </w:r>
      <w:r>
        <w:rPr>
          <w:rFonts w:hint="eastAsia" w:ascii="宋体" w:hAnsi="宋体"/>
          <w:sz w:val="24"/>
        </w:rPr>
        <w:t>以及与设备有关的特殊要求等完成本合同工作所需的所有费用。除合同条件另有说明外，综合单价不得以任何方法调整或变更</w:t>
      </w:r>
      <w:r>
        <w:rPr>
          <w:rFonts w:hint="eastAsia"/>
          <w:sz w:val="24"/>
        </w:rPr>
        <w:t>且不论所供设备或者附属设备或者附件是否属于收费产品，供方均应向需方提供与正价产品同等的售后服务及质量保证。</w:t>
      </w:r>
      <w:r>
        <w:rPr>
          <w:rFonts w:hint="eastAsia" w:ascii="宋体" w:hAnsi="宋体"/>
          <w:sz w:val="24"/>
        </w:rPr>
        <w:t>如有漏报服务或产品，视为供方单方面作出的让利，需方</w:t>
      </w:r>
      <w:r>
        <w:rPr>
          <w:rFonts w:hint="eastAsia"/>
          <w:sz w:val="24"/>
        </w:rPr>
        <w:t>不另行增加费用。</w:t>
      </w:r>
    </w:p>
    <w:p>
      <w:pPr>
        <w:tabs>
          <w:tab w:val="left" w:pos="644"/>
        </w:tabs>
        <w:spacing w:line="360" w:lineRule="auto"/>
        <w:ind w:firstLine="480" w:firstLineChars="200"/>
        <w:rPr>
          <w:sz w:val="24"/>
        </w:rPr>
      </w:pPr>
      <w:r>
        <w:rPr>
          <w:rFonts w:hint="eastAsia"/>
          <w:sz w:val="24"/>
        </w:rPr>
        <w:t>(三)供方应对本合同所其承担的全部工作实施有效管理，以确保实施进度符合合同、未来项目预留及扩展集成的要求。供方不得将项目进行分解，不得对项目进行分包及转包。</w:t>
      </w:r>
    </w:p>
    <w:p>
      <w:pPr>
        <w:spacing w:line="360" w:lineRule="auto"/>
        <w:ind w:firstLine="480" w:firstLineChars="200"/>
        <w:rPr>
          <w:sz w:val="24"/>
        </w:rPr>
      </w:pPr>
      <w:r>
        <w:rPr>
          <w:rFonts w:hint="eastAsia"/>
          <w:sz w:val="24"/>
        </w:rPr>
        <w:t>（四）需方有权根据实际需要调整采购数量，供方应无条件服从，结算数量以甲乙双方共同验收合格并签字认可的实际供货数量为准。购买货物的数量和服务的内容作出调整时，将根据合同中该项货物的单价对合同总价进行调整。需方不会因增减供方合同范围内工作而给予供方额外的利润补偿。</w:t>
      </w:r>
    </w:p>
    <w:p>
      <w:pPr>
        <w:tabs>
          <w:tab w:val="left" w:pos="1710"/>
        </w:tabs>
        <w:spacing w:line="360" w:lineRule="auto"/>
        <w:ind w:firstLine="482" w:firstLineChars="200"/>
        <w:rPr>
          <w:b/>
          <w:sz w:val="24"/>
        </w:rPr>
      </w:pPr>
      <w:r>
        <w:rPr>
          <w:rFonts w:hint="eastAsia"/>
          <w:b/>
          <w:sz w:val="24"/>
        </w:rPr>
        <w:t>二、产品质量、技术标准要求及验收</w:t>
      </w:r>
    </w:p>
    <w:p>
      <w:pPr>
        <w:tabs>
          <w:tab w:val="left" w:pos="780"/>
        </w:tabs>
        <w:spacing w:line="360" w:lineRule="auto"/>
        <w:ind w:firstLine="480" w:firstLineChars="200"/>
        <w:rPr>
          <w:rFonts w:hint="eastAsia" w:ascii="宋体" w:hAnsi="宋体" w:cs="宋体"/>
          <w:sz w:val="24"/>
        </w:rPr>
      </w:pPr>
      <w:r>
        <w:rPr>
          <w:rFonts w:hint="eastAsia"/>
          <w:sz w:val="24"/>
        </w:rPr>
        <w:t>（一）供方按上述规格型号、数量及价款销售货物予需方。供方销售给需方的货物必须符合国家标准以及产品制造厂家提供的产品所应符合的标准，</w:t>
      </w:r>
      <w:r>
        <w:rPr>
          <w:rFonts w:hint="eastAsia" w:ascii="宋体" w:cs="宋体"/>
          <w:sz w:val="24"/>
          <w:szCs w:val="28"/>
        </w:rPr>
        <w:t>保证全部设备满足本项目规格型号要求</w:t>
      </w:r>
      <w:r>
        <w:rPr>
          <w:rFonts w:hint="eastAsia"/>
          <w:sz w:val="24"/>
        </w:rPr>
        <w:t>及所供货品牌与报价单所提供品牌相符，并在交货时提供关于货物能够正确进行使用、检查、维修保养的一切资料和技术资料。</w:t>
      </w:r>
    </w:p>
    <w:p>
      <w:pPr>
        <w:spacing w:line="360" w:lineRule="auto"/>
        <w:ind w:firstLine="480" w:firstLineChars="200"/>
        <w:jc w:val="left"/>
        <w:rPr>
          <w:rFonts w:hint="eastAsia" w:ascii="宋体" w:hAnsi="宋体" w:cs="宋体"/>
          <w:sz w:val="24"/>
        </w:rPr>
      </w:pPr>
      <w:r>
        <w:rPr>
          <w:rFonts w:hint="eastAsia" w:ascii="宋体" w:hAnsi="宋体" w:cs="宋体"/>
          <w:sz w:val="24"/>
        </w:rPr>
        <w:t>（二）供方在此向需方保证所供货物是未启封全新的，未使用过的、质量优良的、设计无缺陷的、权属明确的并且必须符合国家检测标准，其质量、规格及技术特征符合合同条款技术要求的规定，并且保证货物是用质量优良的原材料和良好的生产工艺加工而成的，所有有关的技术规格须与技术要求的规定一致。并且没有设计、材料及工艺上的缺陷，完全符合合同规定的品牌、质量、规格和性能的要求和质量标准，并有产品合格证或产品质量证明书。严禁提供假冒伪劣产品，一经发现，需方有权拒收或作退货处理，并解除本合同，且因此而产生的一切费用和责任由供方承担。在需方收货时，按以上标准进行现场初步验收。</w:t>
      </w:r>
    </w:p>
    <w:p>
      <w:pPr>
        <w:spacing w:line="360" w:lineRule="auto"/>
        <w:ind w:firstLine="480" w:firstLineChars="200"/>
        <w:jc w:val="left"/>
        <w:rPr>
          <w:rFonts w:hint="eastAsia" w:ascii="宋体" w:hAnsi="宋体" w:cs="宋体"/>
          <w:sz w:val="24"/>
        </w:rPr>
      </w:pPr>
      <w:r>
        <w:rPr>
          <w:rFonts w:hint="eastAsia" w:ascii="宋体" w:hAnsi="宋体" w:cs="宋体"/>
          <w:sz w:val="24"/>
        </w:rPr>
        <w:t>（三）如果需方在各种检测、测试、验收和使用过程中，发现质量不能达到合同文件规定的有关要求的，需方可要求供方退回合同款并承担违约责任。</w:t>
      </w:r>
    </w:p>
    <w:p>
      <w:pPr>
        <w:spacing w:line="360" w:lineRule="auto"/>
        <w:ind w:firstLine="480" w:firstLineChars="200"/>
        <w:jc w:val="left"/>
        <w:rPr>
          <w:rFonts w:hint="eastAsia" w:ascii="宋体" w:hAnsi="宋体" w:cs="宋体"/>
          <w:sz w:val="24"/>
        </w:rPr>
      </w:pPr>
      <w:r>
        <w:rPr>
          <w:rFonts w:hint="eastAsia" w:ascii="宋体" w:hAnsi="宋体" w:cs="宋体"/>
          <w:sz w:val="24"/>
        </w:rPr>
        <w:t>（四）验收前供方须提供P</w:t>
      </w:r>
      <w:r>
        <w:rPr>
          <w:rFonts w:ascii="宋体" w:hAnsi="宋体" w:cs="宋体"/>
          <w:sz w:val="24"/>
        </w:rPr>
        <w:t>LC</w:t>
      </w:r>
      <w:r>
        <w:rPr>
          <w:rFonts w:hint="eastAsia" w:ascii="宋体" w:hAnsi="宋体" w:cs="宋体"/>
          <w:sz w:val="24"/>
        </w:rPr>
        <w:t>及其模块的正品溯源证明。</w:t>
      </w:r>
    </w:p>
    <w:p>
      <w:pPr>
        <w:tabs>
          <w:tab w:val="left" w:pos="1710"/>
        </w:tabs>
        <w:spacing w:line="360" w:lineRule="auto"/>
        <w:ind w:firstLine="482" w:firstLineChars="200"/>
        <w:rPr>
          <w:b/>
          <w:sz w:val="24"/>
        </w:rPr>
      </w:pPr>
      <w:r>
        <w:rPr>
          <w:rFonts w:hint="eastAsia"/>
          <w:b/>
          <w:sz w:val="24"/>
        </w:rPr>
        <w:t>三、供方质保条件及期限</w:t>
      </w:r>
    </w:p>
    <w:p>
      <w:pPr>
        <w:tabs>
          <w:tab w:val="left" w:pos="1710"/>
        </w:tabs>
        <w:spacing w:line="360" w:lineRule="auto"/>
        <w:ind w:firstLine="480" w:firstLineChars="200"/>
        <w:rPr>
          <w:sz w:val="24"/>
        </w:rPr>
      </w:pPr>
      <w:r>
        <w:rPr>
          <w:rFonts w:hint="eastAsia"/>
          <w:sz w:val="24"/>
        </w:rPr>
        <w:t>保证产品按本合同要求供货，供方必须保证产品质量是合格且是原厂提供的。质保期为2年，质保期自到货现场验收调试并试运行，经需方验收合格签字之日起计算，质保期内若货物有重大瑕疵和质量问题，应重新计算质保期，起算时间为新补货的验收通过日。</w:t>
      </w:r>
      <w:r>
        <w:rPr>
          <w:rFonts w:hint="eastAsia"/>
          <w:sz w:val="24"/>
          <w:lang w:val="en-US" w:eastAsia="zh-CN"/>
        </w:rPr>
        <w:t>设备</w:t>
      </w:r>
      <w:r>
        <w:rPr>
          <w:rFonts w:hint="eastAsia" w:ascii="宋体" w:hAnsi="宋体"/>
          <w:sz w:val="24"/>
        </w:rPr>
        <w:t>投入运行</w:t>
      </w:r>
      <w:r>
        <w:rPr>
          <w:rFonts w:hint="eastAsia" w:ascii="宋体" w:hAnsi="宋体"/>
          <w:sz w:val="24"/>
          <w:lang w:val="en-US" w:eastAsia="zh-CN"/>
        </w:rPr>
        <w:t>期间，出现质量问题，供方收到续费通知后应于12</w:t>
      </w:r>
      <w:r>
        <w:rPr>
          <w:rFonts w:hint="eastAsia" w:ascii="宋体" w:hAnsi="宋体"/>
          <w:sz w:val="24"/>
        </w:rPr>
        <w:t>小时内到场</w:t>
      </w:r>
      <w:r>
        <w:rPr>
          <w:rFonts w:hint="eastAsia" w:ascii="宋体" w:hAnsi="宋体"/>
          <w:sz w:val="24"/>
          <w:lang w:val="en-US" w:eastAsia="zh-CN"/>
        </w:rPr>
        <w:t>提供</w:t>
      </w:r>
      <w:r>
        <w:rPr>
          <w:rFonts w:hint="eastAsia" w:ascii="宋体" w:hAnsi="宋体"/>
          <w:sz w:val="24"/>
        </w:rPr>
        <w:t>技术、维修服务。质保期内发生任何质量问题，均由供方负责上门到场包维修、包换、包退、包维护、更换零配件，达到合同约定的质量标准，并承担因此而产生的一切费用，出现故障应在收到需方通知后</w:t>
      </w:r>
      <w:r>
        <w:rPr>
          <w:rFonts w:hint="eastAsia" w:ascii="宋体" w:hAnsi="宋体"/>
          <w:sz w:val="24"/>
          <w:u w:val="single"/>
        </w:rPr>
        <w:t>4小时</w:t>
      </w:r>
      <w:r>
        <w:rPr>
          <w:rFonts w:hint="eastAsia" w:ascii="宋体" w:hAnsi="宋体"/>
          <w:sz w:val="24"/>
        </w:rPr>
        <w:t>内作出</w:t>
      </w:r>
      <w:r>
        <w:rPr>
          <w:rFonts w:hint="eastAsia" w:ascii="宋体" w:hAnsi="宋体"/>
          <w:sz w:val="24"/>
          <w:lang w:val="en-US" w:eastAsia="zh-CN"/>
        </w:rPr>
        <w:t>响</w:t>
      </w:r>
      <w:r>
        <w:rPr>
          <w:rFonts w:hint="eastAsia" w:ascii="宋体" w:hAnsi="宋体"/>
          <w:sz w:val="24"/>
        </w:rPr>
        <w:t>应，12小时内到场排除故障，</w:t>
      </w:r>
      <w:r>
        <w:rPr>
          <w:rFonts w:hint="eastAsia" w:ascii="宋体" w:hAnsi="宋体"/>
          <w:sz w:val="24"/>
          <w:lang w:val="en-US" w:eastAsia="zh-CN"/>
        </w:rPr>
        <w:t>直到</w:t>
      </w:r>
      <w:r>
        <w:rPr>
          <w:rFonts w:hint="eastAsia" w:ascii="宋体" w:hAnsi="宋体"/>
          <w:sz w:val="24"/>
        </w:rPr>
        <w:t>问题得到妥善解决</w:t>
      </w:r>
      <w:r>
        <w:rPr>
          <w:rFonts w:hint="eastAsia"/>
          <w:sz w:val="24"/>
        </w:rPr>
        <w:t>。特殊情况不会超过72小时。</w:t>
      </w:r>
      <w:r>
        <w:rPr>
          <w:rFonts w:hint="eastAsia" w:ascii="楷体_GB2312"/>
          <w:sz w:val="24"/>
        </w:rPr>
        <w:t>如果故障一时无法排除，供方保证在48小时内提供相应的备份方案</w:t>
      </w:r>
      <w:r>
        <w:rPr>
          <w:rFonts w:ascii="楷体_GB2312"/>
          <w:sz w:val="24"/>
        </w:rPr>
        <w:t>/</w:t>
      </w:r>
      <w:r>
        <w:rPr>
          <w:rFonts w:hint="eastAsia" w:ascii="楷体_GB2312"/>
          <w:sz w:val="24"/>
        </w:rPr>
        <w:t>设备，解决需方问题，提供不低于故障设备规格型号档次的备用设备供需方使用，直至故障设备修复或更换，以保证需方系统正常运行，质保期自修复或更换并验收合格后重新计算。否则，需方有权另请他人维修，费用由供方负担，并且供方需承担因未及时修复而对需方造成的损失赔偿责任。</w:t>
      </w:r>
      <w:r>
        <w:rPr>
          <w:rFonts w:hint="eastAsia"/>
          <w:sz w:val="24"/>
        </w:rPr>
        <w:t>质保期后供方继续提供维修，必需的费用由需方承担，供方应提供相关价格优惠。</w:t>
      </w:r>
    </w:p>
    <w:p>
      <w:pPr>
        <w:tabs>
          <w:tab w:val="left" w:pos="1710"/>
        </w:tabs>
        <w:spacing w:line="360" w:lineRule="auto"/>
        <w:ind w:firstLine="482" w:firstLineChars="200"/>
        <w:rPr>
          <w:b/>
          <w:sz w:val="24"/>
        </w:rPr>
      </w:pPr>
      <w:r>
        <w:rPr>
          <w:rFonts w:hint="eastAsia"/>
          <w:b/>
          <w:sz w:val="24"/>
        </w:rPr>
        <w:t>四、交货时间、地点、方式</w:t>
      </w:r>
    </w:p>
    <w:p>
      <w:pPr>
        <w:tabs>
          <w:tab w:val="left" w:pos="1710"/>
        </w:tabs>
        <w:spacing w:line="360" w:lineRule="auto"/>
        <w:ind w:firstLine="480" w:firstLineChars="200"/>
        <w:rPr>
          <w:sz w:val="24"/>
        </w:rPr>
      </w:pPr>
      <w:r>
        <w:rPr>
          <w:rFonts w:hint="eastAsia"/>
          <w:bCs/>
          <w:sz w:val="24"/>
          <w:highlight w:val="none"/>
          <w:lang w:val="en-US" w:eastAsia="zh-CN"/>
        </w:rPr>
        <w:t>供方</w:t>
      </w:r>
      <w:r>
        <w:rPr>
          <w:rFonts w:hint="eastAsia"/>
          <w:bCs/>
          <w:sz w:val="24"/>
          <w:highlight w:val="none"/>
        </w:rPr>
        <w:t>签订合同后7日内完成控制柜的最终优化设计，优化设计通过</w:t>
      </w:r>
      <w:r>
        <w:rPr>
          <w:rFonts w:hint="eastAsia"/>
          <w:bCs/>
          <w:sz w:val="24"/>
          <w:highlight w:val="none"/>
          <w:lang w:val="en-US" w:eastAsia="zh-CN"/>
        </w:rPr>
        <w:t>需方</w:t>
      </w:r>
      <w:r>
        <w:rPr>
          <w:rFonts w:hint="eastAsia"/>
          <w:bCs/>
          <w:sz w:val="24"/>
          <w:highlight w:val="none"/>
        </w:rPr>
        <w:t>审核后进行组装、测试。送货时必须包含控制柜的设计图纸，包括柜内配置图，接线图和点表清单。</w:t>
      </w:r>
      <w:r>
        <w:rPr>
          <w:rFonts w:hint="eastAsia"/>
          <w:bCs/>
          <w:sz w:val="24"/>
          <w:highlight w:val="none"/>
          <w:lang w:val="en-US" w:eastAsia="zh-CN"/>
        </w:rPr>
        <w:t>按甲方通分批送货。第一批次货期为20天：自优化设计通过甲方审核之日起算。后续批次交货按采购人通知时间，供方在收到采购人通知之日起10个日历天内将当批次材料送至采购人指定地点</w:t>
      </w:r>
      <w:r>
        <w:rPr>
          <w:rFonts w:hint="eastAsia"/>
          <w:kern w:val="0"/>
          <w:sz w:val="24"/>
        </w:rPr>
        <w:t>。</w:t>
      </w:r>
    </w:p>
    <w:p>
      <w:pPr>
        <w:tabs>
          <w:tab w:val="left" w:pos="1710"/>
        </w:tabs>
        <w:spacing w:line="360" w:lineRule="auto"/>
        <w:ind w:firstLine="482" w:firstLineChars="200"/>
        <w:rPr>
          <w:sz w:val="24"/>
        </w:rPr>
      </w:pPr>
      <w:r>
        <w:rPr>
          <w:rFonts w:hint="eastAsia"/>
          <w:b/>
          <w:sz w:val="24"/>
        </w:rPr>
        <w:t>五、运输、装卸方式、安装和费用负担</w:t>
      </w:r>
    </w:p>
    <w:p>
      <w:pPr>
        <w:tabs>
          <w:tab w:val="left" w:pos="1710"/>
        </w:tabs>
        <w:spacing w:line="360" w:lineRule="auto"/>
        <w:ind w:firstLine="480" w:firstLineChars="200"/>
        <w:rPr>
          <w:bCs/>
          <w:sz w:val="24"/>
        </w:rPr>
      </w:pPr>
      <w:r>
        <w:rPr>
          <w:rFonts w:hint="eastAsia"/>
          <w:bCs/>
          <w:sz w:val="24"/>
        </w:rPr>
        <w:t>由供方负责所有运输和装卸并承担风险及费用，如果根据货物的特殊性质需要添加额外的运输保护和防范措施的，由供方负责及承担相关费用。货物运送到需方指定地点后，由供方负责卸货，包吊卸、搬运、安装、调试等。货物验收通过前发生的任何破坏毁损等风险由供方承担。</w:t>
      </w:r>
    </w:p>
    <w:p>
      <w:pPr>
        <w:tabs>
          <w:tab w:val="left" w:pos="1710"/>
        </w:tabs>
        <w:spacing w:line="360" w:lineRule="auto"/>
        <w:ind w:firstLine="482" w:firstLineChars="200"/>
        <w:rPr>
          <w:b/>
          <w:sz w:val="24"/>
        </w:rPr>
      </w:pPr>
      <w:r>
        <w:rPr>
          <w:rFonts w:hint="eastAsia"/>
          <w:b/>
          <w:sz w:val="24"/>
        </w:rPr>
        <w:t>六、安装调试</w:t>
      </w:r>
    </w:p>
    <w:p>
      <w:pPr>
        <w:tabs>
          <w:tab w:val="left" w:pos="1710"/>
        </w:tabs>
        <w:spacing w:line="360" w:lineRule="auto"/>
        <w:ind w:firstLine="480" w:firstLineChars="200"/>
        <w:rPr>
          <w:sz w:val="24"/>
        </w:rPr>
      </w:pPr>
      <w:r>
        <w:rPr>
          <w:rFonts w:hint="eastAsia"/>
          <w:sz w:val="24"/>
        </w:rPr>
        <w:t>设备到现场后，由甲方负责接入现场设备，并完成系统调试，供方提供必要支持配合需方工作</w:t>
      </w:r>
      <w:r>
        <w:rPr>
          <w:rFonts w:hint="eastAsia" w:ascii="宋体" w:hAnsi="宋体"/>
          <w:sz w:val="24"/>
        </w:rPr>
        <w:t>。</w:t>
      </w:r>
    </w:p>
    <w:p>
      <w:pPr>
        <w:tabs>
          <w:tab w:val="left" w:pos="1710"/>
        </w:tabs>
        <w:spacing w:line="360" w:lineRule="auto"/>
        <w:ind w:firstLine="482" w:firstLineChars="200"/>
        <w:rPr>
          <w:b/>
          <w:sz w:val="24"/>
        </w:rPr>
      </w:pPr>
      <w:r>
        <w:rPr>
          <w:rFonts w:hint="eastAsia"/>
          <w:b/>
          <w:sz w:val="24"/>
        </w:rPr>
        <w:t>七、包装标准、包装物的供应与回收</w:t>
      </w:r>
    </w:p>
    <w:p>
      <w:pPr>
        <w:tabs>
          <w:tab w:val="left" w:pos="1710"/>
        </w:tabs>
        <w:spacing w:line="360" w:lineRule="auto"/>
        <w:ind w:firstLine="480" w:firstLineChars="200"/>
        <w:rPr>
          <w:sz w:val="24"/>
        </w:rPr>
      </w:pPr>
      <w:r>
        <w:rPr>
          <w:rFonts w:hint="eastAsia"/>
          <w:sz w:val="24"/>
        </w:rPr>
        <w:t>所供货物必须由供方妥善包装，适合长途运输，防潮、防湿、防震、防锈、牢固，耐野蛮装卸，以确保货物不致由上述原因受损，使之完好安全到达现场。货物内外包装不回收。任何由于包装不妥善所致之任何损失均由供方负担。</w:t>
      </w:r>
    </w:p>
    <w:p>
      <w:pPr>
        <w:tabs>
          <w:tab w:val="left" w:pos="1710"/>
        </w:tabs>
        <w:spacing w:line="360" w:lineRule="auto"/>
        <w:ind w:firstLine="482" w:firstLineChars="200"/>
        <w:rPr>
          <w:b/>
          <w:sz w:val="24"/>
        </w:rPr>
      </w:pPr>
      <w:r>
        <w:rPr>
          <w:rFonts w:hint="eastAsia"/>
          <w:b/>
          <w:sz w:val="24"/>
        </w:rPr>
        <w:t>八、检验标准</w:t>
      </w:r>
    </w:p>
    <w:p>
      <w:pPr>
        <w:spacing w:line="360" w:lineRule="auto"/>
        <w:ind w:firstLine="480" w:firstLineChars="200"/>
        <w:rPr>
          <w:sz w:val="24"/>
        </w:rPr>
      </w:pPr>
      <w:r>
        <w:rPr>
          <w:rFonts w:hint="eastAsia"/>
          <w:sz w:val="24"/>
        </w:rPr>
        <w:t>按国家和行业有关标准、产品说明书及合同约定及本项目文件所约定的质量和标准，以较高要求为准。</w:t>
      </w:r>
    </w:p>
    <w:p>
      <w:pPr>
        <w:tabs>
          <w:tab w:val="left" w:pos="1710"/>
        </w:tabs>
        <w:spacing w:line="360" w:lineRule="auto"/>
        <w:ind w:firstLine="480" w:firstLineChars="200"/>
        <w:rPr>
          <w:b/>
          <w:sz w:val="24"/>
        </w:rPr>
      </w:pPr>
      <w:r>
        <w:rPr>
          <w:rFonts w:hint="eastAsia"/>
          <w:sz w:val="24"/>
        </w:rPr>
        <w:t>九</w:t>
      </w:r>
      <w:r>
        <w:rPr>
          <w:rFonts w:hint="eastAsia"/>
          <w:b/>
          <w:sz w:val="24"/>
        </w:rPr>
        <w:t>、验收方法与时间</w:t>
      </w:r>
    </w:p>
    <w:p>
      <w:pPr>
        <w:tabs>
          <w:tab w:val="left" w:pos="1710"/>
        </w:tabs>
        <w:spacing w:line="360" w:lineRule="auto"/>
        <w:ind w:firstLine="480" w:firstLineChars="200"/>
        <w:rPr>
          <w:sz w:val="24"/>
        </w:rPr>
      </w:pPr>
      <w:r>
        <w:rPr>
          <w:rFonts w:hint="eastAsia"/>
          <w:sz w:val="24"/>
        </w:rPr>
        <w:t>（一）货物到达指定收货地点后，供、需方根据国家有关规定的质量标准、合同及供方提供的技术资料等方面的规定对采购货物</w:t>
      </w:r>
      <w:r>
        <w:rPr>
          <w:rFonts w:hint="eastAsia"/>
          <w:sz w:val="24"/>
          <w:lang w:val="en-US" w:eastAsia="zh-CN"/>
        </w:rPr>
        <w:t>进行到货</w:t>
      </w:r>
      <w:r>
        <w:rPr>
          <w:rFonts w:hint="eastAsia"/>
          <w:sz w:val="24"/>
        </w:rPr>
        <w:t>验收，双方代表签署合同货物的</w:t>
      </w:r>
      <w:r>
        <w:rPr>
          <w:rFonts w:hint="eastAsia"/>
          <w:sz w:val="24"/>
          <w:lang w:val="en-US" w:eastAsia="zh-CN"/>
        </w:rPr>
        <w:t>到货</w:t>
      </w:r>
      <w:r>
        <w:rPr>
          <w:rFonts w:hint="eastAsia"/>
          <w:sz w:val="24"/>
        </w:rPr>
        <w:t>验收记录。如发生货物缺少、损坏、型号不符合合同要求及存在隐蔽瑕疵、质量不符合约定的标准或设备产品的资料不全的，需方有权拒绝收货，或者由供方在需方或需方委托的第三方提出异议</w:t>
      </w:r>
      <w:r>
        <w:rPr>
          <w:sz w:val="24"/>
        </w:rPr>
        <w:t>  3  </w:t>
      </w:r>
      <w:r>
        <w:rPr>
          <w:rFonts w:hint="eastAsia"/>
          <w:sz w:val="24"/>
        </w:rPr>
        <w:t>天内负责纠正并承担全部费用。设备产品的所有权自需方在验收记录上签收之时起移交，需方签收并不代表需方对设备产品质量的最终确认，如在使用过程中发现设备产品有质量问题，需方有权要求更换、退货或赔偿，供方须无条件服从。对隐蔽瑕疵异议的提出，可在合理期限内提出，不限于点验结束时。</w:t>
      </w:r>
    </w:p>
    <w:p>
      <w:pPr>
        <w:tabs>
          <w:tab w:val="left" w:pos="1710"/>
        </w:tabs>
        <w:spacing w:line="360" w:lineRule="auto"/>
        <w:ind w:firstLine="480" w:firstLineChars="200"/>
        <w:rPr>
          <w:rFonts w:hint="eastAsia" w:eastAsia="宋体"/>
          <w:sz w:val="24"/>
          <w:lang w:eastAsia="zh-CN"/>
        </w:rPr>
      </w:pPr>
      <w:r>
        <w:rPr>
          <w:rFonts w:hint="eastAsia"/>
          <w:sz w:val="24"/>
        </w:rPr>
        <w:t>（二）供方积极</w:t>
      </w:r>
      <w:r>
        <w:rPr>
          <w:rFonts w:hint="eastAsia" w:ascii="宋体" w:hAnsi="宋体"/>
          <w:sz w:val="24"/>
        </w:rPr>
        <w:t>配合需方系统</w:t>
      </w:r>
      <w:r>
        <w:rPr>
          <w:rFonts w:ascii="宋体" w:hAnsi="宋体"/>
          <w:sz w:val="24"/>
        </w:rPr>
        <w:t>试运行，试运行期间</w:t>
      </w:r>
      <w:r>
        <w:rPr>
          <w:rFonts w:hint="eastAsia" w:ascii="宋体" w:hAnsi="宋体"/>
          <w:sz w:val="24"/>
          <w:lang w:val="en-US" w:eastAsia="zh-CN"/>
        </w:rPr>
        <w:t>应</w:t>
      </w:r>
      <w:r>
        <w:rPr>
          <w:rFonts w:ascii="宋体" w:hAnsi="宋体"/>
          <w:sz w:val="24"/>
        </w:rPr>
        <w:t>无任何故障，</w:t>
      </w:r>
      <w:r>
        <w:rPr>
          <w:rFonts w:hint="eastAsia" w:ascii="宋体" w:hAnsi="宋体"/>
          <w:sz w:val="24"/>
        </w:rPr>
        <w:t>满足需方技术要求。合同货物货到现场安装验收试运行后，</w:t>
      </w:r>
      <w:r>
        <w:rPr>
          <w:rFonts w:hint="eastAsia" w:ascii="宋体" w:hAnsi="宋体"/>
          <w:sz w:val="24"/>
          <w:lang w:val="en-US" w:eastAsia="zh-CN"/>
        </w:rPr>
        <w:t>由</w:t>
      </w:r>
      <w:r>
        <w:rPr>
          <w:rFonts w:hint="eastAsia" w:ascii="宋体" w:hAnsi="宋体"/>
          <w:sz w:val="24"/>
        </w:rPr>
        <w:t>双方</w:t>
      </w:r>
      <w:r>
        <w:rPr>
          <w:rFonts w:hint="eastAsia" w:ascii="宋体" w:hAnsi="宋体"/>
          <w:sz w:val="24"/>
          <w:lang w:val="en-US" w:eastAsia="zh-CN"/>
        </w:rPr>
        <w:t>进行最终</w:t>
      </w:r>
      <w:r>
        <w:rPr>
          <w:rFonts w:hint="eastAsia" w:ascii="宋体" w:hAnsi="宋体"/>
          <w:sz w:val="24"/>
        </w:rPr>
        <w:t>验收</w:t>
      </w:r>
      <w:r>
        <w:rPr>
          <w:rFonts w:hint="eastAsia" w:ascii="宋体" w:hAnsi="宋体"/>
          <w:sz w:val="24"/>
          <w:lang w:eastAsia="zh-CN"/>
        </w:rPr>
        <w:t>。</w:t>
      </w:r>
    </w:p>
    <w:p>
      <w:pPr>
        <w:tabs>
          <w:tab w:val="left" w:pos="1710"/>
        </w:tabs>
        <w:spacing w:line="360" w:lineRule="auto"/>
        <w:ind w:firstLine="480" w:firstLineChars="200"/>
        <w:rPr>
          <w:sz w:val="24"/>
        </w:rPr>
      </w:pPr>
      <w:r>
        <w:rPr>
          <w:rFonts w:hint="eastAsia"/>
          <w:sz w:val="24"/>
        </w:rPr>
        <w:t>（三）供需双方如对验收结果有异议，应到需方认可的有资质的第三方检测机构进行质量鉴定（属进口商品的，送国家检验检疫局鉴定）。检验结果达到技术要求即认为合格，若货物经检验合格，相关检测费用及运输费用由需方负责；否则，将视为不合格，相关检测费用及运输费用由供方负责。如本合同货物无相关检测机构可进行质量鉴定，则以需方验收结果为准。</w:t>
      </w:r>
    </w:p>
    <w:p>
      <w:pPr>
        <w:tabs>
          <w:tab w:val="left" w:pos="1710"/>
        </w:tabs>
        <w:spacing w:line="360" w:lineRule="auto"/>
        <w:ind w:firstLine="480" w:firstLineChars="200"/>
        <w:rPr>
          <w:sz w:val="24"/>
        </w:rPr>
      </w:pPr>
      <w:r>
        <w:rPr>
          <w:rFonts w:hint="eastAsia"/>
          <w:sz w:val="24"/>
        </w:rPr>
        <w:t>（四）对验收时确认为不合格货物或经第三方检测机构鉴定为不合格货物的，视为供方违约。同时，需方有权拒绝接受该批货物并有权要求更换，由此产生的一切责任由供方承担。</w:t>
      </w:r>
    </w:p>
    <w:p>
      <w:pPr>
        <w:tabs>
          <w:tab w:val="left" w:pos="1710"/>
        </w:tabs>
        <w:spacing w:line="360" w:lineRule="auto"/>
        <w:ind w:firstLine="482" w:firstLineChars="200"/>
        <w:rPr>
          <w:b/>
          <w:sz w:val="24"/>
        </w:rPr>
      </w:pPr>
      <w:r>
        <w:rPr>
          <w:rFonts w:hint="eastAsia"/>
          <w:b/>
          <w:sz w:val="24"/>
        </w:rPr>
        <w:t>十、技术文件</w:t>
      </w:r>
    </w:p>
    <w:p>
      <w:pPr>
        <w:tabs>
          <w:tab w:val="left" w:pos="780"/>
        </w:tabs>
        <w:spacing w:line="360" w:lineRule="auto"/>
        <w:ind w:firstLine="480" w:firstLineChars="200"/>
        <w:rPr>
          <w:sz w:val="24"/>
        </w:rPr>
      </w:pPr>
      <w:r>
        <w:rPr>
          <w:rFonts w:hint="eastAsia"/>
          <w:sz w:val="24"/>
        </w:rPr>
        <w:t>（一）供方应将所提供货物的技术参数、产品说明书、合格证、出厂质量检测报告、有关图纸、专用工具、控制软件及需方要求供方提供关于货物能够正确进行安装、使用、检查、维修保养等一切资料和有关配件等交付给需方，使用操作及安全须知等重要资料应附有中文说明。供方不能完整交付货物及资料，必须负责在</w:t>
      </w:r>
      <w:r>
        <w:rPr>
          <w:sz w:val="24"/>
        </w:rPr>
        <w:t>3</w:t>
      </w:r>
      <w:r>
        <w:rPr>
          <w:rFonts w:hint="eastAsia"/>
          <w:sz w:val="24"/>
        </w:rPr>
        <w:t>天内补齐，否则视为未按合同约定交货，也不予以实施安装。</w:t>
      </w:r>
    </w:p>
    <w:p>
      <w:pPr>
        <w:tabs>
          <w:tab w:val="left" w:pos="780"/>
        </w:tabs>
        <w:spacing w:line="360" w:lineRule="auto"/>
        <w:ind w:firstLine="480" w:firstLineChars="200"/>
        <w:rPr>
          <w:sz w:val="24"/>
        </w:rPr>
      </w:pPr>
      <w:r>
        <w:rPr>
          <w:rFonts w:hint="eastAsia"/>
          <w:sz w:val="24"/>
        </w:rPr>
        <w:t>（二）技术文件及图纸要</w:t>
      </w:r>
      <w:r>
        <w:rPr>
          <w:rFonts w:hint="eastAsia" w:ascii="宋体" w:cs="宋体"/>
          <w:sz w:val="24"/>
          <w:szCs w:val="28"/>
        </w:rPr>
        <w:t>清晰、正确、完整，能满足全部设备安装、正常运行和维护的要求。</w:t>
      </w:r>
    </w:p>
    <w:p>
      <w:pPr>
        <w:tabs>
          <w:tab w:val="left" w:pos="1710"/>
        </w:tabs>
        <w:spacing w:line="360" w:lineRule="auto"/>
        <w:ind w:firstLine="482" w:firstLineChars="200"/>
        <w:rPr>
          <w:b/>
          <w:sz w:val="24"/>
        </w:rPr>
      </w:pPr>
      <w:r>
        <w:rPr>
          <w:rFonts w:hint="eastAsia"/>
          <w:b/>
          <w:sz w:val="24"/>
        </w:rPr>
        <w:t>十一、结算方式及期限</w:t>
      </w:r>
    </w:p>
    <w:p>
      <w:pPr>
        <w:tabs>
          <w:tab w:val="left" w:pos="1710"/>
        </w:tabs>
        <w:spacing w:line="360" w:lineRule="auto"/>
        <w:ind w:firstLine="480" w:firstLineChars="200"/>
        <w:rPr>
          <w:sz w:val="24"/>
          <w:highlight w:val="none"/>
        </w:rPr>
      </w:pPr>
      <w:r>
        <w:rPr>
          <w:rFonts w:hint="eastAsia"/>
          <w:sz w:val="24"/>
          <w:highlight w:val="none"/>
          <w:lang w:val="en-US" w:eastAsia="zh-CN"/>
        </w:rPr>
        <w:t>乙方提供优化设计图纸并通过甲方审核后，预付合同总价的20%，合同</w:t>
      </w:r>
      <w:r>
        <w:rPr>
          <w:rFonts w:hint="eastAsia"/>
          <w:sz w:val="24"/>
          <w:highlight w:val="none"/>
        </w:rPr>
        <w:t>货物</w:t>
      </w:r>
      <w:r>
        <w:rPr>
          <w:rFonts w:hint="eastAsia"/>
          <w:sz w:val="24"/>
          <w:highlight w:val="none"/>
          <w:lang w:val="en-US" w:eastAsia="zh-CN"/>
        </w:rPr>
        <w:t>分批次</w:t>
      </w:r>
      <w:r>
        <w:rPr>
          <w:rFonts w:hint="eastAsia"/>
          <w:sz w:val="24"/>
          <w:highlight w:val="none"/>
        </w:rPr>
        <w:t>货到现场安装验收试运行后，并经双方验收合格签字和收到供方相关的技术资料后</w:t>
      </w:r>
      <w:r>
        <w:rPr>
          <w:rFonts w:hint="eastAsia"/>
          <w:sz w:val="24"/>
          <w:highlight w:val="none"/>
          <w:lang w:val="en-US" w:eastAsia="zh-CN"/>
        </w:rPr>
        <w:t>15个工作日内支付至该批次结算</w:t>
      </w:r>
      <w:r>
        <w:rPr>
          <w:rFonts w:hint="eastAsia"/>
          <w:sz w:val="24"/>
          <w:highlight w:val="none"/>
        </w:rPr>
        <w:t>价的9</w:t>
      </w:r>
      <w:r>
        <w:rPr>
          <w:rFonts w:hint="eastAsia"/>
          <w:sz w:val="24"/>
          <w:highlight w:val="none"/>
          <w:lang w:val="en-US" w:eastAsia="zh-CN"/>
        </w:rPr>
        <w:t>5</w:t>
      </w:r>
      <w:r>
        <w:rPr>
          <w:rFonts w:hint="eastAsia"/>
          <w:sz w:val="24"/>
          <w:highlight w:val="none"/>
        </w:rPr>
        <w:t>%款项</w:t>
      </w:r>
      <w:r>
        <w:rPr>
          <w:rFonts w:hint="eastAsia"/>
          <w:sz w:val="24"/>
          <w:highlight w:val="none"/>
          <w:lang w:eastAsia="zh-CN"/>
        </w:rPr>
        <w:t>（</w:t>
      </w:r>
      <w:r>
        <w:rPr>
          <w:rFonts w:hint="eastAsia"/>
          <w:sz w:val="24"/>
          <w:highlight w:val="none"/>
          <w:lang w:val="en-US" w:eastAsia="zh-CN"/>
        </w:rPr>
        <w:t>含预付款</w:t>
      </w:r>
      <w:r>
        <w:rPr>
          <w:rFonts w:hint="eastAsia"/>
          <w:sz w:val="24"/>
          <w:highlight w:val="none"/>
          <w:lang w:eastAsia="zh-CN"/>
        </w:rPr>
        <w:t>）</w:t>
      </w:r>
      <w:r>
        <w:rPr>
          <w:rFonts w:hint="eastAsia"/>
          <w:sz w:val="24"/>
          <w:highlight w:val="none"/>
        </w:rPr>
        <w:t>，同时余下结算价的</w:t>
      </w:r>
      <w:r>
        <w:rPr>
          <w:rFonts w:hint="eastAsia"/>
          <w:sz w:val="24"/>
          <w:highlight w:val="none"/>
          <w:lang w:val="en-US" w:eastAsia="zh-CN"/>
        </w:rPr>
        <w:t>5</w:t>
      </w:r>
      <w:r>
        <w:rPr>
          <w:rFonts w:hint="eastAsia"/>
          <w:sz w:val="24"/>
          <w:highlight w:val="none"/>
        </w:rPr>
        <w:t>%作为质保金，质保期为2年，质保期满供方履行完质保期义务后付清余款。付款前供方开具合法有效的相应金额增值税(含13%增值税)专用发票给需方。</w:t>
      </w:r>
    </w:p>
    <w:p>
      <w:pPr>
        <w:tabs>
          <w:tab w:val="left" w:pos="1710"/>
        </w:tabs>
        <w:spacing w:line="360" w:lineRule="auto"/>
        <w:ind w:firstLine="482" w:firstLineChars="200"/>
        <w:rPr>
          <w:b/>
          <w:sz w:val="24"/>
        </w:rPr>
      </w:pPr>
      <w:r>
        <w:rPr>
          <w:rFonts w:hint="eastAsia"/>
          <w:b/>
          <w:sz w:val="24"/>
        </w:rPr>
        <w:t>十二、随机的必备品、配件、工具数量及供应办法：</w:t>
      </w:r>
      <w:r>
        <w:rPr>
          <w:rFonts w:hint="eastAsia"/>
          <w:sz w:val="24"/>
        </w:rPr>
        <w:t>标准配置，包括但不限于：说明书、合格证、出厂质量检测报告、图纸及有关配件。</w:t>
      </w:r>
    </w:p>
    <w:p>
      <w:pPr>
        <w:tabs>
          <w:tab w:val="left" w:pos="1710"/>
        </w:tabs>
        <w:spacing w:line="360" w:lineRule="auto"/>
        <w:ind w:firstLine="482" w:firstLineChars="200"/>
        <w:rPr>
          <w:b/>
          <w:sz w:val="24"/>
        </w:rPr>
      </w:pPr>
      <w:r>
        <w:rPr>
          <w:rFonts w:hint="eastAsia"/>
          <w:b/>
          <w:sz w:val="24"/>
        </w:rPr>
        <w:t>十三、提出异议的时间和办法</w:t>
      </w:r>
    </w:p>
    <w:p>
      <w:pPr>
        <w:tabs>
          <w:tab w:val="left" w:pos="1710"/>
        </w:tabs>
        <w:spacing w:line="360" w:lineRule="auto"/>
        <w:ind w:firstLine="480" w:firstLineChars="200"/>
        <w:rPr>
          <w:sz w:val="24"/>
        </w:rPr>
      </w:pPr>
      <w:r>
        <w:rPr>
          <w:rFonts w:hint="eastAsia"/>
          <w:sz w:val="24"/>
        </w:rPr>
        <w:t>需方在验收中，如对货品质量有异议，应在</w:t>
      </w:r>
      <w:r>
        <w:rPr>
          <w:sz w:val="24"/>
        </w:rPr>
        <w:t>10</w:t>
      </w:r>
      <w:r>
        <w:rPr>
          <w:rFonts w:hint="eastAsia"/>
          <w:sz w:val="24"/>
        </w:rPr>
        <w:t>个工作日内向供方提出异议，隐蔽性瑕疵和质量问题应在质保期内提出。需方提出异议后，供方应当无条件对货品进行更换且承担运费。货物的质保期从安装验收之日起重新计算。</w:t>
      </w:r>
    </w:p>
    <w:p>
      <w:pPr>
        <w:tabs>
          <w:tab w:val="left" w:pos="1710"/>
        </w:tabs>
        <w:spacing w:line="360" w:lineRule="auto"/>
        <w:ind w:firstLine="482" w:firstLineChars="200"/>
        <w:rPr>
          <w:b/>
          <w:sz w:val="24"/>
        </w:rPr>
      </w:pPr>
      <w:r>
        <w:rPr>
          <w:rFonts w:hint="eastAsia"/>
          <w:b/>
          <w:sz w:val="24"/>
        </w:rPr>
        <w:t>十四、如需提供担保，另立合同担保书、作为本合同附件。</w:t>
      </w:r>
    </w:p>
    <w:p>
      <w:pPr>
        <w:tabs>
          <w:tab w:val="left" w:pos="1710"/>
        </w:tabs>
        <w:spacing w:line="360" w:lineRule="auto"/>
        <w:ind w:firstLine="482" w:firstLineChars="200"/>
        <w:rPr>
          <w:b/>
          <w:sz w:val="24"/>
        </w:rPr>
      </w:pPr>
      <w:r>
        <w:rPr>
          <w:rFonts w:hint="eastAsia"/>
          <w:b/>
          <w:sz w:val="24"/>
        </w:rPr>
        <w:t>十五、违约责任</w:t>
      </w:r>
    </w:p>
    <w:p>
      <w:pPr>
        <w:tabs>
          <w:tab w:val="left" w:pos="420"/>
        </w:tabs>
        <w:spacing w:line="360" w:lineRule="auto"/>
        <w:ind w:firstLine="480" w:firstLineChars="200"/>
        <w:rPr>
          <w:rFonts w:hint="eastAsia" w:ascii="宋体" w:hAnsi="宋体" w:cs="宋体"/>
          <w:sz w:val="24"/>
        </w:rPr>
      </w:pPr>
      <w:r>
        <w:rPr>
          <w:rFonts w:hint="eastAsia" w:asciiTheme="minorEastAsia" w:hAnsiTheme="minorEastAsia" w:eastAsiaTheme="minorEastAsia"/>
          <w:sz w:val="24"/>
        </w:rPr>
        <w:t>（一）</w:t>
      </w:r>
      <w:r>
        <w:rPr>
          <w:rFonts w:hint="eastAsia"/>
          <w:sz w:val="24"/>
        </w:rPr>
        <w:t>供方未按附件2采购需求的要求或按双方确定的要求，在规定时间内完成优化设计、提供货物，每逾期一天，应向需方支付不能交货部分货款的5%的违约金</w:t>
      </w:r>
      <w:r>
        <w:rPr>
          <w:rFonts w:hint="eastAsia"/>
          <w:sz w:val="24"/>
          <w:lang w:eastAsia="zh-CN"/>
        </w:rPr>
        <w:t>。</w:t>
      </w:r>
      <w:r>
        <w:rPr>
          <w:rFonts w:hint="eastAsia"/>
          <w:sz w:val="24"/>
        </w:rPr>
        <w:t>供方符合要求的最终优化设计超期7天、逾期交货超过10_天、三次厂验不合格的，</w:t>
      </w:r>
      <w:r>
        <w:rPr>
          <w:rFonts w:hint="eastAsia"/>
          <w:sz w:val="24"/>
          <w:lang w:val="en-US" w:eastAsia="zh-CN"/>
        </w:rPr>
        <w:t>或</w:t>
      </w:r>
      <w:r>
        <w:rPr>
          <w:rFonts w:hint="eastAsia" w:ascii="宋体" w:hAnsi="宋体" w:cs="宋体"/>
          <w:sz w:val="24"/>
        </w:rPr>
        <w:t>因供方自身设计能力、技术方案、提交资料质量等供方原因，导致控制柜优化设计文件未能按期通过需方审核，或经多次修改仍无法满足需方要求，</w:t>
      </w:r>
      <w:r>
        <w:rPr>
          <w:rFonts w:hint="eastAsia"/>
          <w:sz w:val="24"/>
        </w:rPr>
        <w:t>需方有权解除合同，自行向任何第三方购买本合同项下的产品，在此情况下需方对供方不承担任何责任，并向需方支付全部货款总额的20%的违约金。</w:t>
      </w:r>
    </w:p>
    <w:p>
      <w:pPr>
        <w:tabs>
          <w:tab w:val="left" w:pos="1070"/>
        </w:tabs>
        <w:spacing w:line="360" w:lineRule="auto"/>
        <w:ind w:firstLine="480" w:firstLineChars="200"/>
        <w:rPr>
          <w:sz w:val="24"/>
        </w:rPr>
      </w:pPr>
      <w:r>
        <w:rPr>
          <w:rFonts w:hint="eastAsia"/>
          <w:sz w:val="24"/>
        </w:rPr>
        <w:t>（二）供方必须按合同约定的货物型号规格配置等符合质量标准的合格产品交货。如发</w:t>
      </w:r>
      <w:bookmarkStart w:id="1" w:name="_GoBack"/>
      <w:bookmarkEnd w:id="1"/>
      <w:r>
        <w:rPr>
          <w:rFonts w:hint="eastAsia"/>
          <w:sz w:val="24"/>
        </w:rPr>
        <w:t>现有不符合质量标准的货物，供方必须及时更换并承担由此引起的工期延误责任。同时，需方有权视情节的严重程度要求赔偿损失、解除合同。如果供方供货质量不合格，或存在隐蔽瑕疵，在需方安装使用后对需方或第三方相关设备、财产、人身造损害的，供方应承担赔偿责任。</w:t>
      </w:r>
    </w:p>
    <w:p>
      <w:pPr>
        <w:tabs>
          <w:tab w:val="left" w:pos="1070"/>
        </w:tabs>
        <w:spacing w:line="360" w:lineRule="auto"/>
        <w:ind w:firstLine="480" w:firstLineChars="200"/>
        <w:rPr>
          <w:sz w:val="24"/>
        </w:rPr>
      </w:pPr>
      <w:r>
        <w:rPr>
          <w:rFonts w:hint="eastAsia"/>
          <w:sz w:val="24"/>
        </w:rPr>
        <w:t>（</w:t>
      </w:r>
      <w:r>
        <w:rPr>
          <w:rFonts w:hint="eastAsia"/>
          <w:sz w:val="24"/>
          <w:lang w:val="en-US" w:eastAsia="zh-CN"/>
        </w:rPr>
        <w:t>三</w:t>
      </w:r>
      <w:r>
        <w:rPr>
          <w:rFonts w:hint="eastAsia"/>
          <w:sz w:val="24"/>
        </w:rPr>
        <w:t>）质保期内出现重大质量不合格问题（该重大质量问题应界定为达不到质量标准要求或同类型故障出现超过</w:t>
      </w:r>
      <w:r>
        <w:rPr>
          <w:sz w:val="24"/>
        </w:rPr>
        <w:t>3</w:t>
      </w:r>
      <w:r>
        <w:rPr>
          <w:rFonts w:hint="eastAsia"/>
          <w:sz w:val="24"/>
        </w:rPr>
        <w:t>次情形的），供方必须在规定的期限更换并达到合同约定的质量标准，并按该不合格设备价格</w:t>
      </w:r>
      <w:r>
        <w:rPr>
          <w:sz w:val="24"/>
        </w:rPr>
        <w:t>20%</w:t>
      </w:r>
      <w:r>
        <w:rPr>
          <w:rFonts w:hint="eastAsia"/>
          <w:sz w:val="24"/>
        </w:rPr>
        <w:t>计算向需方承担支付违约金的责任，需方有权从货款中扣除供方应支付的违约金，货款不足以抵扣的，供方应另行补足。</w:t>
      </w:r>
    </w:p>
    <w:p>
      <w:pPr>
        <w:tabs>
          <w:tab w:val="left" w:pos="1070"/>
        </w:tabs>
        <w:spacing w:line="360" w:lineRule="auto"/>
        <w:ind w:firstLine="480" w:firstLineChars="200"/>
        <w:rPr>
          <w:sz w:val="24"/>
        </w:rPr>
      </w:pPr>
      <w:r>
        <w:rPr>
          <w:rFonts w:hint="eastAsia"/>
          <w:sz w:val="24"/>
        </w:rPr>
        <w:t>（</w:t>
      </w:r>
      <w:r>
        <w:rPr>
          <w:rFonts w:hint="eastAsia"/>
          <w:sz w:val="24"/>
          <w:lang w:val="en-US" w:eastAsia="zh-CN"/>
        </w:rPr>
        <w:t>四</w:t>
      </w:r>
      <w:r>
        <w:rPr>
          <w:rFonts w:hint="eastAsia"/>
          <w:sz w:val="24"/>
        </w:rPr>
        <w:t>）需方中途退货（因产品质量原因的除外），应向供方偿付退货部分货款的</w:t>
      </w:r>
      <w:r>
        <w:rPr>
          <w:sz w:val="24"/>
          <w:u w:val="single"/>
        </w:rPr>
        <w:t>20</w:t>
      </w:r>
      <w:r>
        <w:rPr>
          <w:sz w:val="24"/>
        </w:rPr>
        <w:t>%</w:t>
      </w:r>
      <w:r>
        <w:rPr>
          <w:rFonts w:hint="eastAsia"/>
          <w:sz w:val="24"/>
        </w:rPr>
        <w:t>的违约金。</w:t>
      </w:r>
    </w:p>
    <w:p>
      <w:pPr>
        <w:tabs>
          <w:tab w:val="left" w:pos="1070"/>
        </w:tabs>
        <w:spacing w:line="360" w:lineRule="auto"/>
        <w:ind w:firstLine="480" w:firstLineChars="200"/>
        <w:rPr>
          <w:rFonts w:hint="eastAsia" w:asciiTheme="minorHAnsi" w:hAnsiTheme="minorHAnsi" w:eastAsiaTheme="minorEastAsia" w:cstheme="minorBidi"/>
          <w:sz w:val="24"/>
        </w:rPr>
      </w:pPr>
      <w:r>
        <w:rPr>
          <w:rFonts w:hint="eastAsia"/>
          <w:sz w:val="24"/>
        </w:rPr>
        <w:t>（</w:t>
      </w:r>
      <w:r>
        <w:rPr>
          <w:rFonts w:hint="eastAsia"/>
          <w:sz w:val="24"/>
          <w:lang w:val="en-US" w:eastAsia="zh-CN"/>
        </w:rPr>
        <w:t>五</w:t>
      </w:r>
      <w:r>
        <w:rPr>
          <w:rFonts w:hint="eastAsia"/>
          <w:sz w:val="24"/>
        </w:rPr>
        <w:t>）</w:t>
      </w:r>
      <w:r>
        <w:rPr>
          <w:rFonts w:hint="eastAsia" w:asciiTheme="minorHAnsi" w:hAnsiTheme="minorHAnsi" w:eastAsiaTheme="minorEastAsia" w:cstheme="minorBidi"/>
          <w:sz w:val="24"/>
        </w:rPr>
        <w:t>供方不得将项目分解，对项目进行分包转包。如有违反，需方有权解除合同，供方需</w:t>
      </w:r>
      <w:r>
        <w:rPr>
          <w:rFonts w:hint="eastAsia"/>
          <w:sz w:val="24"/>
        </w:rPr>
        <w:t>赔偿合同总价</w:t>
      </w:r>
      <w:r>
        <w:rPr>
          <w:sz w:val="24"/>
        </w:rPr>
        <w:t>20%</w:t>
      </w:r>
      <w:r>
        <w:rPr>
          <w:rFonts w:hint="eastAsia"/>
          <w:sz w:val="24"/>
        </w:rPr>
        <w:t>作为违约金，违约金不足弥补</w:t>
      </w:r>
      <w:r>
        <w:rPr>
          <w:rFonts w:hint="eastAsia" w:asciiTheme="minorHAnsi" w:hAnsiTheme="minorHAnsi" w:eastAsiaTheme="minorEastAsia" w:cstheme="minorBidi"/>
          <w:sz w:val="24"/>
        </w:rPr>
        <w:t>给需方造成损失的，供方仍应予以赔偿。</w:t>
      </w:r>
    </w:p>
    <w:p>
      <w:pPr>
        <w:tabs>
          <w:tab w:val="left" w:pos="1070"/>
        </w:tabs>
        <w:spacing w:line="360" w:lineRule="auto"/>
        <w:ind w:firstLine="480" w:firstLineChars="200"/>
        <w:rPr>
          <w:rFonts w:hint="eastAsia" w:asciiTheme="minorHAnsi" w:hAnsiTheme="minorHAnsi" w:eastAsiaTheme="minorEastAsia" w:cstheme="minorBidi"/>
          <w:sz w:val="24"/>
          <w:lang w:eastAsia="zh-CN"/>
        </w:rPr>
      </w:pPr>
      <w:r>
        <w:rPr>
          <w:rFonts w:hint="eastAsia" w:asciiTheme="minorHAnsi" w:hAnsiTheme="minorHAnsi" w:eastAsiaTheme="minorEastAsia" w:cstheme="minorBidi"/>
          <w:sz w:val="24"/>
          <w:lang w:eastAsia="zh-CN"/>
        </w:rPr>
        <w:t>（</w:t>
      </w:r>
      <w:r>
        <w:rPr>
          <w:rFonts w:hint="eastAsia" w:asciiTheme="minorHAnsi" w:hAnsiTheme="minorHAnsi" w:eastAsiaTheme="minorEastAsia" w:cstheme="minorBidi"/>
          <w:sz w:val="24"/>
          <w:lang w:val="en-US" w:eastAsia="zh-CN"/>
        </w:rPr>
        <w:t>六</w:t>
      </w:r>
      <w:r>
        <w:rPr>
          <w:rFonts w:hint="eastAsia" w:asciiTheme="minorHAnsi" w:hAnsiTheme="minorHAnsi" w:eastAsiaTheme="minorEastAsia" w:cstheme="minorBidi"/>
          <w:sz w:val="24"/>
          <w:lang w:eastAsia="zh-CN"/>
        </w:rPr>
        <w:t>）供方未按附件</w:t>
      </w:r>
      <w:r>
        <w:rPr>
          <w:rFonts w:hint="eastAsia" w:asciiTheme="minorHAnsi" w:hAnsiTheme="minorHAnsi" w:eastAsiaTheme="minorEastAsia" w:cstheme="minorBidi"/>
          <w:sz w:val="24"/>
          <w:highlight w:val="yellow"/>
          <w:lang w:eastAsia="zh-CN"/>
        </w:rPr>
        <w:t>2采购需求的要求</w:t>
      </w:r>
      <w:r>
        <w:rPr>
          <w:rFonts w:hint="eastAsia" w:asciiTheme="minorHAnsi" w:hAnsiTheme="minorHAnsi" w:eastAsiaTheme="minorEastAsia" w:cstheme="minorBidi"/>
          <w:sz w:val="24"/>
          <w:lang w:eastAsia="zh-CN"/>
        </w:rPr>
        <w:t>或按双方确定的要求进行集成，到货后需方发现质量问题或不符合技术要求的，对供方进行处罚：</w:t>
      </w:r>
    </w:p>
    <w:p>
      <w:pPr>
        <w:tabs>
          <w:tab w:val="left" w:pos="1070"/>
        </w:tabs>
        <w:spacing w:line="360" w:lineRule="auto"/>
        <w:ind w:firstLine="480" w:firstLineChars="200"/>
        <w:rPr>
          <w:rFonts w:hint="eastAsia" w:asciiTheme="minorHAnsi" w:hAnsiTheme="minorHAnsi" w:eastAsiaTheme="minorEastAsia" w:cstheme="minorBidi"/>
          <w:sz w:val="24"/>
          <w:lang w:eastAsia="zh-CN"/>
        </w:rPr>
      </w:pPr>
      <w:r>
        <w:rPr>
          <w:rFonts w:hint="eastAsia" w:asciiTheme="minorHAnsi" w:hAnsiTheme="minorHAnsi" w:eastAsiaTheme="minorEastAsia" w:cstheme="minorBidi"/>
          <w:sz w:val="24"/>
          <w:lang w:eastAsia="zh-CN"/>
        </w:rPr>
        <w:t>1、接线不固、接线错误、号码管套错，每一处扣罚100元；</w:t>
      </w:r>
    </w:p>
    <w:p>
      <w:pPr>
        <w:tabs>
          <w:tab w:val="left" w:pos="1070"/>
        </w:tabs>
        <w:spacing w:line="360" w:lineRule="auto"/>
        <w:ind w:firstLine="480" w:firstLineChars="200"/>
        <w:rPr>
          <w:rFonts w:hint="eastAsia" w:asciiTheme="minorHAnsi" w:hAnsiTheme="minorHAnsi" w:eastAsiaTheme="minorEastAsia" w:cstheme="minorBidi"/>
          <w:sz w:val="24"/>
          <w:lang w:eastAsia="zh-CN"/>
        </w:rPr>
      </w:pPr>
      <w:r>
        <w:rPr>
          <w:rFonts w:hint="eastAsia" w:asciiTheme="minorHAnsi" w:hAnsiTheme="minorHAnsi" w:eastAsiaTheme="minorEastAsia" w:cstheme="minorBidi"/>
          <w:sz w:val="24"/>
          <w:lang w:eastAsia="zh-CN"/>
        </w:rPr>
        <w:t>2、通道测试弄虚作假，测试与报告不符或与要求不一致的，每一个点扣罚100元；</w:t>
      </w:r>
    </w:p>
    <w:p>
      <w:pPr>
        <w:tabs>
          <w:tab w:val="left" w:pos="1710"/>
        </w:tabs>
        <w:spacing w:line="360" w:lineRule="auto"/>
        <w:ind w:firstLine="482" w:firstLineChars="200"/>
        <w:rPr>
          <w:b/>
          <w:sz w:val="24"/>
        </w:rPr>
      </w:pPr>
      <w:r>
        <w:rPr>
          <w:rFonts w:hint="eastAsia"/>
          <w:b/>
          <w:sz w:val="24"/>
        </w:rPr>
        <w:t>十六、合同的变更</w:t>
      </w:r>
    </w:p>
    <w:p>
      <w:pPr>
        <w:tabs>
          <w:tab w:val="left" w:pos="1710"/>
        </w:tabs>
        <w:spacing w:line="360" w:lineRule="auto"/>
        <w:ind w:firstLine="480" w:firstLineChars="200"/>
        <w:rPr>
          <w:sz w:val="24"/>
        </w:rPr>
      </w:pPr>
      <w:r>
        <w:rPr>
          <w:rFonts w:hint="eastAsia"/>
          <w:sz w:val="24"/>
        </w:rPr>
        <w:t>合同如有未尽事宜，须经双方共同协商，作出补充规定，补充规定与本合同具有同等效力。</w:t>
      </w:r>
    </w:p>
    <w:p>
      <w:pPr>
        <w:tabs>
          <w:tab w:val="left" w:pos="1710"/>
        </w:tabs>
        <w:spacing w:line="360" w:lineRule="auto"/>
        <w:ind w:firstLine="482" w:firstLineChars="200"/>
        <w:rPr>
          <w:b/>
          <w:sz w:val="24"/>
        </w:rPr>
      </w:pPr>
      <w:r>
        <w:rPr>
          <w:rFonts w:hint="eastAsia"/>
          <w:b/>
          <w:sz w:val="24"/>
        </w:rPr>
        <w:t>十七、解决合同纠纷的方式</w:t>
      </w:r>
    </w:p>
    <w:p>
      <w:pPr>
        <w:tabs>
          <w:tab w:val="left" w:pos="1710"/>
        </w:tabs>
        <w:spacing w:line="360" w:lineRule="auto"/>
        <w:ind w:firstLine="480" w:firstLineChars="200"/>
        <w:rPr>
          <w:sz w:val="24"/>
        </w:rPr>
      </w:pPr>
      <w:r>
        <w:rPr>
          <w:rFonts w:hint="eastAsia"/>
          <w:sz w:val="24"/>
        </w:rPr>
        <w:t>本合同在履行过程中发生的纠纷和争议，先协商，协商不成则在需方所在地法院诉讼解决，败诉方承担合理的律师费。</w:t>
      </w:r>
    </w:p>
    <w:p>
      <w:pPr>
        <w:tabs>
          <w:tab w:val="left" w:pos="1710"/>
        </w:tabs>
        <w:spacing w:line="360" w:lineRule="auto"/>
        <w:ind w:firstLine="482" w:firstLineChars="200"/>
        <w:rPr>
          <w:b/>
          <w:sz w:val="24"/>
        </w:rPr>
      </w:pPr>
      <w:r>
        <w:rPr>
          <w:rFonts w:hint="eastAsia"/>
          <w:b/>
          <w:sz w:val="24"/>
        </w:rPr>
        <w:t>十八、其他约定事项</w:t>
      </w:r>
    </w:p>
    <w:p>
      <w:pPr>
        <w:tabs>
          <w:tab w:val="left" w:pos="780"/>
        </w:tabs>
        <w:spacing w:line="360" w:lineRule="auto"/>
        <w:ind w:firstLine="480" w:firstLineChars="200"/>
        <w:rPr>
          <w:sz w:val="24"/>
        </w:rPr>
      </w:pPr>
      <w:r>
        <w:rPr>
          <w:rFonts w:hint="eastAsia"/>
          <w:sz w:val="24"/>
        </w:rPr>
        <w:t>（一）质保期内供方须保证其设备产品运行正常（除人为因素损坏以外）。属于保修范围、内容的项目，供方应当在接到保修通知之日后</w:t>
      </w:r>
      <w:r>
        <w:rPr>
          <w:sz w:val="24"/>
          <w:u w:val="single"/>
        </w:rPr>
        <w:t xml:space="preserve">  24</w:t>
      </w:r>
      <w:r>
        <w:rPr>
          <w:rFonts w:hint="eastAsia"/>
          <w:sz w:val="24"/>
          <w:u w:val="single"/>
        </w:rPr>
        <w:t>小时</w:t>
      </w:r>
      <w:r>
        <w:rPr>
          <w:rFonts w:hint="eastAsia"/>
          <w:sz w:val="24"/>
        </w:rPr>
        <w:t>内派人无偿更换和修理。供方不在约定期限内派人修理，需方委托他人修理，费用由供方负责。造成需方损失的，供方应赔偿。</w:t>
      </w:r>
    </w:p>
    <w:p>
      <w:pPr>
        <w:tabs>
          <w:tab w:val="left" w:pos="780"/>
        </w:tabs>
        <w:spacing w:line="360" w:lineRule="auto"/>
        <w:ind w:firstLine="480" w:firstLineChars="200"/>
        <w:rPr>
          <w:sz w:val="24"/>
        </w:rPr>
      </w:pPr>
      <w:r>
        <w:rPr>
          <w:rFonts w:hint="eastAsia"/>
          <w:sz w:val="24"/>
        </w:rPr>
        <w:t>（二）在合同履行期内，若国家税费政策调整，本合同含税金额按国家规定税率作相应调整。供方按调整后的税率及含税金额开具增值税专用发票给需方。</w:t>
      </w:r>
    </w:p>
    <w:p>
      <w:pPr>
        <w:tabs>
          <w:tab w:val="left" w:pos="780"/>
        </w:tabs>
        <w:spacing w:line="360" w:lineRule="auto"/>
        <w:ind w:firstLine="480" w:firstLineChars="200"/>
        <w:rPr>
          <w:sz w:val="24"/>
        </w:rPr>
      </w:pPr>
      <w:r>
        <w:rPr>
          <w:rFonts w:hint="eastAsia"/>
          <w:sz w:val="24"/>
        </w:rPr>
        <w:t>（三）下列文件是本合同文件的组成部分，并具有法律效力：</w:t>
      </w:r>
    </w:p>
    <w:p>
      <w:pPr>
        <w:tabs>
          <w:tab w:val="left" w:pos="780"/>
        </w:tabs>
        <w:spacing w:line="360" w:lineRule="auto"/>
        <w:ind w:firstLine="480" w:firstLineChars="200"/>
        <w:rPr>
          <w:sz w:val="24"/>
        </w:rPr>
      </w:pPr>
      <w:r>
        <w:rPr>
          <w:rFonts w:hint="eastAsia"/>
          <w:sz w:val="24"/>
        </w:rPr>
        <w:t>-</w:t>
      </w:r>
      <w:r>
        <w:rPr>
          <w:rFonts w:hint="eastAsia"/>
          <w:sz w:val="24"/>
        </w:rPr>
        <w:tab/>
      </w:r>
      <w:r>
        <w:rPr>
          <w:rFonts w:hint="eastAsia"/>
          <w:sz w:val="24"/>
        </w:rPr>
        <w:t>合同条款</w:t>
      </w:r>
    </w:p>
    <w:p>
      <w:pPr>
        <w:tabs>
          <w:tab w:val="left" w:pos="780"/>
        </w:tabs>
        <w:spacing w:line="360" w:lineRule="auto"/>
        <w:ind w:firstLine="480" w:firstLineChars="200"/>
        <w:rPr>
          <w:sz w:val="24"/>
        </w:rPr>
      </w:pPr>
      <w:r>
        <w:rPr>
          <w:rFonts w:hint="eastAsia"/>
          <w:sz w:val="24"/>
        </w:rPr>
        <w:t>-</w:t>
      </w:r>
      <w:r>
        <w:rPr>
          <w:rFonts w:hint="eastAsia"/>
          <w:sz w:val="24"/>
        </w:rPr>
        <w:tab/>
      </w:r>
      <w:r>
        <w:rPr>
          <w:rFonts w:hint="eastAsia"/>
          <w:sz w:val="24"/>
        </w:rPr>
        <w:t>其它相关文件</w:t>
      </w:r>
    </w:p>
    <w:p>
      <w:pPr>
        <w:tabs>
          <w:tab w:val="left" w:pos="780"/>
        </w:tabs>
        <w:spacing w:line="360" w:lineRule="auto"/>
        <w:ind w:firstLine="480" w:firstLineChars="200"/>
        <w:rPr>
          <w:sz w:val="24"/>
        </w:rPr>
      </w:pPr>
      <w:r>
        <w:rPr>
          <w:rFonts w:hint="eastAsia"/>
          <w:sz w:val="24"/>
        </w:rPr>
        <w:t>（四）本合同一式肆份，本合同自双方法定代表人签字并加盖公章或有备案的合同章之日起生效。需方执叁份，供方执壹份，具有同等法律效力。</w:t>
      </w:r>
    </w:p>
    <w:p>
      <w:pPr>
        <w:tabs>
          <w:tab w:val="left" w:pos="780"/>
        </w:tabs>
        <w:spacing w:line="360" w:lineRule="auto"/>
        <w:ind w:firstLine="480" w:firstLineChars="200"/>
        <w:rPr>
          <w:sz w:val="24"/>
        </w:rPr>
      </w:pPr>
      <w:r>
        <w:rPr>
          <w:rFonts w:hint="eastAsia"/>
          <w:sz w:val="24"/>
        </w:rPr>
        <w:t>附件1：</w:t>
      </w:r>
      <w:r>
        <w:rPr>
          <w:sz w:val="24"/>
        </w:rPr>
        <w:t>报价表</w:t>
      </w:r>
    </w:p>
    <w:p>
      <w:pPr>
        <w:tabs>
          <w:tab w:val="left" w:pos="780"/>
        </w:tabs>
        <w:spacing w:line="360" w:lineRule="auto"/>
        <w:ind w:firstLine="480" w:firstLineChars="200"/>
        <w:rPr>
          <w:sz w:val="24"/>
        </w:rPr>
      </w:pPr>
      <w:r>
        <w:rPr>
          <w:rFonts w:hint="eastAsia"/>
          <w:sz w:val="24"/>
        </w:rPr>
        <w:t>附件2：需求书</w:t>
      </w:r>
    </w:p>
    <w:p>
      <w:pPr>
        <w:tabs>
          <w:tab w:val="left" w:pos="780"/>
        </w:tabs>
        <w:spacing w:line="360" w:lineRule="auto"/>
        <w:ind w:firstLine="480" w:firstLineChars="200"/>
        <w:rPr>
          <w:sz w:val="24"/>
        </w:rPr>
      </w:pPr>
    </w:p>
    <w:p>
      <w:pPr>
        <w:spacing w:line="360" w:lineRule="auto"/>
        <w:rPr>
          <w:sz w:val="24"/>
        </w:rPr>
        <w:sectPr>
          <w:headerReference r:id="rId3" w:type="default"/>
          <w:footerReference r:id="rId4" w:type="default"/>
          <w:type w:val="continuous"/>
          <w:pgSz w:w="11906" w:h="16838"/>
          <w:pgMar w:top="1440" w:right="1134" w:bottom="1440" w:left="1134" w:header="851" w:footer="992" w:gutter="0"/>
          <w:cols w:space="720" w:num="1"/>
          <w:docGrid w:linePitch="312" w:charSpace="0"/>
        </w:sectPr>
      </w:pPr>
    </w:p>
    <w:p>
      <w:pPr>
        <w:spacing w:line="360" w:lineRule="auto"/>
        <w:rPr>
          <w:sz w:val="24"/>
        </w:rPr>
      </w:pPr>
      <w:r>
        <w:rPr>
          <w:sz w:val="24"/>
        </w:rPr>
        <w:t>甲方</w:t>
      </w:r>
      <w:r>
        <w:rPr>
          <w:rFonts w:hint="eastAsia"/>
          <w:sz w:val="24"/>
        </w:rPr>
        <w:t>（需方）</w:t>
      </w:r>
      <w:r>
        <w:rPr>
          <w:sz w:val="24"/>
        </w:rPr>
        <w:t>：</w:t>
      </w:r>
    </w:p>
    <w:p>
      <w:pPr>
        <w:spacing w:line="360" w:lineRule="auto"/>
        <w:rPr>
          <w:rFonts w:hint="eastAsia" w:eastAsia="宋体"/>
          <w:szCs w:val="21"/>
          <w:lang w:eastAsia="zh-CN"/>
        </w:rPr>
      </w:pPr>
      <w:r>
        <w:rPr>
          <w:sz w:val="24"/>
        </w:rPr>
        <w:t>单位名称（章）：</w:t>
      </w:r>
      <w:r>
        <w:rPr>
          <w:rFonts w:hint="eastAsia"/>
          <w:sz w:val="24"/>
          <w:lang w:eastAsia="zh-CN"/>
        </w:rPr>
        <w:t>广州大学城能源发展有限公司</w:t>
      </w:r>
    </w:p>
    <w:p>
      <w:pPr>
        <w:spacing w:line="360" w:lineRule="auto"/>
        <w:rPr>
          <w:szCs w:val="21"/>
        </w:rPr>
      </w:pPr>
      <w:r>
        <w:rPr>
          <w:sz w:val="24"/>
        </w:rPr>
        <w:t>单位地址：</w:t>
      </w:r>
      <w:r>
        <w:rPr>
          <w:szCs w:val="21"/>
        </w:rPr>
        <w:t>广州大学城</w:t>
      </w:r>
      <w:r>
        <w:rPr>
          <w:rFonts w:hint="eastAsia"/>
          <w:szCs w:val="21"/>
        </w:rPr>
        <w:t>明志街1号信息枢纽楼九楼</w:t>
      </w:r>
    </w:p>
    <w:p>
      <w:pPr>
        <w:spacing w:line="360" w:lineRule="auto"/>
        <w:rPr>
          <w:sz w:val="24"/>
        </w:rPr>
      </w:pPr>
      <w:r>
        <w:rPr>
          <w:sz w:val="24"/>
        </w:rPr>
        <w:t>法定代表人</w:t>
      </w:r>
      <w:r>
        <w:rPr>
          <w:rFonts w:hint="eastAsia"/>
          <w:sz w:val="24"/>
        </w:rPr>
        <w:t>或委托代理人：</w:t>
      </w:r>
    </w:p>
    <w:p>
      <w:pPr>
        <w:spacing w:line="360" w:lineRule="auto"/>
        <w:rPr>
          <w:sz w:val="24"/>
        </w:rPr>
      </w:pPr>
      <w:r>
        <w:rPr>
          <w:sz w:val="24"/>
        </w:rPr>
        <w:t>电话：</w:t>
      </w:r>
    </w:p>
    <w:p>
      <w:pPr>
        <w:spacing w:line="360" w:lineRule="auto"/>
        <w:rPr>
          <w:sz w:val="24"/>
        </w:rPr>
      </w:pPr>
      <w:r>
        <w:rPr>
          <w:rFonts w:hint="eastAsia"/>
          <w:sz w:val="24"/>
        </w:rPr>
        <w:t>合同经办人：</w:t>
      </w:r>
    </w:p>
    <w:p>
      <w:pPr>
        <w:spacing w:line="360" w:lineRule="auto"/>
        <w:rPr>
          <w:sz w:val="24"/>
        </w:rPr>
      </w:pPr>
      <w:r>
        <w:rPr>
          <w:rFonts w:hint="eastAsia"/>
          <w:sz w:val="24"/>
        </w:rPr>
        <w:t>签订日期：</w:t>
      </w:r>
      <w:r>
        <w:rPr>
          <w:sz w:val="24"/>
        </w:rPr>
        <w:t xml:space="preserve"> 202</w:t>
      </w:r>
      <w:r>
        <w:rPr>
          <w:rFonts w:hint="eastAsia"/>
          <w:sz w:val="24"/>
          <w:lang w:val="en-US" w:eastAsia="zh-CN"/>
        </w:rPr>
        <w:t>5</w:t>
      </w:r>
      <w:r>
        <w:rPr>
          <w:rFonts w:hint="eastAsia"/>
          <w:sz w:val="24"/>
        </w:rPr>
        <w:t>年月日</w:t>
      </w:r>
    </w:p>
    <w:p>
      <w:pPr>
        <w:spacing w:line="360" w:lineRule="auto"/>
        <w:rPr>
          <w:sz w:val="24"/>
        </w:rPr>
      </w:pPr>
    </w:p>
    <w:p>
      <w:pPr>
        <w:spacing w:line="360" w:lineRule="auto"/>
        <w:rPr>
          <w:sz w:val="24"/>
        </w:rPr>
      </w:pPr>
      <w:r>
        <w:rPr>
          <w:sz w:val="24"/>
        </w:rPr>
        <w:t>乙方</w:t>
      </w:r>
      <w:r>
        <w:rPr>
          <w:rFonts w:hint="eastAsia"/>
          <w:sz w:val="24"/>
        </w:rPr>
        <w:t>（供方）</w:t>
      </w:r>
      <w:r>
        <w:rPr>
          <w:sz w:val="24"/>
        </w:rPr>
        <w:t>：</w:t>
      </w:r>
    </w:p>
    <w:p>
      <w:pPr>
        <w:spacing w:line="360" w:lineRule="auto"/>
        <w:rPr>
          <w:sz w:val="24"/>
        </w:rPr>
      </w:pPr>
      <w:r>
        <w:rPr>
          <w:rFonts w:hint="eastAsia"/>
          <w:sz w:val="24"/>
        </w:rPr>
        <w:t xml:space="preserve"> </w:t>
      </w:r>
      <w:r>
        <w:rPr>
          <w:sz w:val="24"/>
        </w:rPr>
        <w:t>单位名称（章）</w:t>
      </w:r>
      <w:r>
        <w:rPr>
          <w:rFonts w:hint="eastAsia"/>
          <w:sz w:val="24"/>
        </w:rPr>
        <w:t>：</w:t>
      </w:r>
    </w:p>
    <w:p>
      <w:pPr>
        <w:spacing w:line="360" w:lineRule="auto"/>
        <w:rPr>
          <w:sz w:val="24"/>
        </w:rPr>
      </w:pPr>
      <w:r>
        <w:rPr>
          <w:rFonts w:hint="eastAsia"/>
          <w:sz w:val="24"/>
        </w:rPr>
        <w:t>单位地址：</w:t>
      </w:r>
    </w:p>
    <w:p>
      <w:pPr>
        <w:spacing w:line="360" w:lineRule="auto"/>
        <w:rPr>
          <w:sz w:val="24"/>
        </w:rPr>
      </w:pPr>
      <w:r>
        <w:rPr>
          <w:rFonts w:hint="eastAsia"/>
          <w:sz w:val="24"/>
        </w:rPr>
        <w:t>法定代表人或委托代理人：</w:t>
      </w:r>
    </w:p>
    <w:p>
      <w:pPr>
        <w:spacing w:line="360" w:lineRule="auto"/>
        <w:rPr>
          <w:sz w:val="24"/>
        </w:rPr>
      </w:pPr>
      <w:r>
        <w:rPr>
          <w:rFonts w:hint="eastAsia"/>
          <w:sz w:val="24"/>
        </w:rPr>
        <w:t xml:space="preserve">开户银行： </w:t>
      </w:r>
    </w:p>
    <w:p>
      <w:pPr>
        <w:spacing w:line="360" w:lineRule="auto"/>
        <w:rPr>
          <w:sz w:val="24"/>
        </w:rPr>
      </w:pPr>
      <w:r>
        <w:rPr>
          <w:rFonts w:hint="eastAsia"/>
          <w:sz w:val="24"/>
        </w:rPr>
        <w:t>账号：</w:t>
      </w:r>
    </w:p>
    <w:p>
      <w:pPr>
        <w:spacing w:line="360" w:lineRule="auto"/>
        <w:rPr>
          <w:sz w:val="24"/>
        </w:rPr>
      </w:pPr>
      <w:r>
        <w:rPr>
          <w:rFonts w:hint="eastAsia"/>
          <w:sz w:val="24"/>
        </w:rPr>
        <w:t>税号：</w:t>
      </w:r>
    </w:p>
    <w:p>
      <w:pPr>
        <w:spacing w:line="360" w:lineRule="auto"/>
        <w:sectPr>
          <w:type w:val="continuous"/>
          <w:pgSz w:w="11906" w:h="16838"/>
          <w:pgMar w:top="1134" w:right="1134" w:bottom="720" w:left="1134" w:header="851" w:footer="992" w:gutter="0"/>
          <w:cols w:equalWidth="0" w:num="2">
            <w:col w:w="4606" w:space="425"/>
            <w:col w:w="4606"/>
          </w:cols>
          <w:docGrid w:linePitch="312" w:charSpace="0"/>
        </w:sectPr>
      </w:pPr>
      <w:r>
        <w:rPr>
          <w:rFonts w:hint="eastAsia"/>
          <w:sz w:val="24"/>
        </w:rPr>
        <w:t>电话：</w:t>
      </w:r>
      <w:r>
        <w:rPr>
          <w:rFonts w:hint="eastAsia" w:ascii="Cambria Math" w:hAnsi="Cambria Math"/>
          <w:sz w:val="24"/>
        </w:rPr>
        <w:t xml:space="preserve"> </w:t>
      </w:r>
      <w:r>
        <w:rPr>
          <w:rFonts w:hint="eastAsia"/>
          <w:sz w:val="24"/>
        </w:rPr>
        <w:t>签订日期：</w:t>
      </w:r>
      <w:r>
        <w:rPr>
          <w:sz w:val="24"/>
        </w:rPr>
        <w:t>20</w:t>
      </w:r>
      <w:r>
        <w:rPr>
          <w:rFonts w:hint="eastAsia"/>
          <w:sz w:val="24"/>
        </w:rPr>
        <w:t>2</w:t>
      </w:r>
      <w:r>
        <w:rPr>
          <w:rFonts w:hint="eastAsia"/>
          <w:sz w:val="24"/>
          <w:lang w:val="en-US" w:eastAsia="zh-CN"/>
        </w:rPr>
        <w:t>5</w:t>
      </w:r>
      <w:r>
        <w:rPr>
          <w:rFonts w:hint="eastAsia"/>
          <w:sz w:val="24"/>
        </w:rPr>
        <w:t>年月   日</w:t>
      </w: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r>
        <w:rPr>
          <w:sz w:val="24"/>
        </w:rPr>
        <w:t>附件</w:t>
      </w:r>
      <w:r>
        <w:rPr>
          <w:rFonts w:hint="eastAsia"/>
          <w:sz w:val="24"/>
        </w:rPr>
        <w:t>1</w:t>
      </w:r>
    </w:p>
    <w:p>
      <w:pPr>
        <w:widowControl/>
        <w:jc w:val="center"/>
        <w:rPr>
          <w:b/>
          <w:sz w:val="36"/>
          <w:szCs w:val="36"/>
        </w:rPr>
      </w:pPr>
      <w:r>
        <w:rPr>
          <w:rFonts w:hint="eastAsia"/>
          <w:b/>
          <w:sz w:val="36"/>
          <w:szCs w:val="36"/>
        </w:rPr>
        <w:t>报价表</w:t>
      </w:r>
    </w:p>
    <w:p>
      <w:pPr>
        <w:widowControl/>
        <w:jc w:val="left"/>
        <w:rPr>
          <w:b/>
          <w:sz w:val="36"/>
          <w:szCs w:val="36"/>
        </w:rPr>
      </w:pPr>
    </w:p>
    <w:p>
      <w:pPr>
        <w:widowControl/>
        <w:jc w:val="left"/>
        <w:rPr>
          <w:b/>
          <w:sz w:val="36"/>
          <w:szCs w:val="36"/>
        </w:rPr>
      </w:pPr>
    </w:p>
    <w:p>
      <w:pPr>
        <w:widowControl/>
        <w:rPr>
          <w:sz w:val="30"/>
          <w:szCs w:val="30"/>
        </w:rPr>
      </w:pPr>
      <w:r>
        <w:rPr>
          <w:rFonts w:hint="eastAsia"/>
          <w:sz w:val="30"/>
          <w:szCs w:val="30"/>
        </w:rPr>
        <w:t>附件2</w:t>
      </w:r>
    </w:p>
    <w:p>
      <w:pPr>
        <w:spacing w:line="360" w:lineRule="auto"/>
        <w:jc w:val="center"/>
        <w:rPr>
          <w:sz w:val="30"/>
          <w:szCs w:val="30"/>
        </w:rPr>
      </w:pPr>
      <w:r>
        <w:rPr>
          <w:rFonts w:hint="eastAsia"/>
          <w:sz w:val="30"/>
          <w:szCs w:val="30"/>
        </w:rPr>
        <w:t>采购需求书</w:t>
      </w:r>
    </w:p>
    <w:p>
      <w:pPr>
        <w:widowControl/>
        <w:jc w:val="left"/>
      </w:pPr>
    </w:p>
    <w:sectPr>
      <w:footerReference r:id="rId5" w:type="default"/>
      <w:type w:val="continuous"/>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1151207"/>
    </w:sdtPr>
    <w:sdtContent>
      <w:p>
        <w:pPr>
          <w:pStyle w:val="6"/>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19</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9040" cy="10692130"/>
          <wp:effectExtent l="0" t="0" r="3810" b="13970"/>
          <wp:wrapNone/>
          <wp:docPr id="1" name="WordPictureWatermark37516" descr="能源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7516" descr="能源水印"/>
                  <pic:cNvPicPr>
                    <a:picLocks noChangeAspect="1"/>
                  </pic:cNvPicPr>
                </pic:nvPicPr>
                <pic:blipFill>
                  <a:blip r:embed="rId1"/>
                  <a:stretch>
                    <a:fillRect/>
                  </a:stretch>
                </pic:blipFill>
                <pic:spPr>
                  <a:xfrm>
                    <a:off x="0" y="0"/>
                    <a:ext cx="7559040" cy="10692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07BDB"/>
    <w:multiLevelType w:val="multilevel"/>
    <w:tmpl w:val="55B07BDB"/>
    <w:lvl w:ilvl="0" w:tentative="0">
      <w:start w:val="1"/>
      <w:numFmt w:val="japaneseCount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F7"/>
    <w:rsid w:val="00004BBD"/>
    <w:rsid w:val="00012801"/>
    <w:rsid w:val="000246D3"/>
    <w:rsid w:val="000470B7"/>
    <w:rsid w:val="0004741E"/>
    <w:rsid w:val="0005599A"/>
    <w:rsid w:val="00073FD0"/>
    <w:rsid w:val="000A37AF"/>
    <w:rsid w:val="000A47A6"/>
    <w:rsid w:val="000A6D44"/>
    <w:rsid w:val="000B0FC5"/>
    <w:rsid w:val="000B3C3B"/>
    <w:rsid w:val="000C391E"/>
    <w:rsid w:val="000C3DE2"/>
    <w:rsid w:val="000C5418"/>
    <w:rsid w:val="000C76D0"/>
    <w:rsid w:val="000F1284"/>
    <w:rsid w:val="000F4E94"/>
    <w:rsid w:val="000F6E43"/>
    <w:rsid w:val="001019CE"/>
    <w:rsid w:val="0011376E"/>
    <w:rsid w:val="00113C0D"/>
    <w:rsid w:val="001205DB"/>
    <w:rsid w:val="001263AB"/>
    <w:rsid w:val="00131183"/>
    <w:rsid w:val="00132B2C"/>
    <w:rsid w:val="00134F30"/>
    <w:rsid w:val="001427AB"/>
    <w:rsid w:val="0015111D"/>
    <w:rsid w:val="0015737F"/>
    <w:rsid w:val="00166597"/>
    <w:rsid w:val="00167C6D"/>
    <w:rsid w:val="001A6D64"/>
    <w:rsid w:val="001C1347"/>
    <w:rsid w:val="001C4A18"/>
    <w:rsid w:val="001D10D1"/>
    <w:rsid w:val="001D72DB"/>
    <w:rsid w:val="001F3B29"/>
    <w:rsid w:val="00203767"/>
    <w:rsid w:val="0022260A"/>
    <w:rsid w:val="00223F6C"/>
    <w:rsid w:val="00235175"/>
    <w:rsid w:val="00245A82"/>
    <w:rsid w:val="002578C5"/>
    <w:rsid w:val="00267383"/>
    <w:rsid w:val="0027659D"/>
    <w:rsid w:val="0029141E"/>
    <w:rsid w:val="002D331C"/>
    <w:rsid w:val="002E2A7A"/>
    <w:rsid w:val="002E5C68"/>
    <w:rsid w:val="002E75D2"/>
    <w:rsid w:val="003054EF"/>
    <w:rsid w:val="00306ED7"/>
    <w:rsid w:val="00311780"/>
    <w:rsid w:val="00322D5B"/>
    <w:rsid w:val="0032404B"/>
    <w:rsid w:val="00336616"/>
    <w:rsid w:val="00342185"/>
    <w:rsid w:val="00344D89"/>
    <w:rsid w:val="003757EA"/>
    <w:rsid w:val="0039205F"/>
    <w:rsid w:val="003950DF"/>
    <w:rsid w:val="003A51FB"/>
    <w:rsid w:val="003A6633"/>
    <w:rsid w:val="003B4A20"/>
    <w:rsid w:val="003B592B"/>
    <w:rsid w:val="003B5D18"/>
    <w:rsid w:val="003C4221"/>
    <w:rsid w:val="003F4EF7"/>
    <w:rsid w:val="003F521E"/>
    <w:rsid w:val="003F6055"/>
    <w:rsid w:val="00400134"/>
    <w:rsid w:val="00400574"/>
    <w:rsid w:val="004152BE"/>
    <w:rsid w:val="00425B63"/>
    <w:rsid w:val="00425D73"/>
    <w:rsid w:val="0042750A"/>
    <w:rsid w:val="00444E4F"/>
    <w:rsid w:val="0045012D"/>
    <w:rsid w:val="0045785D"/>
    <w:rsid w:val="00464C9E"/>
    <w:rsid w:val="004824E9"/>
    <w:rsid w:val="00486A39"/>
    <w:rsid w:val="00490405"/>
    <w:rsid w:val="004C21D8"/>
    <w:rsid w:val="004D2458"/>
    <w:rsid w:val="004E07F1"/>
    <w:rsid w:val="004F03B2"/>
    <w:rsid w:val="00507093"/>
    <w:rsid w:val="00514329"/>
    <w:rsid w:val="00531B48"/>
    <w:rsid w:val="005455CD"/>
    <w:rsid w:val="005509BB"/>
    <w:rsid w:val="00553EA7"/>
    <w:rsid w:val="00562C6E"/>
    <w:rsid w:val="00564096"/>
    <w:rsid w:val="00564324"/>
    <w:rsid w:val="00574953"/>
    <w:rsid w:val="00576741"/>
    <w:rsid w:val="00595191"/>
    <w:rsid w:val="00596040"/>
    <w:rsid w:val="005967F3"/>
    <w:rsid w:val="005A3573"/>
    <w:rsid w:val="005D7244"/>
    <w:rsid w:val="005D7B0E"/>
    <w:rsid w:val="005E0005"/>
    <w:rsid w:val="006129CC"/>
    <w:rsid w:val="00620F3E"/>
    <w:rsid w:val="00633FE7"/>
    <w:rsid w:val="0064162E"/>
    <w:rsid w:val="006450F7"/>
    <w:rsid w:val="00646232"/>
    <w:rsid w:val="0064700A"/>
    <w:rsid w:val="0065206F"/>
    <w:rsid w:val="00656A97"/>
    <w:rsid w:val="006647DC"/>
    <w:rsid w:val="00664E2C"/>
    <w:rsid w:val="00667E55"/>
    <w:rsid w:val="00673E8A"/>
    <w:rsid w:val="00692553"/>
    <w:rsid w:val="006A4B7F"/>
    <w:rsid w:val="006B00E8"/>
    <w:rsid w:val="006B26D2"/>
    <w:rsid w:val="006C09DB"/>
    <w:rsid w:val="006D215D"/>
    <w:rsid w:val="006D64AB"/>
    <w:rsid w:val="006E2593"/>
    <w:rsid w:val="006E5A17"/>
    <w:rsid w:val="00700B07"/>
    <w:rsid w:val="00702A2E"/>
    <w:rsid w:val="00704292"/>
    <w:rsid w:val="00706280"/>
    <w:rsid w:val="007069B4"/>
    <w:rsid w:val="00740B93"/>
    <w:rsid w:val="007431A8"/>
    <w:rsid w:val="00751DB1"/>
    <w:rsid w:val="007543D1"/>
    <w:rsid w:val="00770AE4"/>
    <w:rsid w:val="007721E7"/>
    <w:rsid w:val="00784D7B"/>
    <w:rsid w:val="00796CAF"/>
    <w:rsid w:val="007A0BAA"/>
    <w:rsid w:val="007A1D06"/>
    <w:rsid w:val="007A2766"/>
    <w:rsid w:val="007A7C39"/>
    <w:rsid w:val="007B69E5"/>
    <w:rsid w:val="007C0985"/>
    <w:rsid w:val="007C6FBB"/>
    <w:rsid w:val="007D5312"/>
    <w:rsid w:val="007F1427"/>
    <w:rsid w:val="007F52CB"/>
    <w:rsid w:val="00800FE6"/>
    <w:rsid w:val="008064DB"/>
    <w:rsid w:val="008166C3"/>
    <w:rsid w:val="008346C4"/>
    <w:rsid w:val="00843384"/>
    <w:rsid w:val="0084474C"/>
    <w:rsid w:val="00853122"/>
    <w:rsid w:val="008567F8"/>
    <w:rsid w:val="008579BB"/>
    <w:rsid w:val="0086507D"/>
    <w:rsid w:val="00871CA1"/>
    <w:rsid w:val="00880047"/>
    <w:rsid w:val="008818A7"/>
    <w:rsid w:val="008943A9"/>
    <w:rsid w:val="008A7881"/>
    <w:rsid w:val="008B1077"/>
    <w:rsid w:val="008C18B2"/>
    <w:rsid w:val="008C56BB"/>
    <w:rsid w:val="008D2F0B"/>
    <w:rsid w:val="008F3ABB"/>
    <w:rsid w:val="00900B02"/>
    <w:rsid w:val="00906B3F"/>
    <w:rsid w:val="00924B2A"/>
    <w:rsid w:val="00931911"/>
    <w:rsid w:val="00932440"/>
    <w:rsid w:val="00932896"/>
    <w:rsid w:val="00933BB1"/>
    <w:rsid w:val="00937AC6"/>
    <w:rsid w:val="00944833"/>
    <w:rsid w:val="0095055E"/>
    <w:rsid w:val="009520F7"/>
    <w:rsid w:val="009534D1"/>
    <w:rsid w:val="0097580F"/>
    <w:rsid w:val="00980A36"/>
    <w:rsid w:val="00993776"/>
    <w:rsid w:val="009967C9"/>
    <w:rsid w:val="009A3C32"/>
    <w:rsid w:val="009A7D46"/>
    <w:rsid w:val="009D115C"/>
    <w:rsid w:val="009D5049"/>
    <w:rsid w:val="009D7B54"/>
    <w:rsid w:val="009E0B06"/>
    <w:rsid w:val="00A05AE2"/>
    <w:rsid w:val="00A0681D"/>
    <w:rsid w:val="00A07499"/>
    <w:rsid w:val="00A1354E"/>
    <w:rsid w:val="00A13A83"/>
    <w:rsid w:val="00A31748"/>
    <w:rsid w:val="00A334F0"/>
    <w:rsid w:val="00A341CB"/>
    <w:rsid w:val="00A35233"/>
    <w:rsid w:val="00A377A8"/>
    <w:rsid w:val="00A44B67"/>
    <w:rsid w:val="00A523D8"/>
    <w:rsid w:val="00A546DF"/>
    <w:rsid w:val="00A64FA8"/>
    <w:rsid w:val="00A721ED"/>
    <w:rsid w:val="00A757EF"/>
    <w:rsid w:val="00A81D51"/>
    <w:rsid w:val="00A87841"/>
    <w:rsid w:val="00A91621"/>
    <w:rsid w:val="00A95A22"/>
    <w:rsid w:val="00AA307C"/>
    <w:rsid w:val="00AB3930"/>
    <w:rsid w:val="00AC760F"/>
    <w:rsid w:val="00AE3993"/>
    <w:rsid w:val="00AF00C5"/>
    <w:rsid w:val="00AF4735"/>
    <w:rsid w:val="00AF626E"/>
    <w:rsid w:val="00B01E79"/>
    <w:rsid w:val="00B17FB4"/>
    <w:rsid w:val="00B3669F"/>
    <w:rsid w:val="00B40BBA"/>
    <w:rsid w:val="00B50B13"/>
    <w:rsid w:val="00B52907"/>
    <w:rsid w:val="00B831E4"/>
    <w:rsid w:val="00B83CFA"/>
    <w:rsid w:val="00B84052"/>
    <w:rsid w:val="00BA5372"/>
    <w:rsid w:val="00BB2324"/>
    <w:rsid w:val="00BE74B1"/>
    <w:rsid w:val="00BF1139"/>
    <w:rsid w:val="00C0178E"/>
    <w:rsid w:val="00C06562"/>
    <w:rsid w:val="00C21980"/>
    <w:rsid w:val="00C2311D"/>
    <w:rsid w:val="00C24DD8"/>
    <w:rsid w:val="00C2509A"/>
    <w:rsid w:val="00C32E7A"/>
    <w:rsid w:val="00C41BF2"/>
    <w:rsid w:val="00C5324E"/>
    <w:rsid w:val="00C61FC3"/>
    <w:rsid w:val="00C62578"/>
    <w:rsid w:val="00C65E31"/>
    <w:rsid w:val="00C92652"/>
    <w:rsid w:val="00C929FE"/>
    <w:rsid w:val="00C93D3A"/>
    <w:rsid w:val="00CA29C1"/>
    <w:rsid w:val="00CA7F69"/>
    <w:rsid w:val="00CB1817"/>
    <w:rsid w:val="00CC45A8"/>
    <w:rsid w:val="00CE1BB9"/>
    <w:rsid w:val="00CF05AD"/>
    <w:rsid w:val="00D01298"/>
    <w:rsid w:val="00D03643"/>
    <w:rsid w:val="00D141DA"/>
    <w:rsid w:val="00D30AD9"/>
    <w:rsid w:val="00D41392"/>
    <w:rsid w:val="00D56C04"/>
    <w:rsid w:val="00D63415"/>
    <w:rsid w:val="00D6344B"/>
    <w:rsid w:val="00D64702"/>
    <w:rsid w:val="00D74DD9"/>
    <w:rsid w:val="00D7709B"/>
    <w:rsid w:val="00D927D3"/>
    <w:rsid w:val="00D95C17"/>
    <w:rsid w:val="00DB2FFC"/>
    <w:rsid w:val="00DD1759"/>
    <w:rsid w:val="00DE2D8E"/>
    <w:rsid w:val="00DE7155"/>
    <w:rsid w:val="00E14055"/>
    <w:rsid w:val="00E319BA"/>
    <w:rsid w:val="00E45305"/>
    <w:rsid w:val="00E70CEF"/>
    <w:rsid w:val="00E727DD"/>
    <w:rsid w:val="00E74909"/>
    <w:rsid w:val="00E810E6"/>
    <w:rsid w:val="00E82478"/>
    <w:rsid w:val="00E867E9"/>
    <w:rsid w:val="00EB1D3D"/>
    <w:rsid w:val="00EB7639"/>
    <w:rsid w:val="00EB7895"/>
    <w:rsid w:val="00EC39C8"/>
    <w:rsid w:val="00ED3AF9"/>
    <w:rsid w:val="00ED50F0"/>
    <w:rsid w:val="00EE0371"/>
    <w:rsid w:val="00EF0959"/>
    <w:rsid w:val="00EF3078"/>
    <w:rsid w:val="00EF3F08"/>
    <w:rsid w:val="00F00A1F"/>
    <w:rsid w:val="00F011E9"/>
    <w:rsid w:val="00F01CAA"/>
    <w:rsid w:val="00F031E2"/>
    <w:rsid w:val="00F03A6C"/>
    <w:rsid w:val="00F03E7E"/>
    <w:rsid w:val="00F11894"/>
    <w:rsid w:val="00F23E24"/>
    <w:rsid w:val="00F269D5"/>
    <w:rsid w:val="00F30B0A"/>
    <w:rsid w:val="00F30BD9"/>
    <w:rsid w:val="00F35EFC"/>
    <w:rsid w:val="00F3785F"/>
    <w:rsid w:val="00F46F91"/>
    <w:rsid w:val="00F47362"/>
    <w:rsid w:val="00F47C56"/>
    <w:rsid w:val="00F5267A"/>
    <w:rsid w:val="00F5359C"/>
    <w:rsid w:val="00F6091C"/>
    <w:rsid w:val="00F64673"/>
    <w:rsid w:val="00F76A3F"/>
    <w:rsid w:val="00F805E7"/>
    <w:rsid w:val="00F874A6"/>
    <w:rsid w:val="00F96208"/>
    <w:rsid w:val="00FA6565"/>
    <w:rsid w:val="00FA6FE3"/>
    <w:rsid w:val="00FA738D"/>
    <w:rsid w:val="00FB2936"/>
    <w:rsid w:val="00FC154B"/>
    <w:rsid w:val="00FD1463"/>
    <w:rsid w:val="00FD4955"/>
    <w:rsid w:val="00FD7023"/>
    <w:rsid w:val="00FE5B17"/>
    <w:rsid w:val="00FF0ACE"/>
    <w:rsid w:val="00FF7864"/>
    <w:rsid w:val="0C50784B"/>
    <w:rsid w:val="0CAD5E70"/>
    <w:rsid w:val="2E966DB0"/>
    <w:rsid w:val="2F1D27F8"/>
    <w:rsid w:val="2FD07E2D"/>
    <w:rsid w:val="392C5837"/>
    <w:rsid w:val="485E0EF9"/>
    <w:rsid w:val="488F2187"/>
    <w:rsid w:val="49313F60"/>
    <w:rsid w:val="51CC094B"/>
    <w:rsid w:val="53DB6B0F"/>
    <w:rsid w:val="59B77B61"/>
    <w:rsid w:val="5B34568B"/>
    <w:rsid w:val="5FB21FE5"/>
    <w:rsid w:val="65A83811"/>
    <w:rsid w:val="66FD4E78"/>
    <w:rsid w:val="6A3B554E"/>
    <w:rsid w:val="6A5D5688"/>
    <w:rsid w:val="6D095F36"/>
    <w:rsid w:val="768D6B30"/>
    <w:rsid w:val="7AD41AA1"/>
    <w:rsid w:val="7C440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link w:val="24"/>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6"/>
    <w:unhideWhenUsed/>
    <w:qFormat/>
    <w:uiPriority w:val="0"/>
    <w:rPr>
      <w:rFonts w:asciiTheme="minorHAnsi" w:hAnsiTheme="minorHAnsi" w:eastAsiaTheme="minorEastAsia" w:cstheme="minorBidi"/>
      <w:sz w:val="24"/>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0"/>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page number"/>
    <w:basedOn w:val="9"/>
    <w:qFormat/>
    <w:uiPriority w:val="0"/>
  </w:style>
  <w:style w:type="character" w:styleId="12">
    <w:name w:val="FollowedHyperlink"/>
    <w:basedOn w:val="9"/>
    <w:semiHidden/>
    <w:unhideWhenUsed/>
    <w:qFormat/>
    <w:uiPriority w:val="99"/>
    <w:rPr>
      <w:color w:val="2490F8"/>
      <w:u w:val="none"/>
    </w:rPr>
  </w:style>
  <w:style w:type="character" w:styleId="13">
    <w:name w:val="Emphasis"/>
    <w:basedOn w:val="9"/>
    <w:qFormat/>
    <w:uiPriority w:val="20"/>
  </w:style>
  <w:style w:type="character" w:styleId="14">
    <w:name w:val="Hyperlink"/>
    <w:basedOn w:val="9"/>
    <w:semiHidden/>
    <w:unhideWhenUsed/>
    <w:qFormat/>
    <w:uiPriority w:val="99"/>
    <w:rPr>
      <w:color w:val="2490F8"/>
      <w:u w:val="none"/>
    </w:rPr>
  </w:style>
  <w:style w:type="table" w:styleId="16">
    <w:name w:val="Table Grid"/>
    <w:basedOn w:val="1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9"/>
    <w:link w:val="7"/>
    <w:qFormat/>
    <w:uiPriority w:val="99"/>
    <w:rPr>
      <w:sz w:val="18"/>
      <w:szCs w:val="18"/>
    </w:rPr>
  </w:style>
  <w:style w:type="character" w:customStyle="1" w:styleId="18">
    <w:name w:val="页脚 字符"/>
    <w:basedOn w:val="9"/>
    <w:link w:val="6"/>
    <w:qFormat/>
    <w:uiPriority w:val="0"/>
    <w:rPr>
      <w:sz w:val="18"/>
      <w:szCs w:val="18"/>
    </w:rPr>
  </w:style>
  <w:style w:type="character" w:customStyle="1" w:styleId="19">
    <w:name w:val="批注框文本 字符"/>
    <w:basedOn w:val="9"/>
    <w:link w:val="5"/>
    <w:semiHidden/>
    <w:qFormat/>
    <w:uiPriority w:val="99"/>
    <w:rPr>
      <w:rFonts w:ascii="Times New Roman" w:hAnsi="Times New Roman" w:eastAsia="宋体" w:cs="Times New Roman"/>
      <w:sz w:val="18"/>
      <w:szCs w:val="18"/>
    </w:rPr>
  </w:style>
  <w:style w:type="character" w:customStyle="1" w:styleId="20">
    <w:name w:val="xdrichtextbox2"/>
    <w:basedOn w:val="9"/>
    <w:qFormat/>
    <w:uiPriority w:val="0"/>
    <w:rPr>
      <w:color w:val="0000FF"/>
      <w:sz w:val="18"/>
      <w:szCs w:val="18"/>
      <w:u w:val="none"/>
      <w:bdr w:val="single" w:color="DCDCDC" w:sz="8" w:space="0"/>
      <w:shd w:val="clear" w:color="auto" w:fill="FFFFFF"/>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34"/>
    <w:pPr>
      <w:ind w:firstLine="420" w:firstLineChars="200"/>
    </w:pPr>
  </w:style>
  <w:style w:type="character" w:customStyle="1" w:styleId="23">
    <w:name w:val="标题 2 字符"/>
    <w:basedOn w:val="9"/>
    <w:link w:val="2"/>
    <w:qFormat/>
    <w:uiPriority w:val="0"/>
    <w:rPr>
      <w:rFonts w:ascii="Arial" w:hAnsi="Arial" w:eastAsia="黑体" w:cs="Times New Roman"/>
      <w:b/>
      <w:bCs/>
      <w:sz w:val="32"/>
      <w:szCs w:val="32"/>
    </w:rPr>
  </w:style>
  <w:style w:type="character" w:customStyle="1" w:styleId="24">
    <w:name w:val="标题 4 字符"/>
    <w:basedOn w:val="9"/>
    <w:link w:val="3"/>
    <w:qFormat/>
    <w:uiPriority w:val="0"/>
    <w:rPr>
      <w:rFonts w:ascii="Arial" w:hAnsi="Arial" w:eastAsia="黑体" w:cs="Times New Roman"/>
      <w:b/>
      <w:bCs/>
      <w:sz w:val="28"/>
      <w:szCs w:val="28"/>
    </w:rPr>
  </w:style>
  <w:style w:type="character" w:customStyle="1" w:styleId="25">
    <w:name w:val="正文文本 Char"/>
    <w:basedOn w:val="9"/>
    <w:semiHidden/>
    <w:qFormat/>
    <w:uiPriority w:val="99"/>
    <w:rPr>
      <w:rFonts w:ascii="Times New Roman" w:hAnsi="Times New Roman" w:eastAsia="宋体" w:cs="Times New Roman"/>
      <w:szCs w:val="24"/>
    </w:rPr>
  </w:style>
  <w:style w:type="character" w:customStyle="1" w:styleId="26">
    <w:name w:val="正文文本 字符"/>
    <w:basedOn w:val="9"/>
    <w:link w:val="4"/>
    <w:qFormat/>
    <w:uiPriority w:val="0"/>
    <w:rPr>
      <w:sz w:val="24"/>
      <w:szCs w:val="24"/>
    </w:rPr>
  </w:style>
  <w:style w:type="character" w:customStyle="1" w:styleId="27">
    <w:name w:val="pagechatarealistclose_box"/>
    <w:basedOn w:val="9"/>
    <w:qFormat/>
    <w:uiPriority w:val="0"/>
  </w:style>
  <w:style w:type="character" w:customStyle="1" w:styleId="28">
    <w:name w:val="pagechatarealistclose_box1"/>
    <w:basedOn w:val="9"/>
    <w:qFormat/>
    <w:uiPriority w:val="0"/>
  </w:style>
  <w:style w:type="character" w:customStyle="1" w:styleId="29">
    <w:name w:val="layui-layer-tabnow"/>
    <w:basedOn w:val="9"/>
    <w:qFormat/>
    <w:uiPriority w:val="0"/>
    <w:rPr>
      <w:bdr w:val="single" w:color="CCCCCC" w:sz="6" w:space="0"/>
      <w:shd w:val="clear" w:color="auto" w:fill="FFFFFF"/>
    </w:rPr>
  </w:style>
  <w:style w:type="character" w:customStyle="1" w:styleId="30">
    <w:name w:val="ico1654"/>
    <w:basedOn w:val="9"/>
    <w:qFormat/>
    <w:uiPriority w:val="0"/>
  </w:style>
  <w:style w:type="character" w:customStyle="1" w:styleId="31">
    <w:name w:val="ico1655"/>
    <w:basedOn w:val="9"/>
    <w:qFormat/>
    <w:uiPriority w:val="0"/>
  </w:style>
  <w:style w:type="character" w:customStyle="1" w:styleId="32">
    <w:name w:val="cdropleft"/>
    <w:basedOn w:val="9"/>
    <w:qFormat/>
    <w:uiPriority w:val="0"/>
  </w:style>
  <w:style w:type="character" w:customStyle="1" w:styleId="33">
    <w:name w:val="drapbtn"/>
    <w:basedOn w:val="9"/>
    <w:qFormat/>
    <w:uiPriority w:val="0"/>
  </w:style>
  <w:style w:type="character" w:customStyle="1" w:styleId="34">
    <w:name w:val="first-child"/>
    <w:basedOn w:val="9"/>
    <w:qFormat/>
    <w:uiPriority w:val="0"/>
  </w:style>
  <w:style w:type="character" w:customStyle="1" w:styleId="35">
    <w:name w:val="button"/>
    <w:basedOn w:val="9"/>
    <w:qFormat/>
    <w:uiPriority w:val="0"/>
  </w:style>
  <w:style w:type="character" w:customStyle="1" w:styleId="36">
    <w:name w:val="w32"/>
    <w:basedOn w:val="9"/>
    <w:qFormat/>
    <w:uiPriority w:val="0"/>
  </w:style>
  <w:style w:type="character" w:customStyle="1" w:styleId="37">
    <w:name w:val="cy"/>
    <w:basedOn w:val="9"/>
    <w:qFormat/>
    <w:uiPriority w:val="0"/>
  </w:style>
  <w:style w:type="character" w:customStyle="1" w:styleId="38">
    <w:name w:val="hilite"/>
    <w:basedOn w:val="9"/>
    <w:qFormat/>
    <w:uiPriority w:val="0"/>
    <w:rPr>
      <w:color w:val="FFFFFF"/>
      <w:shd w:val="clear" w:color="auto" w:fill="666666"/>
    </w:rPr>
  </w:style>
  <w:style w:type="character" w:customStyle="1" w:styleId="39">
    <w:name w:val="cdropright"/>
    <w:basedOn w:val="9"/>
    <w:qFormat/>
    <w:uiPriority w:val="0"/>
  </w:style>
  <w:style w:type="character" w:customStyle="1" w:styleId="40">
    <w:name w:val="associateddata"/>
    <w:basedOn w:val="9"/>
    <w:qFormat/>
    <w:uiPriority w:val="0"/>
    <w:rPr>
      <w:shd w:val="clear" w:color="auto" w:fill="50A6F9"/>
    </w:rPr>
  </w:style>
  <w:style w:type="character" w:customStyle="1" w:styleId="41">
    <w:name w:val="after"/>
    <w:basedOn w:val="9"/>
    <w:qFormat/>
    <w:uiPriority w:val="0"/>
    <w:rPr>
      <w:sz w:val="0"/>
      <w:szCs w:val="0"/>
    </w:rPr>
  </w:style>
  <w:style w:type="character" w:customStyle="1" w:styleId="42">
    <w:name w:val="tmpztreemove_arrow"/>
    <w:basedOn w:val="9"/>
    <w:qFormat/>
    <w:uiPriority w:val="0"/>
  </w:style>
  <w:style w:type="character" w:customStyle="1" w:styleId="43">
    <w:name w:val="icontext1"/>
    <w:basedOn w:val="9"/>
    <w:qFormat/>
    <w:uiPriority w:val="0"/>
  </w:style>
  <w:style w:type="character" w:customStyle="1" w:styleId="44">
    <w:name w:val="icontext11"/>
    <w:basedOn w:val="9"/>
    <w:qFormat/>
    <w:uiPriority w:val="0"/>
  </w:style>
  <w:style w:type="character" w:customStyle="1" w:styleId="45">
    <w:name w:val="icontext12"/>
    <w:basedOn w:val="9"/>
    <w:qFormat/>
    <w:uiPriority w:val="0"/>
  </w:style>
  <w:style w:type="character" w:customStyle="1" w:styleId="46">
    <w:name w:val="iconline2"/>
    <w:basedOn w:val="9"/>
    <w:qFormat/>
    <w:uiPriority w:val="0"/>
  </w:style>
  <w:style w:type="character" w:customStyle="1" w:styleId="47">
    <w:name w:val="iconline21"/>
    <w:basedOn w:val="9"/>
    <w:qFormat/>
    <w:uiPriority w:val="0"/>
  </w:style>
  <w:style w:type="character" w:customStyle="1" w:styleId="48">
    <w:name w:val="icontext3"/>
    <w:basedOn w:val="9"/>
    <w:qFormat/>
    <w:uiPriority w:val="0"/>
  </w:style>
  <w:style w:type="character" w:customStyle="1" w:styleId="49">
    <w:name w:val="icontext2"/>
    <w:basedOn w:val="9"/>
    <w:qFormat/>
    <w:uiPriority w:val="0"/>
  </w:style>
  <w:style w:type="character" w:customStyle="1" w:styleId="50">
    <w:name w:val="active8"/>
    <w:basedOn w:val="9"/>
    <w:qFormat/>
    <w:uiPriority w:val="0"/>
    <w:rPr>
      <w:color w:val="00FF00"/>
      <w:shd w:val="clear" w:color="auto" w:fill="111111"/>
    </w:rPr>
  </w:style>
  <w:style w:type="character" w:customStyle="1" w:styleId="51">
    <w:name w:val="choose-status"/>
    <w:basedOn w:val="9"/>
    <w:qFormat/>
    <w:uiPriority w:val="0"/>
    <w:rPr>
      <w:color w:val="1F85EC"/>
      <w:shd w:val="clear" w:color="auto" w:fill="FFFFFF"/>
    </w:rPr>
  </w:style>
  <w:style w:type="character" w:customStyle="1" w:styleId="52">
    <w:name w:val="button4"/>
    <w:basedOn w:val="9"/>
    <w:qFormat/>
    <w:uiPriority w:val="0"/>
  </w:style>
  <w:style w:type="character" w:customStyle="1" w:styleId="53">
    <w:name w:val="active"/>
    <w:basedOn w:val="9"/>
    <w:qFormat/>
    <w:uiPriority w:val="0"/>
    <w:rPr>
      <w:color w:val="00FF00"/>
      <w:shd w:val="clear" w:color="auto" w:fill="111111"/>
    </w:rPr>
  </w:style>
  <w:style w:type="character" w:customStyle="1" w:styleId="54">
    <w:name w:val="hilite6"/>
    <w:basedOn w:val="9"/>
    <w:qFormat/>
    <w:uiPriority w:val="0"/>
    <w:rPr>
      <w:color w:val="FFFFFF"/>
      <w:shd w:val="clear" w:color="auto" w:fill="666666"/>
    </w:rPr>
  </w:style>
  <w:style w:type="paragraph" w:customStyle="1" w:styleId="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C5582-80CC-47C4-8D43-8B7F4580EF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928</Words>
  <Characters>5290</Characters>
  <Lines>44</Lines>
  <Paragraphs>12</Paragraphs>
  <TotalTime>1</TotalTime>
  <ScaleCrop>false</ScaleCrop>
  <LinksUpToDate>false</LinksUpToDate>
  <CharactersWithSpaces>6206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2019-05-13T02:04:00Z</dcterms:created>
  <dc:creator>詹映静</dc:creator>
  <cp:lastModifiedBy>詹映静</cp:lastModifiedBy>
  <cp:lastPrinted>2024-11-25T03:10:00Z</cp:lastPrinted>
  <dcterms:modified xsi:type="dcterms:W3CDTF">2026-04-02T01:44:29Z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