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广州大学城能源发展有限公司</w:t>
      </w:r>
    </w:p>
    <w:p>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热水制备站雨污分流改造工程</w:t>
      </w:r>
    </w:p>
    <w:p>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rPr>
        <w:t>竞选文件</w:t>
      </w:r>
    </w:p>
    <w:p>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lang w:val="en-US" w:eastAsia="zh-CN"/>
        </w:rPr>
        <w:t>热水制备站雨污分流改造工程</w:t>
      </w:r>
    </w:p>
    <w:p>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w:t>
      </w:r>
      <w:r>
        <w:rPr>
          <w:rFonts w:hint="eastAsia" w:ascii="宋体" w:hAnsi="宋体" w:cs="宋体"/>
          <w:sz w:val="21"/>
          <w:szCs w:val="21"/>
          <w:lang w:val="en-US" w:eastAsia="zh-CN"/>
        </w:rPr>
        <w:t>：番禺区南村热水制备站</w:t>
      </w:r>
    </w:p>
    <w:p>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采购限价：人民币</w:t>
      </w:r>
      <w:r>
        <w:rPr>
          <w:rFonts w:hint="eastAsia" w:ascii="宋体" w:hAnsi="宋体" w:cs="宋体"/>
          <w:sz w:val="21"/>
          <w:szCs w:val="21"/>
          <w:lang w:val="en-US" w:eastAsia="zh-CN"/>
        </w:rPr>
        <w:t>8万</w:t>
      </w:r>
      <w:r>
        <w:rPr>
          <w:rFonts w:hint="eastAsia" w:ascii="宋体" w:hAnsi="宋体" w:cs="宋体"/>
          <w:sz w:val="21"/>
          <w:szCs w:val="21"/>
        </w:rPr>
        <w:t>元（投标报价超过采购限价为无效投标）。</w:t>
      </w:r>
    </w:p>
    <w:p>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项目概况</w:t>
      </w:r>
    </w:p>
    <w:p>
      <w:pPr>
        <w:pStyle w:val="2"/>
        <w:rPr>
          <w:rFonts w:hint="eastAsia" w:ascii="宋体" w:hAnsi="宋体" w:cs="宋体"/>
          <w:szCs w:val="21"/>
          <w:lang w:val="en-US" w:eastAsia="zh-CN"/>
        </w:rPr>
      </w:pPr>
      <w:r>
        <w:rPr>
          <w:rFonts w:hint="eastAsia" w:ascii="宋体" w:hAnsi="宋体" w:eastAsia="宋体" w:cs="宋体"/>
          <w:kern w:val="2"/>
          <w:sz w:val="21"/>
          <w:szCs w:val="21"/>
          <w:lang w:val="en-US" w:eastAsia="zh-CN" w:bidi="ar-SA"/>
        </w:rPr>
        <w:t>根据要求，热水制备站的热水疏水及二楼生活用水需重新分流，室外制备站北侧8个蒸汽疏水和热媒水疏水点排水需整改。</w:t>
      </w:r>
    </w:p>
    <w:p>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pPr>
        <w:pStyle w:val="38"/>
        <w:numPr>
          <w:ilvl w:val="0"/>
          <w:numId w:val="3"/>
        </w:numPr>
        <w:spacing w:before="156" w:beforeLines="50" w:after="156"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必须是具有独立承担民事责任能力的在中华人民共和国境内注册的法人，具备有效的工商营业执照、企业法人组织机构代码证书、税务登记证书（或三证合一），按国家法律经营；</w:t>
      </w:r>
    </w:p>
    <w:p>
      <w:pPr>
        <w:pStyle w:val="38"/>
        <w:numPr>
          <w:ilvl w:val="0"/>
          <w:numId w:val="3"/>
        </w:numPr>
        <w:spacing w:before="156" w:beforeLines="50" w:after="156"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投标人未被列入“信用中国”网站(www.creditchina.gov.cn)记录</w:t>
      </w:r>
      <w:r>
        <w:rPr>
          <w:rFonts w:hint="eastAsia" w:ascii="宋体" w:hAnsi="宋体" w:eastAsia="宋体" w:cs="宋体"/>
          <w:sz w:val="21"/>
          <w:szCs w:val="21"/>
          <w:highlight w:val="none"/>
        </w:rPr>
        <w:t>失信被执行人名单,须提供“信用中国”网站(www.creditchina.gov.cn)的信用记录查询结</w:t>
      </w:r>
      <w:r>
        <w:rPr>
          <w:rFonts w:hint="eastAsia" w:ascii="宋体" w:hAnsi="宋体" w:eastAsia="宋体" w:cs="宋体"/>
          <w:sz w:val="21"/>
          <w:szCs w:val="21"/>
        </w:rPr>
        <w:t>果截图或信用信息报告并打印页面加盖公章；</w:t>
      </w:r>
    </w:p>
    <w:p>
      <w:pPr>
        <w:pStyle w:val="38"/>
        <w:numPr>
          <w:ilvl w:val="0"/>
          <w:numId w:val="3"/>
        </w:numPr>
        <w:spacing w:before="156" w:beforeLines="50" w:after="156"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w:t>
      </w:r>
      <w:r>
        <w:rPr>
          <w:rFonts w:hint="eastAsia" w:ascii="宋体" w:hAnsi="宋体" w:eastAsia="宋体" w:cs="宋体"/>
          <w:sz w:val="21"/>
          <w:szCs w:val="21"/>
          <w:lang w:val="en-US" w:eastAsia="zh-CN"/>
        </w:rPr>
        <w:t>声明：</w:t>
      </w:r>
      <w:r>
        <w:rPr>
          <w:rFonts w:hint="eastAsia" w:ascii="宋体" w:hAnsi="宋体" w:eastAsia="宋体" w:cs="宋体"/>
          <w:sz w:val="21"/>
          <w:szCs w:val="21"/>
        </w:rPr>
        <w:t>没有处于被责令停业或破产状态，且资产未被重组、接管和冻结，声明在投标活动中3 年内没有重大违法活动和涉嫌违规行为</w:t>
      </w:r>
      <w:r>
        <w:rPr>
          <w:rFonts w:hint="eastAsia" w:ascii="宋体" w:hAnsi="宋体" w:eastAsia="宋体" w:cs="宋体"/>
          <w:sz w:val="21"/>
          <w:szCs w:val="21"/>
          <w:lang w:eastAsia="zh-CN"/>
        </w:rPr>
        <w:t>；</w:t>
      </w:r>
    </w:p>
    <w:p>
      <w:pPr>
        <w:pStyle w:val="38"/>
        <w:numPr>
          <w:ilvl w:val="0"/>
          <w:numId w:val="3"/>
        </w:numPr>
        <w:spacing w:before="156" w:beforeLines="50" w:after="156" w:afterLines="50" w:line="360" w:lineRule="auto"/>
        <w:ind w:left="0"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投标人具有</w:t>
      </w:r>
      <w:r>
        <w:rPr>
          <w:rFonts w:hint="eastAsia" w:ascii="宋体" w:hAnsi="宋体" w:cs="宋体"/>
          <w:sz w:val="21"/>
          <w:szCs w:val="21"/>
          <w:highlight w:val="none"/>
          <w:lang w:val="en-US" w:eastAsia="zh-CN"/>
        </w:rPr>
        <w:t>有效期内</w:t>
      </w:r>
      <w:r>
        <w:rPr>
          <w:rFonts w:hint="eastAsia" w:ascii="宋体" w:hAnsi="宋体" w:eastAsia="宋体" w:cs="宋体"/>
          <w:sz w:val="21"/>
          <w:szCs w:val="21"/>
          <w:highlight w:val="none"/>
          <w:lang w:val="en-US" w:eastAsia="zh-CN"/>
        </w:rPr>
        <w:t>机电工程施工总承包叁级及以上资质；或具有</w:t>
      </w:r>
      <w:r>
        <w:rPr>
          <w:rFonts w:hint="eastAsia" w:ascii="宋体" w:hAnsi="宋体" w:cs="宋体"/>
          <w:sz w:val="21"/>
          <w:szCs w:val="21"/>
          <w:highlight w:val="none"/>
          <w:lang w:val="en-US" w:eastAsia="zh-CN"/>
        </w:rPr>
        <w:t>有效期内</w:t>
      </w:r>
      <w:r>
        <w:rPr>
          <w:rFonts w:hint="eastAsia" w:ascii="宋体" w:hAnsi="宋体" w:eastAsia="宋体" w:cs="宋体"/>
          <w:sz w:val="21"/>
          <w:szCs w:val="21"/>
          <w:highlight w:val="none"/>
          <w:lang w:val="en-US" w:eastAsia="zh-CN"/>
        </w:rPr>
        <w:t>建筑机电安装工程专业承包叁级及以上资质；或具有</w:t>
      </w:r>
      <w:r>
        <w:rPr>
          <w:rFonts w:hint="eastAsia" w:ascii="宋体" w:hAnsi="宋体" w:cs="宋体"/>
          <w:sz w:val="21"/>
          <w:szCs w:val="21"/>
          <w:highlight w:val="none"/>
          <w:lang w:val="en-US" w:eastAsia="zh-CN"/>
        </w:rPr>
        <w:t>有效期内</w:t>
      </w:r>
      <w:r>
        <w:rPr>
          <w:rFonts w:hint="eastAsia" w:ascii="宋体" w:hAnsi="宋体" w:eastAsia="宋体" w:cs="宋体"/>
          <w:sz w:val="21"/>
          <w:szCs w:val="21"/>
          <w:highlight w:val="none"/>
          <w:lang w:val="en-US" w:eastAsia="zh-CN"/>
        </w:rPr>
        <w:t>市政公用工程施工总承包叁级及以上资质；</w:t>
      </w:r>
    </w:p>
    <w:p>
      <w:pPr>
        <w:pStyle w:val="38"/>
        <w:numPr>
          <w:ilvl w:val="0"/>
          <w:numId w:val="3"/>
        </w:numPr>
        <w:spacing w:before="156" w:beforeLines="50" w:after="156"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w:t>
      </w:r>
      <w:r>
        <w:rPr>
          <w:rFonts w:hint="eastAsia" w:ascii="宋体" w:hAnsi="宋体" w:eastAsia="宋体" w:cs="宋体"/>
          <w:sz w:val="21"/>
          <w:szCs w:val="21"/>
          <w:lang w:val="en-US" w:eastAsia="zh-CN"/>
        </w:rPr>
        <w:t>具有</w:t>
      </w:r>
      <w:r>
        <w:rPr>
          <w:rFonts w:hint="eastAsia" w:ascii="宋体" w:hAnsi="宋体" w:eastAsia="宋体" w:cs="宋体"/>
          <w:sz w:val="21"/>
          <w:szCs w:val="21"/>
        </w:rPr>
        <w:t>类似工程项目业绩（需提供合同等相关证明材料复印件）</w:t>
      </w:r>
      <w:r>
        <w:rPr>
          <w:rFonts w:hint="eastAsia" w:ascii="宋体" w:hAnsi="宋体" w:eastAsia="宋体" w:cs="宋体"/>
          <w:sz w:val="21"/>
          <w:szCs w:val="21"/>
          <w:lang w:eastAsia="zh-CN"/>
        </w:rPr>
        <w:t>。</w:t>
      </w:r>
    </w:p>
    <w:p>
      <w:pPr>
        <w:pStyle w:val="38"/>
        <w:numPr>
          <w:ilvl w:val="0"/>
          <w:numId w:val="3"/>
        </w:numPr>
        <w:spacing w:before="156" w:beforeLines="50" w:after="156"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不接受联合体报价。</w:t>
      </w:r>
    </w:p>
    <w:p>
      <w:pPr>
        <w:numPr>
          <w:ilvl w:val="0"/>
          <w:numId w:val="1"/>
        </w:numPr>
        <w:spacing w:before="120" w:beforeLines="50" w:after="120" w:afterLines="50" w:line="360" w:lineRule="auto"/>
        <w:ind w:left="0" w:firstLine="422" w:firstLineChars="200"/>
        <w:rPr>
          <w:rFonts w:hint="default" w:ascii="宋体" w:hAnsi="宋体" w:cs="宋体"/>
          <w:b/>
          <w:bCs/>
          <w:sz w:val="21"/>
          <w:szCs w:val="21"/>
          <w:lang w:val="en-US"/>
        </w:rPr>
      </w:pPr>
      <w:r>
        <w:rPr>
          <w:rFonts w:hint="eastAsia" w:ascii="宋体" w:hAnsi="宋体" w:cs="宋体"/>
          <w:b/>
          <w:bCs/>
          <w:sz w:val="21"/>
          <w:szCs w:val="21"/>
        </w:rPr>
        <w:t>项目工作</w:t>
      </w:r>
      <w:r>
        <w:rPr>
          <w:rFonts w:hint="eastAsia" w:ascii="宋体" w:hAnsi="宋体" w:cs="宋体"/>
          <w:b/>
          <w:bCs/>
          <w:sz w:val="21"/>
          <w:szCs w:val="21"/>
          <w:lang w:val="en-US" w:eastAsia="zh-CN"/>
        </w:rPr>
        <w:t>内容</w:t>
      </w:r>
    </w:p>
    <w:p>
      <w:pPr>
        <w:numPr>
          <w:ilvl w:val="0"/>
          <w:numId w:val="0"/>
        </w:numPr>
        <w:ind w:firstLine="560" w:firstLineChars="200"/>
        <w:rPr>
          <w:rFonts w:hint="eastAsia" w:ascii="仿宋" w:hAnsi="仿宋" w:eastAsia="仿宋" w:cs="仿宋"/>
          <w:sz w:val="28"/>
          <w:szCs w:val="36"/>
          <w:lang w:val="en-US" w:eastAsia="zh-CN"/>
        </w:rPr>
      </w:pPr>
    </w:p>
    <w:p>
      <w:pPr>
        <w:numPr>
          <w:ilvl w:val="0"/>
          <w:numId w:val="0"/>
        </w:numPr>
        <w:ind w:firstLine="560" w:firstLineChars="200"/>
        <w:rPr>
          <w:rFonts w:hint="eastAsia" w:ascii="仿宋" w:hAnsi="仿宋" w:eastAsia="仿宋" w:cs="仿宋"/>
          <w:sz w:val="28"/>
          <w:szCs w:val="36"/>
          <w:lang w:val="en-US" w:eastAsia="zh-CN"/>
        </w:rPr>
      </w:pPr>
    </w:p>
    <w:p>
      <w:pPr>
        <w:numPr>
          <w:ilvl w:val="0"/>
          <w:numId w:val="0"/>
        </w:numPr>
        <w:ind w:leftChars="0"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drawing>
          <wp:inline distT="0" distB="0" distL="114300" distR="114300">
            <wp:extent cx="2422525" cy="3226435"/>
            <wp:effectExtent l="0" t="0" r="15875" b="12065"/>
            <wp:docPr id="6" name="图片 1" descr="IMG_20250912_10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0250912_103345"/>
                    <pic:cNvPicPr>
                      <a:picLocks noChangeAspect="1"/>
                    </pic:cNvPicPr>
                  </pic:nvPicPr>
                  <pic:blipFill>
                    <a:blip r:embed="rId4"/>
                    <a:stretch>
                      <a:fillRect/>
                    </a:stretch>
                  </pic:blipFill>
                  <pic:spPr>
                    <a:xfrm>
                      <a:off x="0" y="0"/>
                      <a:ext cx="2422525" cy="3226435"/>
                    </a:xfrm>
                    <a:prstGeom prst="rect">
                      <a:avLst/>
                    </a:prstGeom>
                    <a:noFill/>
                    <a:ln>
                      <a:noFill/>
                    </a:ln>
                  </pic:spPr>
                </pic:pic>
              </a:graphicData>
            </a:graphic>
          </wp:inline>
        </w:drawing>
      </w:r>
      <w:r>
        <w:rPr>
          <w:rFonts w:hint="eastAsia" w:ascii="仿宋" w:hAnsi="仿宋" w:eastAsia="仿宋" w:cs="仿宋"/>
          <w:sz w:val="28"/>
          <w:szCs w:val="36"/>
          <w:lang w:val="en-US" w:eastAsia="zh-CN"/>
        </w:rPr>
        <w:t xml:space="preserve"> </w:t>
      </w:r>
      <w:r>
        <w:rPr>
          <w:rFonts w:hint="eastAsia" w:ascii="仿宋" w:hAnsi="仿宋" w:eastAsia="仿宋" w:cs="仿宋"/>
          <w:sz w:val="28"/>
          <w:szCs w:val="36"/>
          <w:lang w:val="en-US" w:eastAsia="zh-CN"/>
        </w:rPr>
        <w:drawing>
          <wp:inline distT="0" distB="0" distL="114300" distR="114300">
            <wp:extent cx="2397760" cy="3205480"/>
            <wp:effectExtent l="0" t="0" r="2540" b="13970"/>
            <wp:docPr id="7" name="图片 2" descr="IMG_20250917_16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0250917_162804"/>
                    <pic:cNvPicPr>
                      <a:picLocks noChangeAspect="1"/>
                    </pic:cNvPicPr>
                  </pic:nvPicPr>
                  <pic:blipFill>
                    <a:blip r:embed="rId5"/>
                    <a:stretch>
                      <a:fillRect/>
                    </a:stretch>
                  </pic:blipFill>
                  <pic:spPr>
                    <a:xfrm>
                      <a:off x="0" y="0"/>
                      <a:ext cx="2397760" cy="3205480"/>
                    </a:xfrm>
                    <a:prstGeom prst="rect">
                      <a:avLst/>
                    </a:prstGeom>
                    <a:noFill/>
                    <a:ln>
                      <a:noFill/>
                    </a:ln>
                  </pic:spPr>
                </pic:pic>
              </a:graphicData>
            </a:graphic>
          </wp:inline>
        </w:drawing>
      </w:r>
    </w:p>
    <w:p>
      <w:pPr>
        <w:numPr>
          <w:ilvl w:val="0"/>
          <w:numId w:val="0"/>
        </w:numPr>
        <w:ind w:leftChars="0" w:firstLine="560" w:firstLineChars="200"/>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室内</w:t>
      </w:r>
    </w:p>
    <w:p>
      <w:pPr>
        <w:numPr>
          <w:ilvl w:val="0"/>
          <w:numId w:val="0"/>
        </w:num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drawing>
          <wp:inline distT="0" distB="0" distL="114300" distR="114300">
            <wp:extent cx="2564130" cy="3429000"/>
            <wp:effectExtent l="0" t="0" r="7620" b="0"/>
            <wp:docPr id="9" name="图片 3" descr="IMG_20250917_15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0250917_153230"/>
                    <pic:cNvPicPr>
                      <a:picLocks noChangeAspect="1"/>
                    </pic:cNvPicPr>
                  </pic:nvPicPr>
                  <pic:blipFill>
                    <a:blip r:embed="rId6"/>
                    <a:stretch>
                      <a:fillRect/>
                    </a:stretch>
                  </pic:blipFill>
                  <pic:spPr>
                    <a:xfrm>
                      <a:off x="0" y="0"/>
                      <a:ext cx="2564130" cy="3429000"/>
                    </a:xfrm>
                    <a:prstGeom prst="rect">
                      <a:avLst/>
                    </a:prstGeom>
                    <a:noFill/>
                    <a:ln>
                      <a:noFill/>
                    </a:ln>
                  </pic:spPr>
                </pic:pic>
              </a:graphicData>
            </a:graphic>
          </wp:inline>
        </w:drawing>
      </w:r>
      <w:r>
        <w:rPr>
          <w:rFonts w:hint="eastAsia" w:ascii="仿宋" w:hAnsi="仿宋" w:eastAsia="仿宋" w:cs="仿宋"/>
          <w:sz w:val="28"/>
          <w:szCs w:val="36"/>
          <w:lang w:val="en-US" w:eastAsia="zh-CN"/>
        </w:rPr>
        <w:t xml:space="preserve"> </w:t>
      </w:r>
      <w:r>
        <w:rPr>
          <w:rFonts w:hint="eastAsia" w:ascii="仿宋" w:hAnsi="仿宋" w:eastAsia="仿宋" w:cs="仿宋"/>
          <w:sz w:val="28"/>
          <w:szCs w:val="36"/>
          <w:lang w:val="en-US" w:eastAsia="zh-CN"/>
        </w:rPr>
        <w:drawing>
          <wp:inline distT="0" distB="0" distL="114300" distR="114300">
            <wp:extent cx="2564130" cy="3431540"/>
            <wp:effectExtent l="0" t="0" r="7620" b="16510"/>
            <wp:docPr id="3" name="图片 4" descr="IMG_20250917_15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0250917_155041"/>
                    <pic:cNvPicPr>
                      <a:picLocks noChangeAspect="1"/>
                    </pic:cNvPicPr>
                  </pic:nvPicPr>
                  <pic:blipFill>
                    <a:blip r:embed="rId7"/>
                    <a:stretch>
                      <a:fillRect/>
                    </a:stretch>
                  </pic:blipFill>
                  <pic:spPr>
                    <a:xfrm>
                      <a:off x="0" y="0"/>
                      <a:ext cx="2564130" cy="3431540"/>
                    </a:xfrm>
                    <a:prstGeom prst="rect">
                      <a:avLst/>
                    </a:prstGeom>
                    <a:noFill/>
                    <a:ln>
                      <a:noFill/>
                    </a:ln>
                  </pic:spPr>
                </pic:pic>
              </a:graphicData>
            </a:graphic>
          </wp:inline>
        </w:drawing>
      </w:r>
    </w:p>
    <w:p>
      <w:pPr>
        <w:numPr>
          <w:ilvl w:val="0"/>
          <w:numId w:val="0"/>
        </w:num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室内排室外雨水井</w:t>
      </w:r>
    </w:p>
    <w:p>
      <w:pPr>
        <w:numPr>
          <w:ilvl w:val="0"/>
          <w:numId w:val="0"/>
        </w:numPr>
        <w:jc w:val="center"/>
        <w:rPr>
          <w:rFonts w:hint="eastAsia" w:ascii="仿宋" w:hAnsi="仿宋" w:eastAsia="仿宋" w:cs="仿宋"/>
          <w:sz w:val="28"/>
          <w:szCs w:val="36"/>
          <w:lang w:val="en-US" w:eastAsia="zh-CN"/>
        </w:rPr>
      </w:pPr>
    </w:p>
    <w:p>
      <w:pPr>
        <w:numPr>
          <w:ilvl w:val="0"/>
          <w:numId w:val="0"/>
        </w:numPr>
        <w:jc w:val="both"/>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drawing>
          <wp:inline distT="0" distB="0" distL="114300" distR="114300">
            <wp:extent cx="2513330" cy="3352800"/>
            <wp:effectExtent l="0" t="0" r="1270" b="0"/>
            <wp:docPr id="1" name="图片 5" descr="IMG_20251015_15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0251015_153313"/>
                    <pic:cNvPicPr>
                      <a:picLocks noChangeAspect="1"/>
                    </pic:cNvPicPr>
                  </pic:nvPicPr>
                  <pic:blipFill>
                    <a:blip r:embed="rId8"/>
                    <a:stretch>
                      <a:fillRect/>
                    </a:stretch>
                  </pic:blipFill>
                  <pic:spPr>
                    <a:xfrm>
                      <a:off x="0" y="0"/>
                      <a:ext cx="2513330" cy="3352800"/>
                    </a:xfrm>
                    <a:prstGeom prst="rect">
                      <a:avLst/>
                    </a:prstGeom>
                    <a:noFill/>
                    <a:ln>
                      <a:noFill/>
                    </a:ln>
                  </pic:spPr>
                </pic:pic>
              </a:graphicData>
            </a:graphic>
          </wp:inline>
        </w:drawing>
      </w:r>
      <w:r>
        <w:rPr>
          <w:rFonts w:hint="eastAsia" w:ascii="仿宋" w:hAnsi="仿宋" w:eastAsia="仿宋" w:cs="仿宋"/>
          <w:sz w:val="28"/>
          <w:szCs w:val="36"/>
          <w:lang w:val="en-US" w:eastAsia="zh-CN"/>
        </w:rPr>
        <w:t xml:space="preserve"> </w:t>
      </w:r>
      <w:r>
        <w:rPr>
          <w:rFonts w:hint="eastAsia" w:ascii="仿宋" w:hAnsi="仿宋" w:eastAsia="仿宋" w:cs="仿宋"/>
          <w:sz w:val="28"/>
          <w:szCs w:val="36"/>
          <w:lang w:val="en-US" w:eastAsia="zh-CN"/>
        </w:rPr>
        <w:drawing>
          <wp:inline distT="0" distB="0" distL="114300" distR="114300">
            <wp:extent cx="2542540" cy="3390900"/>
            <wp:effectExtent l="0" t="0" r="10160" b="0"/>
            <wp:docPr id="2" name="图片 6" descr="IMG_20251015_15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0251015_153244"/>
                    <pic:cNvPicPr>
                      <a:picLocks noChangeAspect="1"/>
                    </pic:cNvPicPr>
                  </pic:nvPicPr>
                  <pic:blipFill>
                    <a:blip r:embed="rId9"/>
                    <a:stretch>
                      <a:fillRect/>
                    </a:stretch>
                  </pic:blipFill>
                  <pic:spPr>
                    <a:xfrm>
                      <a:off x="0" y="0"/>
                      <a:ext cx="2542540" cy="3390900"/>
                    </a:xfrm>
                    <a:prstGeom prst="rect">
                      <a:avLst/>
                    </a:prstGeom>
                    <a:noFill/>
                    <a:ln>
                      <a:noFill/>
                    </a:ln>
                  </pic:spPr>
                </pic:pic>
              </a:graphicData>
            </a:graphic>
          </wp:inline>
        </w:drawing>
      </w:r>
    </w:p>
    <w:p>
      <w:pPr>
        <w:numPr>
          <w:ilvl w:val="0"/>
          <w:numId w:val="0"/>
        </w:num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蒸汽疏水和热媒水疏水</w:t>
      </w:r>
    </w:p>
    <w:p>
      <w:pPr>
        <w:numPr>
          <w:ilvl w:val="0"/>
          <w:numId w:val="0"/>
        </w:numPr>
        <w:ind w:leftChars="0"/>
        <w:jc w:val="left"/>
        <w:rPr>
          <w:rFonts w:hint="eastAsia" w:ascii="仿宋" w:hAnsi="仿宋" w:eastAsia="仿宋" w:cs="仿宋"/>
          <w:sz w:val="28"/>
          <w:szCs w:val="36"/>
          <w:lang w:val="en-US" w:eastAsia="zh-CN"/>
        </w:rPr>
      </w:pPr>
    </w:p>
    <w:p>
      <w:pPr>
        <w:numPr>
          <w:ilvl w:val="0"/>
          <w:numId w:val="4"/>
        </w:numPr>
        <w:spacing w:line="360" w:lineRule="auto"/>
        <w:ind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室内二楼生活用水排水，通过在屋面开孔埋管，接入屋面天花板下的卫生间污水管道中，采用DN50PVC-U管。</w:t>
      </w:r>
    </w:p>
    <w:p>
      <w:pPr>
        <w:numPr>
          <w:ilvl w:val="0"/>
          <w:numId w:val="4"/>
        </w:numPr>
        <w:spacing w:line="360" w:lineRule="auto"/>
        <w:ind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对于室内热水管与雨水管合流的，将热水管截断，改接入旁边的独立外排热水管中。</w:t>
      </w:r>
    </w:p>
    <w:p>
      <w:pPr>
        <w:numPr>
          <w:ilvl w:val="0"/>
          <w:numId w:val="4"/>
        </w:numPr>
        <w:spacing w:line="360" w:lineRule="auto"/>
        <w:ind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室外新建热水污水管，采用DN200/DN75铸铁管，接至厂区的污水井中，除少量过路段外管道大部分均沿绿化带敷设。具体为：</w:t>
      </w:r>
    </w:p>
    <w:p>
      <w:pPr>
        <w:numPr>
          <w:ilvl w:val="0"/>
          <w:numId w:val="0"/>
        </w:numPr>
        <w:spacing w:line="360" w:lineRule="auto"/>
        <w:ind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制备站东侧4条出水管与北侧1条出水管，制备站北侧蒸汽疏水和热媒水疏水，管道汇集后接入制备站东侧机动车道上的污水井中；</w:t>
      </w:r>
    </w:p>
    <w:p>
      <w:pPr>
        <w:numPr>
          <w:ilvl w:val="0"/>
          <w:numId w:val="0"/>
        </w:numPr>
        <w:spacing w:line="360" w:lineRule="auto"/>
        <w:ind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制备站南侧1处出水管接入附近绿化带内的污水井中，室内1条雨水管（DN150PVC-U）穿墙后接入附近绿化带内的雨水井中；</w:t>
      </w:r>
    </w:p>
    <w:p>
      <w:pPr>
        <w:numPr>
          <w:ilvl w:val="0"/>
          <w:numId w:val="0"/>
        </w:numPr>
        <w:spacing w:line="360" w:lineRule="auto"/>
        <w:ind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制备站西侧室内2处水沟排水，接管穿墙后沿制备站西侧敷设，接入制备站西南角绿化带内的污水井中。</w:t>
      </w:r>
    </w:p>
    <w:p>
      <w:pPr>
        <w:numPr>
          <w:ilvl w:val="0"/>
          <w:numId w:val="0"/>
        </w:numPr>
        <w:spacing w:line="360" w:lineRule="auto"/>
        <w:ind w:leftChars="0"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详见</w:t>
      </w:r>
      <w:r>
        <w:rPr>
          <w:rFonts w:hint="eastAsia" w:ascii="宋体" w:hAnsi="宋体" w:cs="宋体"/>
          <w:sz w:val="21"/>
          <w:szCs w:val="21"/>
          <w:highlight w:val="none"/>
          <w:lang w:val="en-US" w:eastAsia="zh-CN"/>
        </w:rPr>
        <w:t>附件3雨污分流改造图</w:t>
      </w:r>
      <w:r>
        <w:rPr>
          <w:rFonts w:hint="eastAsia" w:ascii="宋体" w:hAnsi="宋体" w:eastAsia="宋体" w:cs="宋体"/>
          <w:sz w:val="21"/>
          <w:szCs w:val="21"/>
          <w:highlight w:val="none"/>
          <w:lang w:val="en-US" w:eastAsia="zh-CN"/>
        </w:rPr>
        <w:t>。</w:t>
      </w:r>
    </w:p>
    <w:p>
      <w:pPr>
        <w:numPr>
          <w:ilvl w:val="0"/>
          <w:numId w:val="1"/>
        </w:numPr>
        <w:spacing w:before="120" w:beforeLines="50" w:after="120" w:afterLines="50" w:line="360" w:lineRule="auto"/>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lang w:val="en-US" w:eastAsia="zh-CN"/>
        </w:rPr>
        <w:t>工程量及材料说明</w:t>
      </w:r>
    </w:p>
    <w:p>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一</w:t>
      </w:r>
      <w:r>
        <w:rPr>
          <w:rFonts w:hint="eastAsia" w:ascii="宋体" w:hAnsi="宋体" w:eastAsia="宋体" w:cs="宋体"/>
          <w:sz w:val="21"/>
          <w:szCs w:val="21"/>
        </w:rPr>
        <w:t>）</w:t>
      </w:r>
      <w:r>
        <w:rPr>
          <w:rFonts w:hint="eastAsia" w:ascii="宋体" w:hAnsi="宋体" w:cs="宋体"/>
          <w:szCs w:val="21"/>
        </w:rPr>
        <w:t>本项目由投标人包工包料，投标人应根据竞选文件及结合现场实际情况综合考虑再进行报价，投标人的投标报价应包括按竞选文件要求完成本项的全部费用。投标报价请按下表《工程量清单表》计算报价明细表。</w:t>
      </w:r>
    </w:p>
    <w:p>
      <w:pPr>
        <w:spacing w:line="500" w:lineRule="exact"/>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二</w:t>
      </w:r>
      <w:r>
        <w:rPr>
          <w:rFonts w:hint="eastAsia" w:ascii="宋体" w:hAnsi="宋体" w:cs="宋体"/>
          <w:sz w:val="21"/>
          <w:szCs w:val="21"/>
          <w:lang w:eastAsia="zh-CN"/>
        </w:rPr>
        <w:t>）</w:t>
      </w:r>
      <w:r>
        <w:rPr>
          <w:rFonts w:hint="eastAsia" w:ascii="宋体" w:hAnsi="宋体" w:eastAsia="宋体" w:cs="宋体"/>
          <w:sz w:val="21"/>
          <w:szCs w:val="21"/>
        </w:rPr>
        <w:t>主要工程量</w:t>
      </w:r>
      <w:r>
        <w:rPr>
          <w:rFonts w:hint="eastAsia" w:ascii="宋体" w:hAnsi="宋体" w:cs="宋体"/>
          <w:sz w:val="21"/>
          <w:szCs w:val="21"/>
          <w:lang w:val="en-US" w:eastAsia="zh-CN"/>
        </w:rPr>
        <w:t>清单</w:t>
      </w:r>
      <w:r>
        <w:rPr>
          <w:rFonts w:hint="eastAsia" w:ascii="宋体" w:hAnsi="宋体" w:eastAsia="宋体" w:cs="宋体"/>
          <w:sz w:val="21"/>
          <w:szCs w:val="21"/>
        </w:rPr>
        <w:t>：</w:t>
      </w:r>
    </w:p>
    <w:tbl>
      <w:tblPr>
        <w:tblStyle w:val="26"/>
        <w:tblW w:w="842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1430"/>
        <w:gridCol w:w="3748"/>
        <w:gridCol w:w="847"/>
        <w:gridCol w:w="847"/>
        <w:gridCol w:w="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43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374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规格特征</w:t>
            </w:r>
          </w:p>
        </w:tc>
        <w:tc>
          <w:tcPr>
            <w:tcW w:w="84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84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4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沟槽开挖与回填</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1.土壤类别:综合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2.挖土深度:深0.7-1.5m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3.多余土方现场散铺平整</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185</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中砂回填</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中砂回填，车行道下沟槽底部铺10cm垫层，管周回填（至管顶上方20cm）</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m3</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拆除路面</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1.路面材质:沥青；基层：水泥稳定碎石20cm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2.含路侧石约6m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3.含切缝，含运弃</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m2</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沥青路面恢复</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1.路面恢复，材质：沥青，厚度:6cm；C25混凝土，厚度20cm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2.含恢复路侧石，长约6m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3.素土夯实</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m2</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DN200铸铁管埋设</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管道埋设，柔性铸铁排水管210*5,内外防腐涂层，室外地面下安装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含弯头、三通、大小头等管件及附件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含新旧管接驳，穿检查井墙壁</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DN75铸铁管埋设</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管道埋设，柔性铸铁排水管83*3.5,内外防腐涂层，室外地面下安装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含弯头、三通、大小头等管件及附件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含接驳</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接水槽</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钢制焊接接水槽，明装，大小约500*150*150，环氧富锌防腐漆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底部出水口带不锈钢过滤网，水槽顶部不锈钢防护网</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砖砌检查井</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砖砌检查井，C25混凝土底板，水泥砂浆粉刷，铸铁井盖，防坠网</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座</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钢套管安装</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过路段钢套管安装，DN125</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DN150PVC-U管埋设</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管道埋设，DN150PVC-U管,室外地面下安装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含弯头、三通、大小头等管件及附件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含新旧管接驳，穿检查井壁</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PVC管拆除</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PVC管拆除，DN100，长度约3m，距地面高度约6米，剩余管口封闭</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含运弃，含高空作业措施费</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铁管拆除</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铁管拆除，DN100，长度约2.5m，距地面高度约4米，剩余管口封闭</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含运弃</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DN100铸铁管安装</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明管安装，DN100铸铁排水管，室内安装，长度4-6m，距地面高度约6m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含弯头、三通、大小头等管件及附件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含接驳，含高空作业措施费</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DN50PVC-U管安装</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PVC-U管安装，DN50，室内安装，长度约5m,距地面高度约6m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含弯头、三通、大小头等管件及附件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含接驳，含高空作业措施费</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处</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墙体开孔</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1.墙体开孔，水钻孔，直径250mm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2.安装管道后缝隙防水封堵，周边修补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3.含运弃</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混凝土破除</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钢筋混凝土破除，地面切割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多处，部分为水沟破除，需水泥砂浆抹面塑形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含运弃</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m3</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0.5</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屋面埋管</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屋面楼板开孔，直径75mm,安装DN50排水管，缝隙防水封堵，屋面修补</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含三通下水器，生活用水排水接入</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管道封堵</w:t>
            </w:r>
          </w:p>
        </w:tc>
        <w:tc>
          <w:tcPr>
            <w:tcW w:w="3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地漏及井内管口封堵，多余管道切割，管径DN100`DN400</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播撒草种</w:t>
            </w:r>
          </w:p>
        </w:tc>
        <w:tc>
          <w:tcPr>
            <w:tcW w:w="37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土面整平，播撒草种，养护出苗</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bl>
    <w:p>
      <w:pPr>
        <w:spacing w:line="500" w:lineRule="exact"/>
        <w:ind w:firstLine="420" w:firstLineChars="200"/>
        <w:jc w:val="left"/>
        <w:rPr>
          <w:rFonts w:hint="eastAsia" w:ascii="宋体" w:hAnsi="宋体" w:eastAsia="宋体" w:cs="宋体"/>
          <w:sz w:val="21"/>
          <w:szCs w:val="21"/>
        </w:rPr>
      </w:pPr>
    </w:p>
    <w:p>
      <w:pPr>
        <w:pStyle w:val="2"/>
        <w:numPr>
          <w:ilvl w:val="-1"/>
          <w:numId w:val="0"/>
        </w:numPr>
        <w:ind w:firstLine="0"/>
        <w:rPr>
          <w:rFonts w:hint="eastAsia" w:ascii="宋体" w:hAnsi="宋体" w:eastAsia="宋体" w:cs="宋体"/>
          <w:b/>
          <w:bCs/>
          <w:sz w:val="21"/>
          <w:szCs w:val="21"/>
          <w:lang w:val="en-US" w:eastAsia="zh-CN"/>
        </w:rPr>
      </w:pPr>
    </w:p>
    <w:p>
      <w:pPr>
        <w:numPr>
          <w:ilvl w:val="0"/>
          <w:numId w:val="1"/>
        </w:numPr>
        <w:spacing w:before="120" w:beforeLines="50" w:after="120" w:afterLines="50" w:line="360" w:lineRule="auto"/>
        <w:ind w:left="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lang w:val="en-US" w:eastAsia="zh-CN"/>
        </w:rPr>
        <w:t>施工要求</w:t>
      </w:r>
    </w:p>
    <w:p>
      <w:pPr>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1、安全第一，执行甲方的安全管理规章制度，办票作业。</w:t>
      </w:r>
    </w:p>
    <w:p>
      <w:pPr>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2、施工方应充分勘察现场</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对影响施工质量的潜在风险进行评估。</w:t>
      </w:r>
      <w:r>
        <w:rPr>
          <w:rFonts w:hint="eastAsia" w:asciiTheme="minorEastAsia" w:hAnsiTheme="minorEastAsia" w:eastAsiaTheme="minorEastAsia" w:cstheme="minorEastAsia"/>
          <w:color w:val="000000"/>
          <w:sz w:val="21"/>
          <w:szCs w:val="21"/>
        </w:rPr>
        <w:t>施工时注意成品保护，必要时采取围护、覆盖等有效措施，施工方应充分考虑成品保护措施费。</w:t>
      </w:r>
    </w:p>
    <w:p>
      <w:pPr>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val="0"/>
          <w:color w:val="000000"/>
          <w:sz w:val="21"/>
          <w:szCs w:val="21"/>
          <w:lang w:val="en-US" w:eastAsia="zh-CN"/>
        </w:rPr>
        <w:t>3、</w:t>
      </w:r>
      <w:r>
        <w:rPr>
          <w:rFonts w:hint="eastAsia" w:asciiTheme="minorEastAsia" w:hAnsiTheme="minorEastAsia" w:eastAsiaTheme="minorEastAsia" w:cstheme="minorEastAsia"/>
          <w:b/>
          <w:bCs/>
          <w:color w:val="000000"/>
          <w:sz w:val="21"/>
          <w:szCs w:val="21"/>
          <w:lang w:val="en-US" w:eastAsia="zh-CN"/>
        </w:rPr>
        <w:t>施工单位需对管道埋深进行深化设计，报甲方审核。</w:t>
      </w:r>
      <w:r>
        <w:rPr>
          <w:rFonts w:hint="eastAsia" w:asciiTheme="minorEastAsia" w:hAnsiTheme="minorEastAsia" w:eastAsiaTheme="minorEastAsia" w:cstheme="minorEastAsia"/>
          <w:b w:val="0"/>
          <w:bCs w:val="0"/>
          <w:color w:val="000000"/>
          <w:sz w:val="21"/>
          <w:szCs w:val="21"/>
          <w:lang w:val="en-US" w:eastAsia="zh-CN"/>
        </w:rPr>
        <w:t>需</w:t>
      </w:r>
      <w:r>
        <w:rPr>
          <w:rFonts w:hint="eastAsia" w:asciiTheme="minorEastAsia" w:hAnsiTheme="minorEastAsia" w:eastAsiaTheme="minorEastAsia" w:cstheme="minorEastAsia"/>
          <w:color w:val="000000"/>
          <w:sz w:val="21"/>
          <w:szCs w:val="21"/>
          <w:lang w:val="en-US" w:eastAsia="zh-CN"/>
        </w:rPr>
        <w:t>准备专业测量工具，提前规划好各管道标高，</w:t>
      </w:r>
      <w:r>
        <w:rPr>
          <w:rFonts w:hint="eastAsia" w:asciiTheme="minorEastAsia" w:hAnsiTheme="minorEastAsia" w:eastAsiaTheme="minorEastAsia" w:cstheme="minorEastAsia"/>
          <w:sz w:val="21"/>
          <w:szCs w:val="21"/>
          <w:lang w:val="en-US" w:eastAsia="zh-CN"/>
        </w:rPr>
        <w:t>确保整个管段坡度均匀一致，避免出现“倒坡”或“波浪坡”</w:t>
      </w:r>
      <w:r>
        <w:rPr>
          <w:rFonts w:hint="eastAsia" w:asciiTheme="minorEastAsia" w:hAnsiTheme="minorEastAsia" w:eastAsiaTheme="minorEastAsia" w:cstheme="minorEastAsia"/>
          <w:color w:val="000000"/>
          <w:sz w:val="21"/>
          <w:szCs w:val="21"/>
          <w:lang w:val="en-US" w:eastAsia="zh-CN"/>
        </w:rPr>
        <w:t>。</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4、</w:t>
      </w:r>
      <w:r>
        <w:rPr>
          <w:rFonts w:hint="eastAsia" w:asciiTheme="minorEastAsia" w:hAnsiTheme="minorEastAsia" w:eastAsiaTheme="minorEastAsia" w:cstheme="minorEastAsia"/>
          <w:sz w:val="21"/>
          <w:szCs w:val="21"/>
        </w:rPr>
        <w:t>按程序办理相关手续，遵守相应的管理规定和要求。</w:t>
      </w:r>
      <w:r>
        <w:rPr>
          <w:rFonts w:hint="eastAsia" w:asciiTheme="minorEastAsia" w:hAnsiTheme="minorEastAsia" w:eastAsiaTheme="minorEastAsia" w:cstheme="minorEastAsia"/>
          <w:sz w:val="21"/>
          <w:szCs w:val="21"/>
          <w:lang w:val="en-US" w:eastAsia="zh-CN"/>
        </w:rPr>
        <w:t>该项目涉及高空作业，必须按我司要求办理高空作业票方可施工。</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5、进入施工现场必须遵守安全操作规程和安全生产纪律，特种作业人员必须持证上岗。</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6、本项目部分施工在制备站内，未经甲方允许，不得对站内任何阀门进行开启或关闭操作，不得对任何设备进行启动或停车操作。</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7、施工现场用电实行三相五线制和一机一闸一漏电措施。配电箱级电气设备的外壳施做可靠的接地保护。配电箱级配电柜的进出线，用卡子固定牢靠，并设有接地保护和工作零线的端子。</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铸铁排水管，采用机制离心铸造或连续铸造工艺，内外表面沥青漆涂层、环氧树脂涂层或静电环氧喷涂防腐，直管部分W1型无承口管材，B型机械式柔性接口。要求管壁薄厚均匀，内外光滑整洁，无砂眼、裂纹、飞刺和疙瘩。</w:t>
      </w:r>
    </w:p>
    <w:p>
      <w:pPr>
        <w:spacing w:line="360" w:lineRule="auto"/>
        <w:ind w:firstLine="420" w:firstLineChars="200"/>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sz w:val="21"/>
          <w:szCs w:val="21"/>
          <w:lang w:val="en-US" w:eastAsia="zh-CN"/>
        </w:rPr>
        <w:t>9、埋地管道排水坡度不小于3‰，</w:t>
      </w:r>
      <w:r>
        <w:rPr>
          <w:rFonts w:hint="eastAsia" w:asciiTheme="minorEastAsia" w:hAnsiTheme="minorEastAsia" w:eastAsiaTheme="minorEastAsia" w:cstheme="minorEastAsia"/>
          <w:color w:val="000000"/>
          <w:sz w:val="21"/>
          <w:szCs w:val="21"/>
          <w:lang w:val="en-US" w:eastAsia="zh-CN"/>
        </w:rPr>
        <w:t>车行道下管顶最小覆土深度不小于0.7m。</w:t>
      </w:r>
    </w:p>
    <w:p>
      <w:pPr>
        <w:spacing w:line="360" w:lineRule="auto"/>
        <w:ind w:firstLine="420" w:firstLineChars="200"/>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10、施工前需注意排查勘探各种地下管线，施工时必须做好相应保护措施，不得擅自破坏。</w:t>
      </w:r>
    </w:p>
    <w:p>
      <w:pPr>
        <w:spacing w:line="360" w:lineRule="auto"/>
        <w:ind w:firstLine="420" w:firstLineChars="200"/>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11、道路开挖前协调好施工时间，不得影响厂区正常通行，施工时注意围蔽及交通疏导。</w:t>
      </w:r>
    </w:p>
    <w:p>
      <w:pPr>
        <w:spacing w:line="360" w:lineRule="auto"/>
        <w:ind w:firstLine="420" w:firstLineChars="200"/>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 xml:space="preserve">12、管节安装前应进行外观检查，涂层被损伤的部位应补防腐漆，安装前应将管内外清扫干净，安装时应使管道中心及内底高程符合设计要求，稳管时必须采取措施防止管道发生滚动。 </w:t>
      </w:r>
    </w:p>
    <w:p>
      <w:pPr>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13</w:t>
      </w:r>
      <w:r>
        <w:rPr>
          <w:rFonts w:hint="eastAsia" w:asciiTheme="minorEastAsia" w:hAnsiTheme="minorEastAsia" w:eastAsiaTheme="minorEastAsia" w:cstheme="minorEastAsia"/>
          <w:color w:val="000000"/>
          <w:sz w:val="21"/>
          <w:szCs w:val="21"/>
        </w:rPr>
        <w:t>、包建筑垃圾外运，完工后场地清理。</w:t>
      </w:r>
    </w:p>
    <w:p>
      <w:pPr>
        <w:numPr>
          <w:ilvl w:val="0"/>
          <w:numId w:val="1"/>
        </w:numPr>
        <w:spacing w:before="120" w:beforeLines="50" w:after="120" w:afterLines="50" w:line="360" w:lineRule="auto"/>
        <w:ind w:left="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项目工期、验收标准及质保期限</w:t>
      </w:r>
    </w:p>
    <w:p>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pPr>
        <w:spacing w:line="500" w:lineRule="exact"/>
        <w:ind w:firstLine="630" w:firstLineChars="300"/>
        <w:jc w:val="left"/>
        <w:rPr>
          <w:rFonts w:hint="eastAsia" w:ascii="宋体" w:hAnsi="宋体" w:eastAsia="宋体" w:cs="宋体"/>
          <w:sz w:val="21"/>
          <w:szCs w:val="21"/>
        </w:rPr>
      </w:pPr>
      <w:r>
        <w:rPr>
          <w:rFonts w:hint="eastAsia" w:ascii="宋体" w:hAnsi="宋体" w:cs="宋体"/>
          <w:b w:val="0"/>
          <w:bCs w:val="0"/>
          <w:szCs w:val="21"/>
        </w:rPr>
        <w:t>本项目施工工期</w:t>
      </w:r>
      <w:r>
        <w:rPr>
          <w:rFonts w:hint="eastAsia" w:ascii="宋体" w:hAnsi="宋体" w:cs="宋体"/>
          <w:b w:val="0"/>
          <w:bCs w:val="0"/>
          <w:szCs w:val="21"/>
          <w:lang w:eastAsia="zh-CN"/>
        </w:rPr>
        <w:t>3</w:t>
      </w:r>
      <w:r>
        <w:rPr>
          <w:rFonts w:hint="eastAsia" w:ascii="宋体" w:hAnsi="宋体" w:cs="宋体"/>
          <w:b w:val="0"/>
          <w:bCs w:val="0"/>
          <w:szCs w:val="21"/>
        </w:rPr>
        <w:t>0个日历天（含节假日，连续计算），具体开工日期以甲方通知为准。</w:t>
      </w:r>
    </w:p>
    <w:p>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工程验收标准及方式</w:t>
      </w:r>
    </w:p>
    <w:p>
      <w:pPr>
        <w:numPr>
          <w:ilvl w:val="0"/>
          <w:numId w:val="6"/>
        </w:numPr>
        <w:spacing w:before="0" w:beforeLines="-2147483648" w:after="0" w:afterLines="-2147483648" w:line="500" w:lineRule="exact"/>
        <w:ind w:firstLine="630" w:firstLineChars="300"/>
        <w:jc w:val="left"/>
        <w:rPr>
          <w:rFonts w:hint="eastAsia" w:asciiTheme="minorEastAsia" w:hAnsiTheme="minorEastAsia" w:eastAsiaTheme="minorEastAsia" w:cstheme="minorEastAsia"/>
          <w:bCs/>
          <w:kern w:val="0"/>
          <w:sz w:val="24"/>
          <w:lang w:eastAsia="zh-CN"/>
        </w:rPr>
      </w:pPr>
      <w:r>
        <w:rPr>
          <w:rFonts w:hint="eastAsia" w:ascii="宋体" w:hAnsi="宋体" w:eastAsia="宋体" w:cs="宋体"/>
          <w:bCs/>
          <w:kern w:val="0"/>
          <w:sz w:val="21"/>
          <w:szCs w:val="21"/>
        </w:rPr>
        <w:t>工程验收的参考标准：</w:t>
      </w:r>
      <w:r>
        <w:rPr>
          <w:rFonts w:hint="eastAsia" w:ascii="宋体" w:hAnsi="宋体" w:cs="宋体"/>
          <w:szCs w:val="21"/>
        </w:rPr>
        <w:t>《建筑工程施工质量验收统一标准》（GB50300-2013）</w:t>
      </w:r>
      <w:r>
        <w:rPr>
          <w:rFonts w:hint="eastAsia" w:ascii="宋体" w:hAnsi="宋体" w:cs="宋体"/>
          <w:szCs w:val="21"/>
          <w:lang w:eastAsia="zh-CN"/>
        </w:rPr>
        <w:t>、</w:t>
      </w:r>
      <w:r>
        <w:rPr>
          <w:rFonts w:hint="eastAsia" w:ascii="宋体" w:hAnsi="宋体" w:cs="宋体"/>
          <w:szCs w:val="21"/>
        </w:rPr>
        <w:t>《建筑排水金属管道工程技术规程》（CJJ 127-2009）</w:t>
      </w:r>
      <w:r>
        <w:rPr>
          <w:rFonts w:hint="eastAsia" w:ascii="宋体" w:hAnsi="宋体" w:cs="宋体"/>
          <w:szCs w:val="21"/>
          <w:lang w:eastAsia="zh-CN"/>
        </w:rPr>
        <w:t>、</w:t>
      </w:r>
      <w:r>
        <w:rPr>
          <w:rFonts w:hint="eastAsia" w:ascii="宋体" w:hAnsi="宋体" w:cs="宋体"/>
          <w:szCs w:val="21"/>
        </w:rPr>
        <w:t>《给水排水管道工程施工及验收规范》（GB50268-2008）</w:t>
      </w:r>
      <w:r>
        <w:rPr>
          <w:rFonts w:hint="eastAsia" w:asciiTheme="minorEastAsia" w:hAnsiTheme="minorEastAsia" w:eastAsiaTheme="minorEastAsia" w:cstheme="minorEastAsia"/>
          <w:bCs/>
          <w:kern w:val="0"/>
          <w:sz w:val="24"/>
        </w:rPr>
        <w:t>要求</w:t>
      </w:r>
      <w:r>
        <w:rPr>
          <w:rFonts w:hint="eastAsia" w:asciiTheme="minorEastAsia" w:hAnsiTheme="minorEastAsia" w:eastAsiaTheme="minorEastAsia" w:cstheme="minorEastAsia"/>
          <w:bCs/>
          <w:kern w:val="0"/>
          <w:sz w:val="24"/>
          <w:lang w:val="en-US" w:eastAsia="zh-CN"/>
        </w:rPr>
        <w:t>及</w:t>
      </w:r>
      <w:r>
        <w:rPr>
          <w:rFonts w:hint="eastAsia" w:asciiTheme="minorEastAsia" w:hAnsiTheme="minorEastAsia" w:eastAsiaTheme="minorEastAsia" w:cstheme="minorEastAsia"/>
          <w:bCs/>
          <w:kern w:val="0"/>
          <w:sz w:val="24"/>
        </w:rPr>
        <w:t>国家和行业相关的其他质量验收标准要求执行</w:t>
      </w:r>
      <w:r>
        <w:rPr>
          <w:rFonts w:hint="eastAsia" w:asciiTheme="minorEastAsia" w:hAnsiTheme="minorEastAsia" w:eastAsiaTheme="minorEastAsia" w:cstheme="minorEastAsia"/>
          <w:bCs/>
          <w:kern w:val="0"/>
          <w:sz w:val="24"/>
          <w:lang w:eastAsia="zh-CN"/>
        </w:rPr>
        <w:t>。</w:t>
      </w:r>
    </w:p>
    <w:p>
      <w:pPr>
        <w:spacing w:before="120" w:beforeLines="50" w:after="120" w:afterLines="50" w:line="360" w:lineRule="auto"/>
        <w:ind w:left="0" w:leftChars="0" w:firstLine="630" w:firstLineChars="300"/>
        <w:rPr>
          <w:rFonts w:hint="eastAsia" w:ascii="宋体" w:hAnsi="宋体" w:eastAsia="宋体" w:cs="宋体"/>
          <w:sz w:val="21"/>
          <w:szCs w:val="21"/>
        </w:rPr>
      </w:pPr>
      <w:r>
        <w:rPr>
          <w:rFonts w:hint="eastAsia" w:ascii="宋体" w:hAnsi="宋体" w:eastAsia="宋体" w:cs="宋体"/>
          <w:sz w:val="21"/>
          <w:szCs w:val="21"/>
        </w:rPr>
        <w:t>（三）工程验收的方式</w:t>
      </w:r>
    </w:p>
    <w:p>
      <w:pPr>
        <w:numPr>
          <w:ilvl w:val="0"/>
          <w:numId w:val="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pPr>
        <w:numPr>
          <w:ilvl w:val="0"/>
          <w:numId w:val="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4.施工单位必须将产品所有随机资料（包括但不限于设备及材料检验合格证书等）提交采购人，同时将与项目有关的竣工资料一式两份一起提交给</w:t>
      </w:r>
      <w:bookmarkStart w:id="0" w:name="OLE_LINK10"/>
      <w:r>
        <w:rPr>
          <w:rFonts w:hint="eastAsia" w:ascii="宋体" w:hAnsi="宋体" w:eastAsia="宋体" w:cs="宋体"/>
          <w:sz w:val="21"/>
          <w:szCs w:val="21"/>
        </w:rPr>
        <w:t>采购人</w:t>
      </w:r>
      <w:bookmarkEnd w:id="0"/>
      <w:r>
        <w:rPr>
          <w:rFonts w:hint="eastAsia" w:ascii="宋体" w:hAnsi="宋体" w:eastAsia="宋体" w:cs="宋体"/>
          <w:kern w:val="0"/>
          <w:sz w:val="21"/>
          <w:szCs w:val="21"/>
        </w:rPr>
        <w:t>。</w:t>
      </w:r>
    </w:p>
    <w:p>
      <w:pPr>
        <w:spacing w:line="360" w:lineRule="auto"/>
        <w:ind w:left="400"/>
        <w:rPr>
          <w:rFonts w:hint="eastAsia" w:ascii="宋体" w:hAnsi="宋体" w:eastAsia="宋体" w:cs="宋体"/>
          <w:b/>
          <w:bCs/>
          <w:sz w:val="21"/>
          <w:szCs w:val="21"/>
        </w:rPr>
      </w:pPr>
      <w:r>
        <w:rPr>
          <w:rFonts w:hint="eastAsia" w:ascii="宋体" w:hAnsi="宋体" w:eastAsia="宋体" w:cs="宋体"/>
          <w:b/>
          <w:bCs/>
          <w:sz w:val="21"/>
          <w:szCs w:val="21"/>
        </w:rPr>
        <w:t>（四）质保期</w:t>
      </w:r>
    </w:p>
    <w:p>
      <w:pPr>
        <w:spacing w:line="360" w:lineRule="auto"/>
        <w:ind w:left="400"/>
        <w:rPr>
          <w:rFonts w:hint="eastAsia" w:ascii="宋体" w:hAnsi="宋体" w:eastAsia="宋体" w:cs="宋体"/>
          <w:sz w:val="21"/>
          <w:szCs w:val="21"/>
        </w:rPr>
      </w:pPr>
      <w:r>
        <w:rPr>
          <w:rFonts w:hint="eastAsia" w:ascii="宋体" w:hAnsi="宋体" w:eastAsia="宋体" w:cs="宋体"/>
          <w:b w:val="0"/>
          <w:bCs w:val="0"/>
          <w:sz w:val="21"/>
          <w:szCs w:val="21"/>
        </w:rPr>
        <w:t>本工程质保期要求为</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rPr>
        <w:t>年，</w:t>
      </w:r>
      <w:r>
        <w:rPr>
          <w:rFonts w:hint="eastAsia" w:ascii="宋体" w:hAnsi="宋体" w:eastAsia="宋体" w:cs="宋体"/>
          <w:b w:val="0"/>
          <w:bCs w:val="0"/>
          <w:sz w:val="21"/>
          <w:szCs w:val="21"/>
          <w:lang w:bidi="ar"/>
        </w:rPr>
        <w:t>质保期从验收合格之日起计算，质保期内出现任何质量问题均由施工单位免费负责维修</w:t>
      </w:r>
      <w:r>
        <w:rPr>
          <w:rFonts w:hint="eastAsia" w:ascii="宋体" w:hAnsi="宋体" w:eastAsia="宋体" w:cs="宋体"/>
          <w:sz w:val="21"/>
          <w:szCs w:val="21"/>
          <w:lang w:bidi="ar"/>
        </w:rPr>
        <w:t>。</w:t>
      </w:r>
    </w:p>
    <w:p>
      <w:pPr>
        <w:numPr>
          <w:ilvl w:val="0"/>
          <w:numId w:val="1"/>
        </w:numPr>
        <w:spacing w:before="120" w:beforeLines="50" w:after="120" w:afterLines="50" w:line="360" w:lineRule="auto"/>
        <w:ind w:left="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工程费用及支付方式</w:t>
      </w:r>
    </w:p>
    <w:p>
      <w:pPr>
        <w:numPr>
          <w:ilvl w:val="0"/>
          <w:numId w:val="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本工程采用综合单价包干，包工、包料、包工期、包质量、包安全、包安全文明施工、包验收、包结算、包资料整理、包综合治理、包现场卫生清洁、包风险、包利润和管理费等完成本项目的全部费用。</w:t>
      </w:r>
    </w:p>
    <w:p>
      <w:pPr>
        <w:numPr>
          <w:ilvl w:val="0"/>
          <w:numId w:val="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pPr>
        <w:numPr>
          <w:ilvl w:val="0"/>
          <w:numId w:val="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pPr>
        <w:numPr>
          <w:ilvl w:val="0"/>
          <w:numId w:val="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pPr>
        <w:numPr>
          <w:ilvl w:val="0"/>
          <w:numId w:val="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pPr>
        <w:numPr>
          <w:ilvl w:val="0"/>
          <w:numId w:val="1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color w:val="000000"/>
          <w:sz w:val="21"/>
          <w:szCs w:val="21"/>
          <w:lang w:eastAsia="zh-CN"/>
        </w:rPr>
        <w:t>2</w:t>
      </w:r>
      <w:r>
        <w:rPr>
          <w:rFonts w:hint="eastAsia" w:ascii="宋体" w:hAnsi="宋体" w:cs="宋体"/>
          <w:color w:val="000000"/>
          <w:sz w:val="21"/>
          <w:szCs w:val="21"/>
        </w:rPr>
        <w:t>0%</w:t>
      </w:r>
      <w:r>
        <w:rPr>
          <w:rFonts w:hint="eastAsia" w:ascii="宋体" w:hAnsi="宋体" w:cs="宋体"/>
          <w:color w:val="000000"/>
          <w:sz w:val="21"/>
          <w:szCs w:val="21"/>
          <w:lang w:eastAsia="zh-CN"/>
        </w:rPr>
        <w:t>。</w:t>
      </w:r>
    </w:p>
    <w:p>
      <w:pPr>
        <w:numPr>
          <w:ilvl w:val="0"/>
          <w:numId w:val="1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pPr>
        <w:numPr>
          <w:ilvl w:val="0"/>
          <w:numId w:val="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bookmarkStart w:id="1" w:name="_Hlk33472787"/>
      <w:r>
        <w:rPr>
          <w:rFonts w:hint="eastAsia" w:ascii="宋体" w:hAnsi="宋体" w:cs="宋体"/>
          <w:color w:val="000000"/>
          <w:sz w:val="21"/>
          <w:szCs w:val="21"/>
        </w:rPr>
        <w:t>有效的企业工商营业执照、企业法人组织机构代码证书、税务登记证书（或三证合一）；</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附“信用中国”网站(www.creditchina.gov.cn)的信用记录查询结果截图或信用信息报告并打印页面加盖公章；</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有效的</w:t>
      </w:r>
      <w:r>
        <w:rPr>
          <w:rFonts w:hint="eastAsia" w:ascii="宋体" w:hAnsi="宋体" w:cs="宋体"/>
          <w:color w:val="000000"/>
          <w:sz w:val="21"/>
          <w:szCs w:val="21"/>
          <w:lang w:val="en-US" w:eastAsia="zh-CN"/>
        </w:rPr>
        <w:t>资质证书</w:t>
      </w:r>
      <w:r>
        <w:rPr>
          <w:rFonts w:hint="eastAsia" w:ascii="宋体" w:hAnsi="宋体" w:cs="宋体"/>
          <w:sz w:val="21"/>
          <w:szCs w:val="21"/>
          <w:highlight w:val="none"/>
          <w:lang w:val="en-US" w:eastAsia="zh-CN"/>
        </w:rPr>
        <w:t>、有效的</w:t>
      </w:r>
      <w:r>
        <w:rPr>
          <w:rFonts w:hint="eastAsia" w:ascii="宋体" w:hAnsi="宋体" w:cs="宋体"/>
          <w:color w:val="000000"/>
          <w:sz w:val="21"/>
          <w:szCs w:val="21"/>
        </w:rPr>
        <w:t>安全生产许可证</w:t>
      </w:r>
      <w:r>
        <w:rPr>
          <w:rFonts w:hint="eastAsia" w:ascii="宋体" w:hAnsi="宋体" w:cs="宋体"/>
          <w:color w:val="000000"/>
          <w:sz w:val="21"/>
          <w:szCs w:val="21"/>
          <w:lang w:val="en-US" w:eastAsia="zh-CN"/>
        </w:rPr>
        <w:t>及安全员证书</w:t>
      </w:r>
      <w:r>
        <w:rPr>
          <w:rFonts w:hint="eastAsia" w:ascii="宋体" w:hAnsi="宋体" w:cs="宋体"/>
          <w:color w:val="000000"/>
          <w:sz w:val="21"/>
          <w:szCs w:val="21"/>
        </w:rPr>
        <w:t>；</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w:t>
      </w:r>
      <w:r>
        <w:rPr>
          <w:rFonts w:hint="eastAsia" w:ascii="宋体" w:hAnsi="宋体" w:cs="宋体"/>
          <w:sz w:val="21"/>
          <w:szCs w:val="21"/>
          <w:lang w:val="en-US" w:eastAsia="zh-CN"/>
        </w:rPr>
        <w:t>具有</w:t>
      </w:r>
      <w:r>
        <w:rPr>
          <w:rFonts w:hint="eastAsia" w:ascii="宋体" w:hAnsi="宋体" w:eastAsia="宋体" w:cs="宋体"/>
          <w:sz w:val="21"/>
          <w:szCs w:val="21"/>
        </w:rPr>
        <w:t>类似工程项目业绩（需提供合同等相关证明材料复印件）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sz w:val="21"/>
          <w:szCs w:val="21"/>
          <w:lang w:eastAsia="zh-CN"/>
        </w:rPr>
        <w:t>；</w:t>
      </w:r>
    </w:p>
    <w:p>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格式6）</w:t>
      </w:r>
      <w:r>
        <w:rPr>
          <w:rFonts w:hint="eastAsia" w:ascii="宋体" w:hAnsi="宋体" w:cs="宋体"/>
          <w:color w:val="000000"/>
          <w:sz w:val="21"/>
          <w:szCs w:val="21"/>
        </w:rPr>
        <w:t>；</w:t>
      </w:r>
    </w:p>
    <w:p>
      <w:pPr>
        <w:numPr>
          <w:ilvl w:val="0"/>
          <w:numId w:val="1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color w:val="000000"/>
          <w:sz w:val="21"/>
          <w:szCs w:val="21"/>
        </w:rPr>
        <w:t>投标人认为有必要的其他材料复印件</w:t>
      </w:r>
      <w:bookmarkEnd w:id="1"/>
      <w:r>
        <w:rPr>
          <w:rFonts w:hint="eastAsia" w:ascii="宋体" w:hAnsi="宋体" w:cs="宋体"/>
          <w:color w:val="000000"/>
          <w:sz w:val="21"/>
          <w:szCs w:val="21"/>
        </w:rPr>
        <w:t>。</w:t>
      </w:r>
    </w:p>
    <w:p>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w:t>
      </w:r>
      <w:r>
        <w:rPr>
          <w:rFonts w:hint="eastAsia" w:ascii="宋体" w:hAnsi="宋体" w:cs="宋体"/>
          <w:b/>
          <w:bCs/>
          <w:sz w:val="21"/>
          <w:szCs w:val="21"/>
        </w:rPr>
        <w:t>施工单位应充分了解现场条件，并针对本项目制定切实可行的施工方案</w:t>
      </w:r>
      <w:r>
        <w:rPr>
          <w:rFonts w:hint="eastAsia" w:ascii="宋体" w:hAnsi="宋体" w:cs="宋体"/>
          <w:sz w:val="21"/>
          <w:szCs w:val="21"/>
        </w:rPr>
        <w:t>，包括但不限于：</w:t>
      </w:r>
    </w:p>
    <w:p>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bookmarkStart w:id="2"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2"/>
    </w:p>
    <w:p>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bookmarkStart w:id="3" w:name="_Hlk33472852"/>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报价明细表：采用工程量清单计价，</w:t>
      </w:r>
      <w:r>
        <w:rPr>
          <w:rFonts w:hint="eastAsia" w:ascii="宋体" w:hAnsi="宋体" w:cs="宋体"/>
          <w:color w:val="000000"/>
          <w:sz w:val="21"/>
          <w:szCs w:val="21"/>
          <w:lang w:val="en-US" w:eastAsia="zh-CN"/>
        </w:rPr>
        <w:t>投标人应</w:t>
      </w:r>
      <w:r>
        <w:rPr>
          <w:rFonts w:hint="eastAsia" w:ascii="宋体" w:hAnsi="宋体" w:cs="宋体"/>
          <w:color w:val="000000"/>
          <w:sz w:val="21"/>
          <w:szCs w:val="21"/>
        </w:rPr>
        <w:t>按本竞选文件所附工程量清单</w:t>
      </w:r>
      <w:r>
        <w:rPr>
          <w:rFonts w:hint="eastAsia" w:ascii="宋体" w:hAnsi="宋体" w:cs="宋体"/>
          <w:color w:val="000000"/>
          <w:sz w:val="21"/>
          <w:szCs w:val="21"/>
          <w:lang w:val="en-US" w:eastAsia="zh-CN"/>
        </w:rPr>
        <w:t>表</w:t>
      </w:r>
      <w:r>
        <w:rPr>
          <w:rFonts w:hint="eastAsia" w:ascii="宋体" w:hAnsi="宋体" w:cs="宋体"/>
          <w:color w:val="000000"/>
          <w:sz w:val="21"/>
          <w:szCs w:val="21"/>
        </w:rPr>
        <w:t>报价，并以此作为结算依据</w:t>
      </w:r>
      <w:r>
        <w:rPr>
          <w:rFonts w:hint="eastAsia" w:ascii="宋体" w:hAnsi="宋体" w:cs="宋体"/>
          <w:color w:val="000000"/>
          <w:sz w:val="21"/>
          <w:szCs w:val="21"/>
          <w:lang w:eastAsia="zh-CN"/>
        </w:rPr>
        <w:t>，</w:t>
      </w:r>
      <w:r>
        <w:rPr>
          <w:rFonts w:hint="eastAsia" w:ascii="宋体" w:hAnsi="宋体" w:cs="宋体"/>
          <w:color w:val="000000"/>
          <w:sz w:val="21"/>
          <w:szCs w:val="21"/>
        </w:rPr>
        <w:t>并注明未含税总价、税率和含税总价</w:t>
      </w:r>
      <w:bookmarkEnd w:id="3"/>
      <w:r>
        <w:rPr>
          <w:rFonts w:hint="eastAsia" w:ascii="宋体" w:hAnsi="宋体" w:cs="宋体"/>
          <w:color w:val="000000"/>
          <w:sz w:val="21"/>
          <w:szCs w:val="21"/>
        </w:rPr>
        <w:t>。</w:t>
      </w:r>
    </w:p>
    <w:p>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pPr>
        <w:spacing w:before="120" w:beforeLines="50" w:after="120" w:afterLines="50" w:line="360" w:lineRule="auto"/>
        <w:ind w:firstLine="420" w:firstLineChars="200"/>
        <w:rPr>
          <w:rFonts w:hint="eastAsia" w:ascii="宋体" w:hAnsi="宋体" w:cs="宋体"/>
          <w:sz w:val="21"/>
          <w:szCs w:val="21"/>
        </w:rPr>
      </w:pPr>
      <w:bookmarkStart w:id="4" w:name="_Hlk33472865"/>
      <w:r>
        <w:rPr>
          <w:rFonts w:hint="eastAsia" w:ascii="宋体" w:hAnsi="宋体" w:cs="宋体"/>
          <w:sz w:val="21"/>
          <w:szCs w:val="21"/>
        </w:rPr>
        <w:t>本项目采用经评审的最低投标价加信用评分评标，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有效性审</w:t>
      </w:r>
      <w:r>
        <w:rPr>
          <w:rFonts w:hint="eastAsia" w:ascii="宋体" w:hAnsi="宋体" w:cs="宋体"/>
          <w:sz w:val="21"/>
          <w:szCs w:val="21"/>
          <w:highlight w:val="none"/>
        </w:rPr>
        <w:t>查（见附件</w:t>
      </w:r>
      <w:r>
        <w:rPr>
          <w:rFonts w:hint="eastAsia" w:ascii="宋体" w:hAnsi="宋体" w:cs="宋体"/>
          <w:sz w:val="21"/>
          <w:szCs w:val="21"/>
          <w:highlight w:val="none"/>
          <w:lang w:val="en-US" w:eastAsia="zh-CN"/>
        </w:rPr>
        <w:t>2</w:t>
      </w:r>
      <w:r>
        <w:rPr>
          <w:rFonts w:hint="eastAsia" w:ascii="宋体" w:hAnsi="宋体" w:cs="宋体"/>
          <w:sz w:val="21"/>
          <w:szCs w:val="21"/>
          <w:highlight w:val="none"/>
        </w:rPr>
        <w:t>）</w:t>
      </w:r>
      <w:r>
        <w:rPr>
          <w:rFonts w:hint="eastAsia" w:ascii="宋体" w:hAnsi="宋体" w:cs="宋体"/>
          <w:sz w:val="21"/>
          <w:szCs w:val="21"/>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4"/>
    <w:p>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pPr>
        <w:spacing w:before="120" w:beforeLines="50" w:after="120" w:afterLines="50" w:line="360" w:lineRule="auto"/>
        <w:ind w:firstLine="420" w:firstLineChars="200"/>
        <w:rPr>
          <w:rFonts w:hint="eastAsia" w:ascii="宋体" w:hAnsi="宋体" w:cs="宋体"/>
          <w:sz w:val="21"/>
          <w:szCs w:val="21"/>
        </w:rPr>
      </w:pPr>
      <w:bookmarkStart w:id="5" w:name="_Hlk33472887"/>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ascii="宋体" w:hAnsi="宋体" w:cs="宋体"/>
          <w:sz w:val="21"/>
          <w:szCs w:val="21"/>
        </w:rPr>
        <w:t>。</w:t>
      </w:r>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11</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4</w:t>
      </w:r>
      <w:r>
        <w:rPr>
          <w:rFonts w:hint="eastAsia" w:ascii="宋体" w:hAnsi="宋体" w:cs="宋体"/>
          <w:b/>
          <w:bCs/>
          <w:color w:val="FF0000"/>
          <w:sz w:val="21"/>
          <w:szCs w:val="21"/>
        </w:rPr>
        <w:t>日</w:t>
      </w:r>
      <w:r>
        <w:rPr>
          <w:rFonts w:hint="eastAsia" w:ascii="宋体" w:hAnsi="宋体" w:cs="宋体"/>
          <w:b/>
          <w:bCs/>
          <w:sz w:val="21"/>
          <w:szCs w:val="21"/>
        </w:rPr>
        <w:t>10时0分，集中地点：广州市番禺区大学城明志街1号信息枢纽楼一楼西门。勘踏现场联系人生产部</w:t>
      </w:r>
      <w:r>
        <w:rPr>
          <w:rFonts w:hint="eastAsia" w:ascii="宋体" w:hAnsi="宋体" w:cs="宋体"/>
          <w:b/>
          <w:bCs/>
          <w:sz w:val="21"/>
          <w:szCs w:val="21"/>
          <w:lang w:val="en-US" w:eastAsia="zh-CN"/>
        </w:rPr>
        <w:t>贺工</w:t>
      </w:r>
      <w:r>
        <w:rPr>
          <w:rFonts w:hint="eastAsia" w:ascii="宋体" w:hAnsi="宋体" w:cs="宋体"/>
          <w:b/>
          <w:bCs/>
          <w:sz w:val="21"/>
          <w:szCs w:val="21"/>
        </w:rPr>
        <w:t>，联系电话：020-39302</w:t>
      </w:r>
      <w:r>
        <w:rPr>
          <w:rFonts w:hint="eastAsia" w:ascii="宋体" w:hAnsi="宋体" w:cs="宋体"/>
          <w:b/>
          <w:bCs/>
          <w:sz w:val="21"/>
          <w:szCs w:val="21"/>
          <w:lang w:val="en-US" w:eastAsia="zh-CN"/>
        </w:rPr>
        <w:t>034/13631328467</w:t>
      </w:r>
      <w:r>
        <w:rPr>
          <w:rFonts w:hint="eastAsia" w:ascii="宋体" w:hAnsi="宋体" w:cs="宋体"/>
          <w:b/>
          <w:bCs/>
          <w:sz w:val="21"/>
          <w:szCs w:val="21"/>
        </w:rPr>
        <w:t>。</w:t>
      </w:r>
      <w:r>
        <w:rPr>
          <w:rFonts w:hint="eastAsia" w:ascii="宋体" w:hAnsi="宋体" w:cs="宋体"/>
          <w:sz w:val="21"/>
          <w:szCs w:val="21"/>
        </w:rPr>
        <w:t>投标人未在规定时间勘踏现场的，采购人不再另行组织，由投标人自行前往勘踏。</w:t>
      </w:r>
    </w:p>
    <w:p>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6" w:name="_Hlk33473031"/>
      <w:r>
        <w:rPr>
          <w:rFonts w:hint="eastAsia" w:ascii="宋体" w:hAnsi="宋体" w:cs="宋体"/>
          <w:b/>
          <w:sz w:val="21"/>
          <w:szCs w:val="21"/>
        </w:rPr>
        <w:t>递交投标文件</w:t>
      </w:r>
    </w:p>
    <w:p>
      <w:pPr>
        <w:numPr>
          <w:ilvl w:val="0"/>
          <w:numId w:val="15"/>
        </w:numPr>
        <w:spacing w:before="120" w:beforeLines="50" w:after="120" w:afterLines="50" w:line="360" w:lineRule="auto"/>
        <w:ind w:left="0" w:firstLine="420" w:firstLineChars="200"/>
        <w:rPr>
          <w:rFonts w:hint="eastAsia" w:ascii="宋体" w:hAnsi="宋体" w:cs="宋体"/>
          <w:sz w:val="21"/>
          <w:szCs w:val="21"/>
        </w:rPr>
      </w:pPr>
      <w:bookmarkStart w:id="7" w:name="_Hlk33472917"/>
      <w:bookmarkStart w:id="8" w:name="_Hlk33473061"/>
      <w:r>
        <w:rPr>
          <w:rFonts w:hint="eastAsia" w:ascii="宋体" w:hAnsi="宋体" w:cs="宋体"/>
          <w:sz w:val="21"/>
          <w:szCs w:val="21"/>
        </w:rPr>
        <w:t>投标文件递交截止时间</w:t>
      </w:r>
      <w:r>
        <w:rPr>
          <w:rFonts w:hint="eastAsia" w:ascii="宋体" w:hAnsi="宋体" w:cs="宋体"/>
          <w:color w:val="FF0000"/>
          <w:sz w:val="21"/>
          <w:szCs w:val="21"/>
        </w:rPr>
        <w:t>：202</w:t>
      </w:r>
      <w:r>
        <w:rPr>
          <w:rFonts w:hint="eastAsia" w:ascii="宋体" w:hAnsi="宋体" w:cs="宋体"/>
          <w:color w:val="FF0000"/>
          <w:sz w:val="21"/>
          <w:szCs w:val="21"/>
          <w:lang w:val="en-US" w:eastAsia="zh-CN"/>
        </w:rPr>
        <w:t>5</w:t>
      </w:r>
      <w:r>
        <w:rPr>
          <w:rFonts w:hint="eastAsia" w:ascii="宋体" w:hAnsi="宋体" w:cs="宋体"/>
          <w:color w:val="FF0000"/>
          <w:sz w:val="21"/>
          <w:szCs w:val="21"/>
        </w:rPr>
        <w:t>年</w:t>
      </w:r>
      <w:r>
        <w:rPr>
          <w:rFonts w:hint="eastAsia" w:ascii="宋体" w:hAnsi="宋体" w:cs="宋体"/>
          <w:color w:val="FF0000"/>
          <w:sz w:val="21"/>
          <w:szCs w:val="21"/>
          <w:lang w:val="en-US" w:eastAsia="zh-CN"/>
        </w:rPr>
        <w:t>11</w:t>
      </w:r>
      <w:r>
        <w:rPr>
          <w:rFonts w:hint="eastAsia" w:ascii="宋体" w:hAnsi="宋体" w:cs="宋体"/>
          <w:color w:val="FF0000"/>
          <w:sz w:val="21"/>
          <w:szCs w:val="21"/>
        </w:rPr>
        <w:t>月</w:t>
      </w:r>
      <w:r>
        <w:rPr>
          <w:rFonts w:hint="eastAsia" w:ascii="宋体" w:hAnsi="宋体" w:cs="宋体"/>
          <w:color w:val="FF0000"/>
          <w:sz w:val="21"/>
          <w:szCs w:val="21"/>
          <w:lang w:val="en-US" w:eastAsia="zh-CN"/>
        </w:rPr>
        <w:t>6</w:t>
      </w:r>
      <w:r>
        <w:rPr>
          <w:rFonts w:hint="eastAsia" w:ascii="宋体" w:hAnsi="宋体" w:cs="宋体"/>
          <w:color w:val="FF0000"/>
          <w:sz w:val="21"/>
          <w:szCs w:val="21"/>
        </w:rPr>
        <w:t>日</w:t>
      </w:r>
      <w:r>
        <w:rPr>
          <w:rFonts w:hint="eastAsia" w:ascii="宋体" w:hAnsi="宋体" w:cs="宋体"/>
          <w:sz w:val="21"/>
          <w:szCs w:val="21"/>
        </w:rPr>
        <w:t>北京时间</w:t>
      </w:r>
      <w:r>
        <w:rPr>
          <w:rFonts w:hint="eastAsia" w:ascii="宋体" w:hAnsi="宋体" w:cs="宋体"/>
          <w:sz w:val="21"/>
          <w:szCs w:val="21"/>
          <w:lang w:val="en-US" w:eastAsia="zh-CN"/>
        </w:rPr>
        <w:t>16</w:t>
      </w:r>
      <w:r>
        <w:rPr>
          <w:rFonts w:hint="eastAsia" w:ascii="宋体" w:hAnsi="宋体" w:cs="宋体"/>
          <w:sz w:val="21"/>
          <w:szCs w:val="21"/>
        </w:rPr>
        <w:t>时</w:t>
      </w:r>
      <w:r>
        <w:rPr>
          <w:rFonts w:hint="eastAsia" w:ascii="宋体" w:hAnsi="宋体" w:cs="宋体"/>
          <w:sz w:val="21"/>
          <w:szCs w:val="21"/>
          <w:lang w:val="en-US" w:eastAsia="zh-CN"/>
        </w:rPr>
        <w:t>0</w:t>
      </w:r>
      <w:r>
        <w:rPr>
          <w:rFonts w:hint="eastAsia" w:ascii="宋体" w:hAnsi="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1"/>
          <w:szCs w:val="21"/>
          <w:lang w:val="en-US" w:eastAsia="zh-CN"/>
        </w:rPr>
        <w:t>热水制备站雨污分流改造工程竞选文件</w:t>
      </w:r>
      <w:r>
        <w:rPr>
          <w:rFonts w:hint="eastAsia" w:ascii="宋体" w:hAnsi="宋体" w:cs="宋体"/>
          <w:sz w:val="21"/>
          <w:szCs w:val="21"/>
        </w:rPr>
        <w:t>”字样。投标人递交投标文件后，请联系采购人确认。</w:t>
      </w:r>
    </w:p>
    <w:p>
      <w:pPr>
        <w:numPr>
          <w:ilvl w:val="0"/>
          <w:numId w:val="1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7"/>
      <w:r>
        <w:rPr>
          <w:rFonts w:hint="eastAsia" w:ascii="宋体" w:hAnsi="宋体" w:cs="宋体"/>
          <w:sz w:val="21"/>
          <w:szCs w:val="21"/>
        </w:rPr>
        <w:t>。</w:t>
      </w:r>
    </w:p>
    <w:bookmarkEnd w:id="8"/>
    <w:p>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9" w:name="_Hlk33473147"/>
      <w:bookmarkStart w:id="10" w:name="_Hlk33472987"/>
      <w:r>
        <w:rPr>
          <w:rFonts w:hint="eastAsia" w:ascii="宋体" w:hAnsi="宋体" w:cs="宋体"/>
          <w:b/>
          <w:sz w:val="21"/>
          <w:szCs w:val="21"/>
        </w:rPr>
        <w:t>公开发布</w:t>
      </w:r>
    </w:p>
    <w:p>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广州大学城能源发展有限公司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广州大学城能源发展有限公司</w:t>
      </w:r>
      <w:r>
        <w:rPr>
          <w:rFonts w:hint="eastAsia" w:ascii="宋体" w:hAnsi="宋体" w:cs="宋体"/>
          <w:sz w:val="21"/>
          <w:szCs w:val="21"/>
        </w:rPr>
        <w:t>网站发布的文本为准。</w:t>
      </w:r>
    </w:p>
    <w:bookmarkEnd w:id="9"/>
    <w:p>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广州大学城能源发展有限公司</w:t>
      </w:r>
    </w:p>
    <w:p>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詹小姐</w:t>
      </w:r>
    </w:p>
    <w:p>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77</w:t>
      </w:r>
    </w:p>
    <w:p>
      <w:pPr>
        <w:pStyle w:val="2"/>
        <w:ind w:firstLine="480"/>
        <w:rPr>
          <w:rFonts w:hint="eastAsia" w:ascii="宋体" w:hAnsi="宋体" w:cs="宋体"/>
          <w:b/>
          <w:bCs/>
          <w:sz w:val="21"/>
          <w:szCs w:val="21"/>
          <w:highlight w:val="none"/>
        </w:rPr>
      </w:pPr>
      <w:bookmarkStart w:id="11" w:name="_Hlk33473223"/>
      <w:r>
        <w:rPr>
          <w:rFonts w:hint="eastAsia" w:ascii="宋体" w:hAnsi="宋体" w:cs="宋体"/>
          <w:b/>
          <w:bCs/>
          <w:sz w:val="21"/>
          <w:szCs w:val="21"/>
          <w:highlight w:val="none"/>
        </w:rPr>
        <w:t>附件1：投标文件目录及格式要求</w:t>
      </w:r>
    </w:p>
    <w:p>
      <w:pPr>
        <w:pStyle w:val="2"/>
        <w:ind w:firstLine="480"/>
        <w:rPr>
          <w:rFonts w:hint="eastAsia" w:ascii="宋体" w:hAnsi="宋体" w:cs="宋体"/>
          <w:b/>
          <w:bCs/>
          <w:sz w:val="21"/>
          <w:szCs w:val="21"/>
          <w:highlight w:val="none"/>
        </w:rPr>
      </w:pPr>
    </w:p>
    <w:p>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改造设计图</w:t>
      </w:r>
    </w:p>
    <w:p>
      <w:pPr>
        <w:pStyle w:val="2"/>
        <w:rPr>
          <w:rFonts w:hint="eastAsia" w:ascii="宋体" w:hAnsi="宋体" w:eastAsia="宋体" w:cs="宋体"/>
          <w:szCs w:val="21"/>
          <w:lang w:val="en-US" w:eastAsia="zh-CN"/>
        </w:rPr>
      </w:pPr>
    </w:p>
    <w:p>
      <w:pPr>
        <w:pStyle w:val="8"/>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采购人：</w:t>
      </w:r>
      <w:r>
        <w:rPr>
          <w:rFonts w:hint="eastAsia" w:hAnsi="宋体" w:cs="宋体"/>
          <w:sz w:val="21"/>
          <w:szCs w:val="21"/>
          <w:lang w:val="en-US" w:eastAsia="zh-CN"/>
        </w:rPr>
        <w:t>广州大学城能源发展有限公司</w:t>
      </w:r>
    </w:p>
    <w:p>
      <w:pPr>
        <w:pStyle w:val="8"/>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10</w:t>
      </w:r>
      <w:r>
        <w:rPr>
          <w:rFonts w:hint="eastAsia" w:hAnsi="宋体" w:cs="宋体"/>
          <w:sz w:val="21"/>
          <w:szCs w:val="21"/>
        </w:rPr>
        <w:t>月</w:t>
      </w:r>
      <w:r>
        <w:rPr>
          <w:rFonts w:hint="eastAsia" w:hAnsi="宋体" w:cs="宋体"/>
          <w:sz w:val="21"/>
          <w:szCs w:val="21"/>
          <w:lang w:val="en-US" w:eastAsia="zh-CN"/>
        </w:rPr>
        <w:t>31</w:t>
      </w:r>
      <w:r>
        <w:rPr>
          <w:rFonts w:hint="eastAsia" w:hAnsi="宋体" w:cs="宋体"/>
          <w:sz w:val="21"/>
          <w:szCs w:val="21"/>
        </w:rPr>
        <w:t>日</w:t>
      </w:r>
      <w:bookmarkEnd w:id="6"/>
    </w:p>
    <w:bookmarkEnd w:id="10"/>
    <w:bookmarkEnd w:id="11"/>
    <w:p>
      <w:pPr>
        <w:spacing w:before="120" w:beforeLines="50" w:after="120" w:afterLines="50" w:line="360" w:lineRule="auto"/>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pStyle w:val="2"/>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6"/>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rPr>
              <w:t>“信用中国”网站查询结果附查询结果截图</w:t>
            </w:r>
            <w:r>
              <w:rPr>
                <w:rFonts w:hint="eastAsia" w:ascii="宋体" w:hAnsi="宋体" w:cs="宋体"/>
                <w:color w:val="auto"/>
                <w:kern w:val="0"/>
                <w:sz w:val="21"/>
                <w:szCs w:val="21"/>
                <w:lang w:val="en-US" w:eastAsia="zh-CN"/>
              </w:rPr>
              <w:t>或信用信息报告</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000000"/>
                <w:sz w:val="21"/>
                <w:szCs w:val="21"/>
              </w:rPr>
              <w:t>有效的</w:t>
            </w:r>
            <w:r>
              <w:rPr>
                <w:rFonts w:hint="eastAsia" w:ascii="宋体" w:hAnsi="宋体" w:cs="宋体"/>
                <w:color w:val="000000"/>
                <w:sz w:val="21"/>
                <w:szCs w:val="21"/>
                <w:lang w:val="en-US" w:eastAsia="zh-CN"/>
              </w:rPr>
              <w:t>资质证书、</w:t>
            </w:r>
            <w:r>
              <w:rPr>
                <w:rFonts w:hint="eastAsia" w:ascii="宋体" w:hAnsi="宋体" w:cs="宋体"/>
                <w:sz w:val="21"/>
                <w:szCs w:val="21"/>
                <w:highlight w:val="none"/>
                <w:lang w:val="en-US" w:eastAsia="zh-CN"/>
              </w:rPr>
              <w:t>有效的</w:t>
            </w:r>
            <w:r>
              <w:rPr>
                <w:rFonts w:hint="eastAsia" w:ascii="宋体" w:hAnsi="宋体" w:cs="宋体"/>
                <w:color w:val="000000"/>
                <w:sz w:val="21"/>
                <w:szCs w:val="21"/>
              </w:rPr>
              <w:t>安全生产许可证</w:t>
            </w:r>
            <w:r>
              <w:rPr>
                <w:rFonts w:hint="eastAsia" w:ascii="宋体" w:hAnsi="宋体" w:cs="宋体"/>
                <w:color w:val="000000"/>
                <w:sz w:val="21"/>
                <w:szCs w:val="21"/>
                <w:lang w:val="en-US" w:eastAsia="zh-CN"/>
              </w:rPr>
              <w:t>及安全员证书</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default" w:ascii="宋体" w:hAnsi="宋体" w:eastAsia="宋体" w:cs="宋体"/>
                <w:color w:val="000000"/>
                <w:sz w:val="21"/>
                <w:szCs w:val="21"/>
                <w:lang w:val="en-US" w:eastAsia="zh-CN"/>
              </w:rPr>
            </w:pP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w:t>
            </w:r>
            <w:r>
              <w:rPr>
                <w:rFonts w:hint="eastAsia" w:ascii="宋体" w:hAnsi="宋体" w:cs="宋体"/>
                <w:sz w:val="21"/>
                <w:szCs w:val="21"/>
                <w:lang w:val="en-US" w:eastAsia="zh-CN"/>
              </w:rPr>
              <w:t>具有</w:t>
            </w:r>
            <w:r>
              <w:rPr>
                <w:rFonts w:hint="eastAsia" w:ascii="宋体" w:hAnsi="宋体" w:eastAsia="宋体" w:cs="宋体"/>
                <w:sz w:val="21"/>
                <w:szCs w:val="21"/>
              </w:rPr>
              <w:t>类似工程项目业绩（需提供合同等相关证明材料复印件）</w:t>
            </w:r>
            <w:r>
              <w:rPr>
                <w:rFonts w:hint="eastAsia" w:ascii="宋体" w:hAnsi="宋体" w:cs="宋体"/>
                <w:sz w:val="21"/>
                <w:szCs w:val="21"/>
                <w:lang w:eastAsia="zh-CN"/>
              </w:rPr>
              <w:t>（</w:t>
            </w:r>
            <w:r>
              <w:rPr>
                <w:rFonts w:hint="eastAsia" w:ascii="宋体" w:hAnsi="宋体" w:cs="宋体"/>
                <w:sz w:val="21"/>
                <w:szCs w:val="21"/>
                <w:lang w:val="en-US" w:eastAsia="zh-CN"/>
              </w:rPr>
              <w:t>格式5）</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拟投入本项目的项目负责人情况表(格式</w:t>
            </w:r>
            <w:r>
              <w:rPr>
                <w:rFonts w:hint="eastAsia" w:ascii="宋体" w:hAnsi="宋体" w:cs="宋体"/>
                <w:color w:val="auto"/>
                <w:kern w:val="0"/>
                <w:sz w:val="21"/>
                <w:szCs w:val="21"/>
                <w:lang w:val="en-US" w:eastAsia="zh-CN"/>
              </w:rPr>
              <w:t>6</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color w:val="auto"/>
                <w:kern w:val="0"/>
                <w:sz w:val="21"/>
                <w:szCs w:val="21"/>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9</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tblPrEx>
          <w:tblLayout w:type="fixed"/>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color w:val="auto"/>
                <w:kern w:val="0"/>
                <w:sz w:val="21"/>
                <w:szCs w:val="21"/>
              </w:rPr>
            </w:pPr>
          </w:p>
        </w:tc>
      </w:tr>
    </w:tbl>
    <w:p>
      <w:pPr>
        <w:spacing w:line="360" w:lineRule="auto"/>
        <w:rPr>
          <w:rFonts w:hint="eastAsia" w:ascii="宋体" w:hAnsi="宋体" w:cs="宋体"/>
          <w:sz w:val="21"/>
          <w:szCs w:val="21"/>
          <w:highlight w:val="none"/>
        </w:rPr>
      </w:pPr>
    </w:p>
    <w:p>
      <w:pPr>
        <w:spacing w:line="360" w:lineRule="auto"/>
        <w:rPr>
          <w:rFonts w:hint="eastAsia" w:ascii="宋体" w:hAnsi="宋体" w:cs="宋体"/>
          <w:b/>
          <w:bCs/>
          <w:sz w:val="21"/>
          <w:szCs w:val="21"/>
          <w:highlight w:val="none"/>
        </w:rPr>
      </w:pPr>
    </w:p>
    <w:p>
      <w:pPr>
        <w:spacing w:line="360" w:lineRule="auto"/>
        <w:rPr>
          <w:rFonts w:hint="eastAsia" w:ascii="宋体" w:hAnsi="宋体" w:cs="宋体"/>
          <w:color w:val="000000"/>
          <w:sz w:val="21"/>
          <w:szCs w:val="21"/>
        </w:rPr>
      </w:pPr>
    </w:p>
    <w:p>
      <w:pPr>
        <w:spacing w:line="360" w:lineRule="auto"/>
        <w:rPr>
          <w:rFonts w:hint="eastAsia" w:ascii="宋体" w:hAnsi="宋体" w:cs="宋体"/>
          <w:color w:val="000000"/>
          <w:sz w:val="21"/>
          <w:szCs w:val="21"/>
        </w:rPr>
      </w:pPr>
    </w:p>
    <w:p>
      <w:pPr>
        <w:spacing w:line="360" w:lineRule="auto"/>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pStyle w:val="2"/>
        <w:rPr>
          <w:rFonts w:hint="eastAsia" w:ascii="宋体" w:hAnsi="宋体" w:cs="宋体"/>
          <w:color w:val="000000"/>
          <w:sz w:val="21"/>
          <w:szCs w:val="21"/>
        </w:rPr>
      </w:pPr>
    </w:p>
    <w:p>
      <w:pPr>
        <w:spacing w:line="360" w:lineRule="auto"/>
        <w:rPr>
          <w:rFonts w:hint="eastAsia" w:ascii="宋体" w:hAnsi="宋体" w:cs="宋体"/>
          <w:color w:val="000000"/>
          <w:sz w:val="21"/>
          <w:szCs w:val="21"/>
        </w:rPr>
      </w:pPr>
    </w:p>
    <w:p>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pPr>
        <w:pStyle w:val="11"/>
        <w:ind w:firstLine="0" w:firstLineChars="0"/>
        <w:jc w:val="center"/>
        <w:rPr>
          <w:rFonts w:hint="eastAsia" w:hAnsi="宋体" w:eastAsia="宋体" w:cs="宋体"/>
          <w:b/>
          <w:sz w:val="21"/>
          <w:szCs w:val="21"/>
        </w:rPr>
      </w:pPr>
    </w:p>
    <w:p>
      <w:pPr>
        <w:spacing w:line="360" w:lineRule="auto"/>
        <w:rPr>
          <w:rFonts w:hint="default" w:ascii="宋体" w:hAnsi="宋体" w:eastAsia="宋体" w:cs="宋体"/>
          <w:sz w:val="21"/>
          <w:szCs w:val="21"/>
          <w:lang w:val="en-US" w:eastAsia="zh-CN"/>
        </w:rPr>
      </w:pPr>
      <w:r>
        <w:rPr>
          <w:rFonts w:hint="eastAsia" w:ascii="宋体" w:hAnsi="宋体" w:cs="宋体"/>
          <w:sz w:val="21"/>
          <w:szCs w:val="21"/>
        </w:rPr>
        <w:t>项目名称：</w:t>
      </w:r>
      <w:r>
        <w:rPr>
          <w:rFonts w:hint="eastAsia" w:ascii="宋体" w:hAnsi="宋体" w:cs="宋体"/>
          <w:b w:val="0"/>
          <w:bCs w:val="0"/>
          <w:sz w:val="21"/>
          <w:szCs w:val="21"/>
          <w:lang w:val="en-US" w:eastAsia="zh-CN"/>
        </w:rPr>
        <w:t>热水制备站雨污分流改造工程</w:t>
      </w:r>
    </w:p>
    <w:tbl>
      <w:tblPr>
        <w:tblStyle w:val="26"/>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int="eastAsia" w:ascii="宋体" w:hAnsi="宋体" w:cs="宋体"/>
                <w:bCs/>
                <w:sz w:val="21"/>
                <w:szCs w:val="21"/>
              </w:rPr>
            </w:pPr>
            <w:bookmarkStart w:id="12" w:name="_Hlk33473274"/>
            <w:r>
              <w:rPr>
                <w:rFonts w:hint="eastAsia" w:ascii="宋体" w:hAnsi="宋体" w:cs="宋体"/>
                <w:bCs/>
                <w:sz w:val="21"/>
                <w:szCs w:val="21"/>
              </w:rPr>
              <w:t>序号</w:t>
            </w:r>
          </w:p>
        </w:tc>
        <w:tc>
          <w:tcPr>
            <w:tcW w:w="1844" w:type="dxa"/>
            <w:vAlign w:val="center"/>
          </w:tcPr>
          <w:p>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pPr>
              <w:rPr>
                <w:rFonts w:hint="eastAsia" w:ascii="宋体" w:hAnsi="宋体" w:cs="宋体"/>
                <w:bCs/>
                <w:sz w:val="21"/>
                <w:szCs w:val="21"/>
              </w:rPr>
            </w:pPr>
            <w:r>
              <w:rPr>
                <w:rFonts w:hint="eastAsia" w:ascii="宋体" w:hAnsi="宋体" w:cs="宋体"/>
                <w:bCs/>
                <w:sz w:val="21"/>
                <w:szCs w:val="21"/>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pPr>
              <w:rPr>
                <w:rFonts w:hint="eastAsia" w:ascii="宋体" w:hAnsi="宋体" w:cs="宋体"/>
                <w:sz w:val="21"/>
                <w:szCs w:val="21"/>
              </w:rPr>
            </w:pPr>
            <w:r>
              <w:rPr>
                <w:rFonts w:hint="eastAsia" w:ascii="宋体" w:hAnsi="宋体" w:cs="宋体"/>
                <w:sz w:val="21"/>
                <w:szCs w:val="21"/>
              </w:rPr>
              <w:t>大写：</w:t>
            </w:r>
          </w:p>
          <w:p>
            <w:pPr>
              <w:rPr>
                <w:rFonts w:hint="eastAsia" w:ascii="宋体" w:hAnsi="宋体" w:cs="宋体"/>
                <w:sz w:val="21"/>
                <w:szCs w:val="21"/>
              </w:rPr>
            </w:pPr>
            <w:r>
              <w:rPr>
                <w:rFonts w:hint="eastAsia" w:ascii="宋体" w:hAnsi="宋体" w:cs="宋体"/>
                <w:sz w:val="21"/>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pPr>
              <w:rPr>
                <w:rFonts w:hint="eastAsia" w:ascii="宋体" w:hAnsi="宋体" w:cs="宋体"/>
                <w:sz w:val="21"/>
                <w:szCs w:val="21"/>
              </w:rPr>
            </w:pPr>
            <w:r>
              <w:rPr>
                <w:rFonts w:hint="eastAsia" w:ascii="宋体" w:hAnsi="宋体" w:cs="宋体"/>
                <w:sz w:val="21"/>
                <w:szCs w:val="21"/>
              </w:rPr>
              <w:t>大写：</w:t>
            </w:r>
          </w:p>
          <w:p>
            <w:pPr>
              <w:rPr>
                <w:rFonts w:hint="eastAsia" w:ascii="宋体" w:hAnsi="宋体" w:cs="宋体"/>
                <w:sz w:val="21"/>
                <w:szCs w:val="21"/>
              </w:rPr>
            </w:pPr>
            <w:r>
              <w:rPr>
                <w:rFonts w:hint="eastAsia" w:ascii="宋体" w:hAnsi="宋体" w:cs="宋体"/>
                <w:sz w:val="21"/>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pP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pP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pP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pPr>
              <w:rPr>
                <w:rFonts w:hint="eastAsia" w:ascii="宋体" w:hAnsi="宋体" w:cs="宋体"/>
                <w:sz w:val="21"/>
                <w:szCs w:val="21"/>
              </w:rPr>
            </w:pPr>
            <w:r>
              <w:rPr>
                <w:rFonts w:hint="eastAsia" w:ascii="宋体" w:hAnsi="宋体" w:cs="宋体"/>
                <w:sz w:val="21"/>
                <w:szCs w:val="21"/>
              </w:rPr>
              <w:t>姓名</w:t>
            </w:r>
          </w:p>
        </w:tc>
        <w:tc>
          <w:tcPr>
            <w:tcW w:w="4503" w:type="dxa"/>
            <w:vAlign w:val="center"/>
          </w:tcPr>
          <w:p>
            <w:pP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int="eastAsia" w:ascii="宋体" w:hAnsi="宋体" w:cs="宋体"/>
                <w:sz w:val="21"/>
                <w:szCs w:val="21"/>
              </w:rPr>
            </w:pPr>
          </w:p>
        </w:tc>
        <w:tc>
          <w:tcPr>
            <w:tcW w:w="1844" w:type="dxa"/>
            <w:vMerge w:val="continue"/>
            <w:vAlign w:val="center"/>
          </w:tcPr>
          <w:p>
            <w:pPr>
              <w:rPr>
                <w:rFonts w:hint="eastAsia" w:ascii="宋体" w:hAnsi="宋体" w:cs="宋体"/>
                <w:sz w:val="21"/>
                <w:szCs w:val="21"/>
              </w:rPr>
            </w:pPr>
          </w:p>
        </w:tc>
        <w:tc>
          <w:tcPr>
            <w:tcW w:w="1663" w:type="dxa"/>
            <w:vAlign w:val="center"/>
          </w:tcPr>
          <w:p>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pP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int="eastAsia" w:ascii="宋体" w:hAnsi="宋体" w:cs="宋体"/>
                <w:sz w:val="21"/>
                <w:szCs w:val="21"/>
              </w:rPr>
            </w:pPr>
          </w:p>
        </w:tc>
        <w:tc>
          <w:tcPr>
            <w:tcW w:w="1844" w:type="dxa"/>
            <w:vMerge w:val="continue"/>
            <w:vAlign w:val="center"/>
          </w:tcPr>
          <w:p>
            <w:pPr>
              <w:rPr>
                <w:rFonts w:hint="eastAsia" w:ascii="宋体" w:hAnsi="宋体" w:cs="宋体"/>
                <w:sz w:val="21"/>
                <w:szCs w:val="21"/>
              </w:rPr>
            </w:pPr>
          </w:p>
        </w:tc>
        <w:tc>
          <w:tcPr>
            <w:tcW w:w="1663" w:type="dxa"/>
            <w:vAlign w:val="center"/>
          </w:tcPr>
          <w:p>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pPr>
              <w:rPr>
                <w:rFonts w:hint="eastAsia" w:ascii="宋体" w:hAnsi="宋体" w:cs="宋体"/>
                <w:sz w:val="21"/>
                <w:szCs w:val="21"/>
              </w:rPr>
            </w:pPr>
          </w:p>
        </w:tc>
      </w:tr>
      <w:bookmarkEnd w:id="12"/>
    </w:tbl>
    <w:p>
      <w:pPr>
        <w:rPr>
          <w:rFonts w:hint="eastAsia" w:ascii="宋体" w:hAnsi="宋体" w:cs="宋体"/>
          <w:szCs w:val="21"/>
        </w:rPr>
      </w:pPr>
    </w:p>
    <w:p>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pPr>
        <w:spacing w:before="120" w:beforeLines="50" w:after="120" w:afterLines="50"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日期：     年  月  日</w:t>
      </w:r>
    </w:p>
    <w:p>
      <w:pPr>
        <w:spacing w:line="360" w:lineRule="auto"/>
        <w:rPr>
          <w:rFonts w:hint="eastAsia" w:ascii="宋体" w:hAnsi="宋体" w:cs="宋体"/>
          <w:szCs w:val="21"/>
        </w:rPr>
      </w:pPr>
    </w:p>
    <w:p>
      <w:pPr>
        <w:spacing w:line="360" w:lineRule="auto"/>
        <w:rPr>
          <w:rFonts w:hint="eastAsia" w:ascii="宋体" w:hAnsi="宋体" w:cs="宋体"/>
          <w:b/>
          <w:bCs/>
          <w:sz w:val="21"/>
          <w:szCs w:val="21"/>
          <w:highlight w:val="none"/>
          <w:lang w:val="en-US" w:eastAsia="zh-CN"/>
        </w:rPr>
      </w:pPr>
    </w:p>
    <w:p>
      <w:pPr>
        <w:pStyle w:val="2"/>
        <w:rPr>
          <w:rFonts w:hint="eastAsia"/>
          <w:lang w:val="en-US" w:eastAsia="zh-CN"/>
        </w:rPr>
      </w:pPr>
    </w:p>
    <w:p>
      <w:pPr>
        <w:spacing w:line="360" w:lineRule="auto"/>
        <w:rPr>
          <w:rFonts w:hint="eastAsia" w:ascii="宋体" w:hAnsi="宋体" w:cs="宋体"/>
          <w:b/>
          <w:bCs/>
          <w:sz w:val="21"/>
          <w:szCs w:val="21"/>
          <w:highlight w:val="none"/>
          <w:lang w:val="en-US" w:eastAsia="zh-CN"/>
        </w:rPr>
      </w:pPr>
    </w:p>
    <w:p>
      <w:pPr>
        <w:spacing w:line="360" w:lineRule="auto"/>
        <w:rPr>
          <w:rFonts w:hint="eastAsia" w:ascii="宋体" w:hAnsi="宋体" w:cs="宋体"/>
          <w:b/>
          <w:bCs/>
          <w:sz w:val="21"/>
          <w:szCs w:val="21"/>
          <w:highlight w:val="none"/>
          <w:lang w:val="en-US" w:eastAsia="zh-CN"/>
        </w:rPr>
      </w:pPr>
    </w:p>
    <w:p>
      <w:pPr>
        <w:spacing w:line="360" w:lineRule="auto"/>
        <w:rPr>
          <w:rFonts w:hint="eastAsia" w:ascii="宋体" w:hAnsi="宋体" w:cs="宋体"/>
          <w:b/>
          <w:bCs/>
          <w:sz w:val="21"/>
          <w:szCs w:val="21"/>
          <w:highlight w:val="none"/>
          <w:lang w:val="en-US" w:eastAsia="zh-CN"/>
        </w:rPr>
      </w:pPr>
    </w:p>
    <w:p>
      <w:pPr>
        <w:spacing w:line="360" w:lineRule="auto"/>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明细表（格式自拟）</w:t>
      </w:r>
    </w:p>
    <w:p>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pPr>
        <w:spacing w:line="360" w:lineRule="auto"/>
        <w:rPr>
          <w:rFonts w:hint="eastAsia" w:ascii="宋体" w:hAnsi="宋体" w:eastAsia="宋体" w:cs="宋体"/>
          <w:b/>
          <w:bCs w:val="0"/>
          <w:sz w:val="21"/>
          <w:szCs w:val="21"/>
          <w:lang w:val="en-US"/>
        </w:rPr>
      </w:pPr>
    </w:p>
    <w:p>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spacing w:before="120" w:beforeLines="50" w:after="120" w:afterLines="50" w:line="360" w:lineRule="auto"/>
        <w:jc w:val="left"/>
        <w:rPr>
          <w:rFonts w:hint="eastAsia" w:ascii="宋体" w:hAnsi="宋体" w:eastAsia="宋体" w:cs="宋体"/>
          <w:szCs w:val="21"/>
          <w:lang w:val="en-US" w:eastAsia="zh-CN"/>
        </w:rPr>
      </w:pPr>
    </w:p>
    <w:p>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numPr>
          <w:ilvl w:val="-1"/>
          <w:numId w:val="0"/>
        </w:numPr>
        <w:spacing w:line="360" w:lineRule="auto"/>
        <w:rPr>
          <w:rFonts w:hint="eastAsia" w:ascii="宋体" w:hAnsi="宋体" w:cs="宋体"/>
          <w:b/>
          <w:bCs/>
          <w:sz w:val="21"/>
          <w:szCs w:val="21"/>
          <w:highlight w:val="none"/>
          <w:lang w:val="en-US" w:eastAsia="zh-CN"/>
        </w:rPr>
      </w:pPr>
    </w:p>
    <w:p>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pPr>
        <w:spacing w:line="500" w:lineRule="exact"/>
        <w:ind w:firstLine="470" w:firstLineChars="224"/>
        <w:rPr>
          <w:rFonts w:ascii="宋体" w:hAnsi="宋体" w:cs="宋体"/>
          <w:sz w:val="21"/>
          <w:szCs w:val="21"/>
          <w:highlight w:val="none"/>
        </w:rPr>
      </w:pPr>
    </w:p>
    <w:p>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pPr>
        <w:spacing w:line="500" w:lineRule="exact"/>
        <w:ind w:firstLine="470" w:firstLineChars="224"/>
        <w:rPr>
          <w:rFonts w:ascii="宋体" w:hAnsi="宋体" w:cs="宋体"/>
          <w:sz w:val="21"/>
          <w:szCs w:val="21"/>
          <w:highlight w:val="none"/>
        </w:rPr>
      </w:pPr>
    </w:p>
    <w:p>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pPr>
        <w:spacing w:line="500" w:lineRule="exact"/>
        <w:rPr>
          <w:rFonts w:ascii="宋体" w:hAnsi="宋体" w:cs="宋体"/>
          <w:sz w:val="21"/>
          <w:szCs w:val="21"/>
          <w:highlight w:val="none"/>
        </w:rPr>
      </w:pPr>
    </w:p>
    <w:p>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pPr>
        <w:rPr>
          <w:rFonts w:hint="eastAsia" w:ascii="宋体" w:hAnsi="宋体" w:cs="宋体"/>
          <w:sz w:val="21"/>
          <w:szCs w:val="21"/>
          <w:highlight w:val="none"/>
        </w:rPr>
      </w:pP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pPr>
        <w:pStyle w:val="55"/>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530" w:type="dxa"/>
            <w:vAlign w:val="center"/>
          </w:tcPr>
          <w:p>
            <w:pPr>
              <w:pStyle w:val="15"/>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pPr>
              <w:pStyle w:val="15"/>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atLeast"/>
        </w:trPr>
        <w:tc>
          <w:tcPr>
            <w:tcW w:w="4530" w:type="dxa"/>
          </w:tcPr>
          <w:p>
            <w:pPr>
              <w:pStyle w:val="15"/>
              <w:spacing w:line="240" w:lineRule="auto"/>
              <w:ind w:firstLine="0"/>
              <w:jc w:val="center"/>
              <w:rPr>
                <w:rFonts w:hint="eastAsia" w:ascii="宋体" w:hAnsi="宋体" w:eastAsia="宋体" w:cs="宋体"/>
                <w:color w:val="auto"/>
                <w:sz w:val="21"/>
                <w:szCs w:val="21"/>
                <w:highlight w:val="none"/>
              </w:rPr>
            </w:pPr>
          </w:p>
        </w:tc>
        <w:tc>
          <w:tcPr>
            <w:tcW w:w="4530" w:type="dxa"/>
          </w:tcPr>
          <w:p>
            <w:pPr>
              <w:pStyle w:val="15"/>
              <w:spacing w:line="240" w:lineRule="auto"/>
              <w:ind w:firstLine="0"/>
              <w:jc w:val="center"/>
              <w:rPr>
                <w:rFonts w:hint="eastAsia" w:ascii="宋体" w:hAnsi="宋体" w:eastAsia="宋体" w:cs="宋体"/>
                <w:color w:val="auto"/>
                <w:sz w:val="21"/>
                <w:szCs w:val="21"/>
                <w:highlight w:val="none"/>
              </w:rPr>
            </w:pPr>
          </w:p>
        </w:tc>
      </w:tr>
    </w:tbl>
    <w:p>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pPr>
        <w:pStyle w:val="29"/>
        <w:spacing w:line="360" w:lineRule="auto"/>
        <w:ind w:firstLine="371" w:firstLineChars="177"/>
        <w:rPr>
          <w:rFonts w:hint="eastAsia" w:hAnsi="宋体" w:cs="宋体"/>
          <w:bCs/>
          <w:sz w:val="21"/>
          <w:szCs w:val="21"/>
          <w:highlight w:val="none"/>
        </w:rPr>
      </w:pPr>
    </w:p>
    <w:p>
      <w:pPr>
        <w:spacing w:line="360" w:lineRule="auto"/>
        <w:ind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广州大学城能源发展有限公司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ascii="宋体" w:hAnsi="宋体" w:cs="宋体"/>
          <w:b w:val="0"/>
          <w:bCs w:val="0"/>
          <w:sz w:val="21"/>
          <w:szCs w:val="21"/>
          <w:lang w:val="en-US" w:eastAsia="zh-CN"/>
        </w:rPr>
        <w:t>热水制备站雨污分流改造工程</w:t>
      </w:r>
      <w:r>
        <w:rPr>
          <w:rFonts w:hint="eastAsia" w:hAnsi="宋体" w:cs="宋体"/>
          <w:sz w:val="21"/>
          <w:szCs w:val="21"/>
          <w:highlight w:val="none"/>
        </w:rPr>
        <w:t>”的投标和合同执行，以我方的名义处理一切与之有关的事宜。</w:t>
      </w:r>
    </w:p>
    <w:p>
      <w:pPr>
        <w:pStyle w:val="29"/>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pPr>
        <w:pStyle w:val="29"/>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7"/>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530" w:type="dxa"/>
            <w:vAlign w:val="center"/>
          </w:tcPr>
          <w:p>
            <w:pPr>
              <w:pStyle w:val="15"/>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pPr>
              <w:pStyle w:val="15"/>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9" w:hRule="atLeast"/>
        </w:trPr>
        <w:tc>
          <w:tcPr>
            <w:tcW w:w="4530" w:type="dxa"/>
          </w:tcPr>
          <w:p>
            <w:pPr>
              <w:pStyle w:val="15"/>
              <w:spacing w:line="240" w:lineRule="auto"/>
              <w:ind w:firstLine="0"/>
              <w:jc w:val="center"/>
              <w:rPr>
                <w:rFonts w:hint="eastAsia" w:ascii="宋体" w:hAnsi="宋体" w:eastAsia="宋体" w:cs="宋体"/>
                <w:color w:val="auto"/>
                <w:sz w:val="21"/>
                <w:szCs w:val="21"/>
                <w:highlight w:val="none"/>
              </w:rPr>
            </w:pPr>
          </w:p>
        </w:tc>
        <w:tc>
          <w:tcPr>
            <w:tcW w:w="4530" w:type="dxa"/>
          </w:tcPr>
          <w:p>
            <w:pPr>
              <w:pStyle w:val="15"/>
              <w:spacing w:line="240" w:lineRule="auto"/>
              <w:ind w:firstLine="0"/>
              <w:jc w:val="center"/>
              <w:rPr>
                <w:rFonts w:hint="eastAsia" w:ascii="宋体" w:hAnsi="宋体" w:eastAsia="宋体" w:cs="宋体"/>
                <w:color w:val="auto"/>
                <w:sz w:val="21"/>
                <w:szCs w:val="21"/>
                <w:highlight w:val="none"/>
              </w:rPr>
            </w:pPr>
          </w:p>
        </w:tc>
      </w:tr>
    </w:tbl>
    <w:p>
      <w:pPr>
        <w:pStyle w:val="2"/>
        <w:ind w:firstLine="560"/>
        <w:rPr>
          <w:rFonts w:hint="eastAsia" w:ascii="宋体" w:hAnsi="宋体" w:cs="宋体"/>
          <w:sz w:val="21"/>
          <w:szCs w:val="21"/>
          <w:highlight w:val="none"/>
          <w:lang w:val="zh-CN"/>
        </w:rPr>
      </w:pPr>
    </w:p>
    <w:p>
      <w:pPr>
        <w:pStyle w:val="2"/>
        <w:ind w:firstLine="560"/>
        <w:rPr>
          <w:rFonts w:hint="eastAsia" w:ascii="宋体" w:hAnsi="宋体" w:cs="宋体"/>
          <w:sz w:val="21"/>
          <w:szCs w:val="21"/>
          <w:highlight w:val="none"/>
          <w:lang w:val="zh-CN"/>
        </w:rPr>
      </w:pPr>
    </w:p>
    <w:p>
      <w:pPr>
        <w:adjustRightInd w:val="0"/>
        <w:snapToGrid w:val="0"/>
        <w:spacing w:line="600" w:lineRule="exact"/>
        <w:ind w:firstLine="0"/>
        <w:rPr>
          <w:rFonts w:hint="eastAsia" w:ascii="宋体" w:hAnsi="宋体" w:cs="宋体"/>
          <w:kern w:val="0"/>
          <w:sz w:val="21"/>
          <w:szCs w:val="21"/>
          <w:highlight w:val="none"/>
        </w:rPr>
      </w:pPr>
    </w:p>
    <w:p>
      <w:pPr>
        <w:adjustRightInd w:val="0"/>
        <w:snapToGrid w:val="0"/>
        <w:spacing w:line="600" w:lineRule="exact"/>
        <w:ind w:firstLine="0"/>
        <w:rPr>
          <w:rFonts w:hint="eastAsia" w:ascii="宋体" w:hAnsi="宋体" w:cs="宋体"/>
          <w:kern w:val="0"/>
          <w:sz w:val="21"/>
          <w:szCs w:val="21"/>
          <w:highlight w:val="none"/>
        </w:rPr>
      </w:pPr>
    </w:p>
    <w:p>
      <w:pPr>
        <w:adjustRightInd w:val="0"/>
        <w:snapToGrid w:val="0"/>
        <w:spacing w:line="600" w:lineRule="exact"/>
        <w:ind w:firstLine="0"/>
        <w:rPr>
          <w:rFonts w:hint="eastAsia" w:ascii="宋体" w:hAnsi="宋体" w:cs="宋体"/>
          <w:kern w:val="0"/>
          <w:sz w:val="21"/>
          <w:szCs w:val="21"/>
          <w:highlight w:val="none"/>
        </w:rPr>
      </w:pPr>
    </w:p>
    <w:p>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pPr>
        <w:rPr>
          <w:rFonts w:hint="eastAsia" w:ascii="宋体" w:hAnsi="宋体" w:cs="宋体"/>
          <w:sz w:val="21"/>
          <w:szCs w:val="21"/>
          <w:highlight w:val="none"/>
        </w:rPr>
      </w:pPr>
      <w:r>
        <w:rPr>
          <w:rFonts w:hint="eastAsia" w:ascii="宋体" w:hAnsi="宋体" w:cs="宋体"/>
          <w:sz w:val="21"/>
          <w:szCs w:val="21"/>
          <w:highlight w:val="none"/>
        </w:rPr>
        <w:br w:type="page"/>
      </w:r>
    </w:p>
    <w:p>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6"/>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tblPrEx>
          <w:tblLayout w:type="fixed"/>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pPr>
              <w:spacing w:line="360" w:lineRule="auto"/>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cs="宋体"/>
                <w:b w:val="0"/>
                <w:bCs w:val="0"/>
                <w:sz w:val="21"/>
                <w:szCs w:val="21"/>
                <w:lang w:val="en-US" w:eastAsia="zh-CN"/>
              </w:rPr>
              <w:t>热水制备站雨污分流改造工程</w:t>
            </w:r>
          </w:p>
        </w:tc>
      </w:tr>
      <w:tr>
        <w:tblPrEx>
          <w:tblLayout w:type="fixed"/>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1"/>
                <w:szCs w:val="21"/>
                <w:highlight w:val="none"/>
              </w:rPr>
            </w:pPr>
          </w:p>
          <w:p>
            <w:pPr>
              <w:widowControl/>
              <w:rPr>
                <w:rFonts w:ascii="宋体" w:hAnsi="宋体" w:cs="宋体"/>
                <w:b/>
                <w:bCs/>
                <w:kern w:val="0"/>
                <w:sz w:val="21"/>
                <w:szCs w:val="21"/>
                <w:highlight w:val="none"/>
              </w:rPr>
            </w:pPr>
          </w:p>
          <w:p>
            <w:pPr>
              <w:widowControl/>
              <w:rPr>
                <w:rFonts w:ascii="宋体" w:hAnsi="宋体" w:cs="宋体"/>
                <w:b/>
                <w:bCs/>
                <w:kern w:val="0"/>
                <w:sz w:val="21"/>
                <w:szCs w:val="21"/>
                <w:highlight w:val="none"/>
              </w:rPr>
            </w:pPr>
          </w:p>
          <w:p>
            <w:pPr>
              <w:widowControl/>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pPr>
              <w:widowControl/>
              <w:jc w:val="center"/>
              <w:rPr>
                <w:rFonts w:hint="eastAsia" w:ascii="宋体" w:hAnsi="宋体" w:cs="宋体"/>
                <w:b/>
                <w:bCs/>
                <w:kern w:val="0"/>
                <w:sz w:val="21"/>
                <w:szCs w:val="21"/>
                <w:highlight w:val="none"/>
              </w:rPr>
            </w:pPr>
          </w:p>
        </w:tc>
      </w:tr>
      <w:tr>
        <w:tblPrEx>
          <w:tblLayout w:type="fixed"/>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pPr>
              <w:spacing w:line="400" w:lineRule="exact"/>
              <w:rPr>
                <w:rFonts w:hint="eastAsia" w:ascii="宋体" w:hAnsi="宋体" w:cs="宋体"/>
                <w:sz w:val="21"/>
                <w:szCs w:val="21"/>
                <w:highlight w:val="none"/>
              </w:rPr>
            </w:pPr>
          </w:p>
        </w:tc>
      </w:tr>
    </w:tbl>
    <w:p>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pPr>
        <w:pStyle w:val="2"/>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投标人未被列入“信用中国”网站(www.creditchina.gov.cn)记录失信被执行人名单,须提供“信用中国”网站(www.creditchina.gov.cn)的信用记录查询结果截图或信用信息报告并打印页面加盖公章</w:t>
      </w:r>
    </w:p>
    <w:p>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p>
    <w:p>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10"/>
                    <a:stretch>
                      <a:fillRect/>
                    </a:stretch>
                  </pic:blipFill>
                  <pic:spPr>
                    <a:xfrm>
                      <a:off x="0" y="0"/>
                      <a:ext cx="5336540" cy="3955415"/>
                    </a:xfrm>
                    <a:prstGeom prst="rect">
                      <a:avLst/>
                    </a:prstGeom>
                  </pic:spPr>
                </pic:pic>
              </a:graphicData>
            </a:graphic>
          </wp:inline>
        </w:drawing>
      </w:r>
    </w:p>
    <w:p>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pPr>
        <w:pStyle w:val="2"/>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11"/>
                    <a:stretch>
                      <a:fillRect/>
                    </a:stretch>
                  </pic:blipFill>
                  <pic:spPr>
                    <a:xfrm>
                      <a:off x="0" y="0"/>
                      <a:ext cx="5259070" cy="2715260"/>
                    </a:xfrm>
                    <a:prstGeom prst="rect">
                      <a:avLst/>
                    </a:prstGeom>
                    <a:noFill/>
                    <a:ln>
                      <a:noFill/>
                    </a:ln>
                  </pic:spPr>
                </pic:pic>
              </a:graphicData>
            </a:graphic>
          </wp:inline>
        </w:drawing>
      </w:r>
    </w:p>
    <w:p>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pPr>
        <w:pStyle w:val="2"/>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pPr>
        <w:pStyle w:val="2"/>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pPr>
        <w:rPr>
          <w:rFonts w:hint="eastAsia" w:ascii="宋体" w:hAnsi="宋体" w:cs="宋体"/>
          <w:b/>
          <w:sz w:val="21"/>
          <w:szCs w:val="21"/>
          <w:highlight w:val="none"/>
        </w:rPr>
      </w:pPr>
    </w:p>
    <w:p>
      <w:pPr>
        <w:spacing w:line="360" w:lineRule="auto"/>
        <w:rPr>
          <w:rFonts w:hint="eastAsia" w:ascii="宋体" w:hAnsi="宋体" w:cs="宋体"/>
          <w:b/>
          <w:sz w:val="21"/>
          <w:szCs w:val="21"/>
          <w:highlight w:val="none"/>
        </w:rPr>
      </w:pPr>
      <w:r>
        <w:rPr>
          <w:rFonts w:hint="eastAsia" w:ascii="宋体" w:hAnsi="宋体"/>
          <w:sz w:val="21"/>
          <w:szCs w:val="21"/>
          <w:highlight w:val="none"/>
          <w:u w:val="single"/>
          <w:lang w:val="en-US" w:eastAsia="zh-CN"/>
        </w:rPr>
        <w:t>广州大学城能源发展有限公司</w:t>
      </w:r>
      <w:r>
        <w:rPr>
          <w:rFonts w:hint="eastAsia" w:ascii="宋体" w:hAnsi="宋体" w:eastAsia="宋体"/>
          <w:sz w:val="21"/>
          <w:szCs w:val="21"/>
          <w:highlight w:val="none"/>
          <w:u w:val="single"/>
          <w:lang w:val="en-US" w:eastAsia="zh-CN"/>
        </w:rPr>
        <w:t xml:space="preserve">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pPr>
        <w:spacing w:before="0"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cs="宋体"/>
          <w:b w:val="0"/>
          <w:bCs w:val="0"/>
          <w:sz w:val="21"/>
          <w:szCs w:val="21"/>
          <w:lang w:val="en-US" w:eastAsia="zh-CN"/>
        </w:rPr>
        <w:t>热水制备站雨污分流改造工程</w:t>
      </w:r>
      <w:r>
        <w:rPr>
          <w:rFonts w:hint="eastAsia" w:ascii="宋体" w:hAnsi="宋体" w:cs="宋体"/>
          <w:color w:val="000000"/>
          <w:sz w:val="21"/>
          <w:szCs w:val="21"/>
          <w:highlight w:val="none"/>
        </w:rPr>
        <w:t>，我公司（企业）愿意参加竞选，并声明：</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pPr>
        <w:spacing w:line="360" w:lineRule="auto"/>
        <w:ind w:firstLine="420"/>
        <w:rPr>
          <w:rFonts w:hint="eastAsia" w:ascii="宋体" w:hAnsi="宋体" w:cs="宋体"/>
          <w:sz w:val="21"/>
          <w:szCs w:val="21"/>
          <w:highlight w:val="none"/>
        </w:rPr>
      </w:pPr>
    </w:p>
    <w:p>
      <w:pPr>
        <w:spacing w:line="360" w:lineRule="auto"/>
        <w:ind w:firstLine="420"/>
        <w:rPr>
          <w:rFonts w:hint="eastAsia" w:ascii="宋体" w:hAnsi="宋体" w:cs="宋体"/>
          <w:sz w:val="21"/>
          <w:szCs w:val="21"/>
          <w:highlight w:val="none"/>
        </w:rPr>
      </w:pPr>
    </w:p>
    <w:p>
      <w:pPr>
        <w:spacing w:line="360" w:lineRule="auto"/>
        <w:ind w:firstLine="420"/>
        <w:rPr>
          <w:rFonts w:hint="eastAsia" w:ascii="宋体" w:hAnsi="宋体" w:cs="宋体"/>
          <w:sz w:val="21"/>
          <w:szCs w:val="21"/>
          <w:highlight w:val="none"/>
        </w:rPr>
      </w:pPr>
    </w:p>
    <w:p>
      <w:pPr>
        <w:spacing w:line="360" w:lineRule="auto"/>
        <w:ind w:firstLine="420"/>
        <w:rPr>
          <w:rFonts w:hint="eastAsia" w:ascii="宋体" w:hAnsi="宋体" w:cs="宋体"/>
          <w:sz w:val="21"/>
          <w:szCs w:val="21"/>
          <w:highlight w:val="none"/>
        </w:rPr>
      </w:pP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pPr>
        <w:rPr>
          <w:rFonts w:hint="eastAsia" w:ascii="宋体" w:hAnsi="宋体" w:cs="宋体"/>
          <w:color w:val="000000"/>
          <w:sz w:val="21"/>
          <w:szCs w:val="21"/>
          <w:highlight w:val="none"/>
        </w:rPr>
      </w:pPr>
    </w:p>
    <w:p>
      <w:pPr>
        <w:rPr>
          <w:rFonts w:hint="eastAsia" w:ascii="宋体" w:hAnsi="宋体" w:cs="宋体"/>
          <w:color w:val="000000"/>
          <w:sz w:val="21"/>
          <w:szCs w:val="21"/>
          <w:highlight w:val="none"/>
        </w:rPr>
      </w:pPr>
    </w:p>
    <w:p>
      <w:pPr>
        <w:ind w:firstLine="1687" w:firstLineChars="800"/>
        <w:rPr>
          <w:rFonts w:hint="eastAsia" w:ascii="宋体" w:hAnsi="宋体" w:cs="宋体"/>
          <w:b/>
          <w:bCs/>
          <w:sz w:val="21"/>
          <w:szCs w:val="21"/>
          <w:highlight w:val="none"/>
        </w:rPr>
      </w:pPr>
    </w:p>
    <w:p>
      <w:pPr>
        <w:ind w:firstLine="1687" w:firstLineChars="800"/>
        <w:rPr>
          <w:rFonts w:hint="eastAsia" w:ascii="宋体" w:hAnsi="宋体" w:cs="宋体"/>
          <w:b/>
          <w:bCs/>
          <w:sz w:val="21"/>
          <w:szCs w:val="21"/>
          <w:highlight w:val="none"/>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spacing w:before="120" w:beforeLines="50" w:after="120" w:afterLines="50" w:line="360" w:lineRule="auto"/>
        <w:rPr>
          <w:rFonts w:hint="eastAsia" w:ascii="宋体" w:hAnsi="宋体" w:cs="宋体"/>
          <w:color w:val="000000"/>
          <w:sz w:val="21"/>
          <w:szCs w:val="21"/>
        </w:rPr>
      </w:pPr>
    </w:p>
    <w:p>
      <w:pPr>
        <w:pStyle w:val="2"/>
        <w:rPr>
          <w:rFonts w:hint="eastAsia"/>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default" w:ascii="宋体" w:hAnsi="宋体" w:cs="宋体"/>
          <w:b/>
          <w:bCs/>
          <w:color w:val="000000"/>
          <w:sz w:val="21"/>
          <w:szCs w:val="21"/>
          <w:lang w:val="en-US" w:eastAsia="zh-CN"/>
        </w:rPr>
      </w:pPr>
      <w:r>
        <w:rPr>
          <w:rFonts w:hint="eastAsia" w:ascii="宋体" w:hAnsi="宋体" w:cs="宋体"/>
          <w:b/>
          <w:bCs/>
          <w:color w:val="000000"/>
          <w:sz w:val="21"/>
          <w:szCs w:val="21"/>
          <w:lang w:val="en-US" w:eastAsia="zh-CN"/>
        </w:rPr>
        <w:t>2.6</w:t>
      </w:r>
      <w:r>
        <w:rPr>
          <w:rFonts w:hint="eastAsia" w:ascii="宋体" w:hAnsi="宋体" w:cs="宋体"/>
          <w:color w:val="000000"/>
          <w:sz w:val="21"/>
          <w:szCs w:val="21"/>
        </w:rPr>
        <w:t>有效的</w:t>
      </w:r>
      <w:r>
        <w:rPr>
          <w:rFonts w:hint="eastAsia" w:ascii="宋体" w:hAnsi="宋体" w:cs="宋体"/>
          <w:color w:val="000000"/>
          <w:sz w:val="21"/>
          <w:szCs w:val="21"/>
          <w:lang w:val="en-US" w:eastAsia="zh-CN"/>
        </w:rPr>
        <w:t>资质证书</w:t>
      </w:r>
      <w:r>
        <w:rPr>
          <w:rFonts w:hint="eastAsia" w:ascii="宋体" w:hAnsi="宋体" w:cs="宋体"/>
          <w:sz w:val="21"/>
          <w:szCs w:val="21"/>
          <w:highlight w:val="none"/>
          <w:lang w:val="en-US" w:eastAsia="zh-CN"/>
        </w:rPr>
        <w:t>、有效的</w:t>
      </w:r>
      <w:r>
        <w:rPr>
          <w:rFonts w:hint="eastAsia" w:ascii="宋体" w:hAnsi="宋体" w:cs="宋体"/>
          <w:color w:val="000000"/>
          <w:sz w:val="21"/>
          <w:szCs w:val="21"/>
        </w:rPr>
        <w:t>安全生产许可</w:t>
      </w:r>
      <w:r>
        <w:rPr>
          <w:rFonts w:hint="eastAsia" w:ascii="宋体" w:hAnsi="宋体" w:cs="宋体"/>
          <w:color w:val="000000"/>
          <w:sz w:val="21"/>
          <w:szCs w:val="21"/>
          <w:lang w:val="en-US" w:eastAsia="zh-CN"/>
        </w:rPr>
        <w:t>证及安全员证书</w:t>
      </w: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eastAsia" w:ascii="宋体" w:hAnsi="宋体" w:cs="宋体"/>
          <w:b/>
          <w:bCs/>
          <w:color w:val="000000"/>
          <w:sz w:val="21"/>
          <w:szCs w:val="21"/>
          <w:lang w:val="en-US" w:eastAsia="zh-CN"/>
        </w:rPr>
      </w:pPr>
    </w:p>
    <w:p>
      <w:pPr>
        <w:spacing w:before="120" w:beforeLines="50" w:after="120" w:afterLines="50" w:line="360" w:lineRule="auto"/>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 xml:space="preserve">2.7 格式5 </w:t>
      </w: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w:t>
      </w:r>
      <w:r>
        <w:rPr>
          <w:rFonts w:hint="eastAsia" w:ascii="宋体" w:hAnsi="宋体" w:cs="宋体"/>
          <w:sz w:val="21"/>
          <w:szCs w:val="21"/>
          <w:lang w:val="en-US" w:eastAsia="zh-CN"/>
        </w:rPr>
        <w:t>具有</w:t>
      </w:r>
      <w:r>
        <w:rPr>
          <w:rFonts w:hint="eastAsia" w:ascii="宋体" w:hAnsi="宋体" w:eastAsia="宋体" w:cs="宋体"/>
          <w:sz w:val="21"/>
          <w:szCs w:val="21"/>
        </w:rPr>
        <w:t>类似工程项目业绩（需提供合同等相关证明材料复印件）</w:t>
      </w:r>
    </w:p>
    <w:tbl>
      <w:tblPr>
        <w:tblStyle w:val="26"/>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876" w:type="dxa"/>
            <w:noWrap/>
            <w:vAlign w:val="center"/>
          </w:tcPr>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合同总价</w:t>
            </w:r>
          </w:p>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noWrap/>
            <w:vAlign w:val="center"/>
          </w:tcPr>
          <w:p>
            <w:pPr>
              <w:jc w:val="center"/>
              <w:rPr>
                <w:rFonts w:hint="eastAsia" w:ascii="宋体" w:hAnsi="宋体" w:cs="宋体"/>
                <w:sz w:val="24"/>
                <w:szCs w:val="24"/>
                <w:highlight w:val="none"/>
              </w:rPr>
            </w:pPr>
          </w:p>
        </w:tc>
        <w:tc>
          <w:tcPr>
            <w:tcW w:w="1273" w:type="dxa"/>
            <w:noWrap/>
            <w:vAlign w:val="center"/>
          </w:tcPr>
          <w:p>
            <w:pPr>
              <w:jc w:val="center"/>
              <w:rPr>
                <w:rFonts w:hint="eastAsia" w:ascii="宋体" w:hAnsi="宋体" w:cs="宋体"/>
                <w:sz w:val="24"/>
                <w:szCs w:val="24"/>
                <w:highlight w:val="none"/>
              </w:rPr>
            </w:pPr>
          </w:p>
        </w:tc>
        <w:tc>
          <w:tcPr>
            <w:tcW w:w="1275" w:type="dxa"/>
            <w:noWrap/>
          </w:tcPr>
          <w:p>
            <w:pPr>
              <w:jc w:val="center"/>
              <w:rPr>
                <w:rFonts w:hint="eastAsia" w:ascii="宋体" w:hAnsi="宋体" w:cs="宋体"/>
                <w:sz w:val="24"/>
                <w:szCs w:val="24"/>
                <w:highlight w:val="none"/>
              </w:rPr>
            </w:pPr>
          </w:p>
        </w:tc>
        <w:tc>
          <w:tcPr>
            <w:tcW w:w="1902" w:type="dxa"/>
            <w:noWrap/>
            <w:vAlign w:val="center"/>
          </w:tcPr>
          <w:p>
            <w:pPr>
              <w:jc w:val="center"/>
              <w:rPr>
                <w:rFonts w:hint="eastAsia" w:ascii="宋体" w:hAnsi="宋体" w:cs="宋体"/>
                <w:sz w:val="24"/>
                <w:szCs w:val="24"/>
                <w:highlight w:val="none"/>
              </w:rPr>
            </w:pPr>
          </w:p>
        </w:tc>
        <w:tc>
          <w:tcPr>
            <w:tcW w:w="1817" w:type="dxa"/>
            <w:noWrap/>
            <w:vAlign w:val="center"/>
          </w:tcPr>
          <w:p>
            <w:pPr>
              <w:jc w:val="center"/>
              <w:rPr>
                <w:rFonts w:hint="eastAsia" w:ascii="宋体" w:hAnsi="宋体" w:cs="宋体"/>
                <w:sz w:val="24"/>
                <w:szCs w:val="24"/>
                <w:highlight w:val="none"/>
              </w:rPr>
            </w:pPr>
          </w:p>
        </w:tc>
        <w:tc>
          <w:tcPr>
            <w:tcW w:w="1540" w:type="dxa"/>
            <w:noWrap/>
            <w:vAlign w:val="center"/>
          </w:tcPr>
          <w:p>
            <w:pPr>
              <w:jc w:val="center"/>
              <w:rPr>
                <w:rFonts w:hint="eastAsia" w:ascii="宋体" w:hAnsi="宋体" w:cs="宋体"/>
                <w:sz w:val="24"/>
                <w:szCs w:val="24"/>
                <w:highlight w:val="none"/>
              </w:rPr>
            </w:pPr>
          </w:p>
        </w:tc>
      </w:tr>
    </w:tbl>
    <w:p>
      <w:pPr>
        <w:spacing w:line="300" w:lineRule="auto"/>
        <w:rPr>
          <w:rFonts w:hint="eastAsia" w:eastAsia="宋体" w:cs="Times New Roman" w:asciiTheme="minorEastAsia" w:hAnsiTheme="minorEastAsia"/>
          <w:color w:val="auto"/>
          <w:sz w:val="24"/>
        </w:rPr>
      </w:pPr>
    </w:p>
    <w:p>
      <w:pPr>
        <w:spacing w:line="300" w:lineRule="auto"/>
        <w:ind w:left="0" w:leftChars="0" w:firstLine="0" w:firstLineChars="0"/>
        <w:rPr>
          <w:rFonts w:hint="eastAsia" w:ascii="宋体" w:hAnsi="宋体" w:cs="宋体"/>
          <w:sz w:val="24"/>
          <w:szCs w:val="24"/>
          <w:highlight w:val="none"/>
        </w:rPr>
      </w:pPr>
      <w:r>
        <w:rPr>
          <w:rFonts w:hint="eastAsia" w:cs="宋体"/>
          <w:sz w:val="24"/>
          <w:szCs w:val="24"/>
          <w:highlight w:val="none"/>
          <w:lang w:val="en-US" w:eastAsia="zh-CN"/>
        </w:rPr>
        <w:t>投</w:t>
      </w:r>
      <w:r>
        <w:rPr>
          <w:rFonts w:hint="eastAsia" w:ascii="宋体" w:hAnsi="宋体" w:cs="宋体"/>
          <w:sz w:val="24"/>
          <w:szCs w:val="24"/>
          <w:highlight w:val="none"/>
        </w:rPr>
        <w:t>标人全称（加盖公章）:</w:t>
      </w:r>
    </w:p>
    <w:p>
      <w:pPr>
        <w:spacing w:line="300" w:lineRule="auto"/>
        <w:rPr>
          <w:rFonts w:hint="eastAsia" w:ascii="宋体" w:hAnsi="宋体" w:cs="宋体"/>
          <w:sz w:val="24"/>
          <w:szCs w:val="24"/>
          <w:highlight w:val="none"/>
        </w:rPr>
      </w:pPr>
    </w:p>
    <w:p>
      <w:pPr>
        <w:pStyle w:val="11"/>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 xml:space="preserve">       日    期：     年   月   日</w:t>
      </w:r>
    </w:p>
    <w:p>
      <w:pPr>
        <w:spacing w:line="360" w:lineRule="auto"/>
        <w:rPr>
          <w:rFonts w:hint="eastAsia" w:ascii="宋体" w:hAnsi="宋体" w:cs="宋体"/>
          <w:b/>
          <w:bCs/>
          <w:sz w:val="24"/>
          <w:szCs w:val="24"/>
          <w:highlight w:val="none"/>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pStyle w:val="2"/>
        <w:rPr>
          <w:rFonts w:hint="eastAsia"/>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hint="eastAsia" w:ascii="宋体" w:hAnsi="宋体" w:cs="宋体"/>
          <w:b/>
          <w:bCs/>
          <w:color w:val="000000"/>
          <w:sz w:val="21"/>
          <w:szCs w:val="21"/>
          <w:lang w:val="en-US" w:eastAsia="zh-CN"/>
        </w:rPr>
      </w:pPr>
    </w:p>
    <w:p>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2.8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6</w:t>
      </w:r>
      <w:r>
        <w:rPr>
          <w:rFonts w:hint="eastAsia" w:ascii="宋体" w:hAnsi="宋体" w:cs="宋体"/>
          <w:b/>
          <w:bCs/>
          <w:color w:val="auto"/>
          <w:sz w:val="21"/>
          <w:szCs w:val="21"/>
        </w:rPr>
        <w:t>.拟投入本项目的项目负责人情况表</w:t>
      </w:r>
    </w:p>
    <w:p>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6"/>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pPr>
              <w:jc w:val="center"/>
              <w:rPr>
                <w:rFonts w:ascii="宋体" w:hAnsi="宋体" w:cs="宋体"/>
                <w:bCs/>
                <w:color w:val="auto"/>
                <w:sz w:val="21"/>
                <w:szCs w:val="21"/>
              </w:rPr>
            </w:pPr>
          </w:p>
        </w:tc>
        <w:tc>
          <w:tcPr>
            <w:tcW w:w="1613"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pPr>
              <w:jc w:val="center"/>
              <w:rPr>
                <w:rFonts w:ascii="宋体" w:hAnsi="宋体" w:cs="宋体"/>
                <w:bCs/>
                <w:color w:val="auto"/>
                <w:sz w:val="21"/>
                <w:szCs w:val="21"/>
              </w:rPr>
            </w:pPr>
          </w:p>
        </w:tc>
        <w:tc>
          <w:tcPr>
            <w:tcW w:w="2198"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pPr>
              <w:jc w:val="center"/>
              <w:rPr>
                <w:rFonts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pPr>
              <w:spacing w:line="360" w:lineRule="exact"/>
              <w:jc w:val="center"/>
              <w:rPr>
                <w:rFonts w:ascii="宋体" w:hAnsi="宋体" w:cs="宋体"/>
                <w:bCs/>
                <w:color w:val="auto"/>
                <w:sz w:val="21"/>
                <w:szCs w:val="21"/>
              </w:rPr>
            </w:pPr>
          </w:p>
        </w:tc>
        <w:tc>
          <w:tcPr>
            <w:tcW w:w="1613" w:type="dxa"/>
            <w:gridSpan w:val="2"/>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pPr>
              <w:spacing w:line="360" w:lineRule="exact"/>
              <w:jc w:val="center"/>
              <w:rPr>
                <w:rFonts w:ascii="宋体" w:hAnsi="宋体" w:cs="宋体"/>
                <w:bCs/>
                <w:color w:val="auto"/>
                <w:sz w:val="21"/>
                <w:szCs w:val="21"/>
              </w:rPr>
            </w:pPr>
          </w:p>
        </w:tc>
        <w:tc>
          <w:tcPr>
            <w:tcW w:w="2198" w:type="dxa"/>
            <w:gridSpan w:val="2"/>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pPr>
              <w:spacing w:line="360" w:lineRule="exact"/>
              <w:jc w:val="center"/>
              <w:rPr>
                <w:rFonts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pPr>
              <w:spacing w:line="360" w:lineRule="exact"/>
              <w:jc w:val="center"/>
              <w:rPr>
                <w:rFonts w:ascii="宋体" w:hAnsi="宋体" w:cs="宋体"/>
                <w:bCs/>
                <w:color w:val="auto"/>
                <w:sz w:val="21"/>
                <w:szCs w:val="21"/>
              </w:rPr>
            </w:pPr>
          </w:p>
        </w:tc>
        <w:tc>
          <w:tcPr>
            <w:tcW w:w="1613" w:type="dxa"/>
            <w:gridSpan w:val="2"/>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pPr>
              <w:spacing w:line="360" w:lineRule="exact"/>
              <w:jc w:val="center"/>
              <w:rPr>
                <w:rFonts w:ascii="宋体" w:hAnsi="宋体" w:cs="宋体"/>
                <w:bCs/>
                <w:color w:val="auto"/>
                <w:sz w:val="21"/>
                <w:szCs w:val="21"/>
              </w:rPr>
            </w:pPr>
          </w:p>
        </w:tc>
        <w:tc>
          <w:tcPr>
            <w:tcW w:w="2198" w:type="dxa"/>
            <w:gridSpan w:val="2"/>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pPr>
              <w:spacing w:line="360" w:lineRule="exact"/>
              <w:jc w:val="center"/>
              <w:rPr>
                <w:rFonts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pPr>
              <w:spacing w:line="360" w:lineRule="exact"/>
              <w:jc w:val="center"/>
              <w:rPr>
                <w:rFonts w:ascii="宋体" w:hAnsi="宋体" w:cs="宋体"/>
                <w:bCs/>
                <w:color w:val="auto"/>
                <w:sz w:val="21"/>
                <w:szCs w:val="21"/>
              </w:rPr>
            </w:pPr>
          </w:p>
        </w:tc>
        <w:tc>
          <w:tcPr>
            <w:tcW w:w="2198" w:type="dxa"/>
            <w:gridSpan w:val="2"/>
            <w:vAlign w:val="center"/>
          </w:tcPr>
          <w:p>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pPr>
              <w:spacing w:line="360" w:lineRule="exact"/>
              <w:jc w:val="center"/>
              <w:rPr>
                <w:rFonts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pPr>
              <w:jc w:val="center"/>
              <w:rPr>
                <w:rFonts w:ascii="宋体" w:hAnsi="宋体" w:cs="宋体"/>
                <w:bCs/>
                <w:color w:val="auto"/>
                <w:sz w:val="21"/>
                <w:szCs w:val="21"/>
              </w:rPr>
            </w:pPr>
          </w:p>
        </w:tc>
        <w:tc>
          <w:tcPr>
            <w:tcW w:w="2198"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pPr>
              <w:jc w:val="center"/>
              <w:rPr>
                <w:rFonts w:ascii="宋体" w:hAnsi="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57" w:type="dxa"/>
            <w:gridSpan w:val="10"/>
          </w:tcPr>
          <w:p>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685" w:type="dxa"/>
            <w:gridSpan w:val="2"/>
          </w:tcPr>
          <w:p>
            <w:pPr>
              <w:jc w:val="center"/>
              <w:rPr>
                <w:rFonts w:ascii="宋体" w:hAnsi="宋体" w:cs="宋体"/>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685" w:type="dxa"/>
            <w:gridSpan w:val="2"/>
          </w:tcPr>
          <w:p>
            <w:pPr>
              <w:jc w:val="center"/>
              <w:rPr>
                <w:rFonts w:ascii="宋体" w:hAnsi="宋体" w:cs="宋体"/>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993" w:type="dxa"/>
            <w:gridSpan w:val="2"/>
          </w:tcPr>
          <w:p>
            <w:pPr>
              <w:jc w:val="center"/>
              <w:rPr>
                <w:rFonts w:ascii="宋体" w:hAnsi="宋体" w:cs="宋体"/>
                <w:b/>
                <w:color w:val="auto"/>
                <w:sz w:val="21"/>
                <w:szCs w:val="21"/>
              </w:rPr>
            </w:pPr>
          </w:p>
        </w:tc>
        <w:tc>
          <w:tcPr>
            <w:tcW w:w="1685" w:type="dxa"/>
            <w:gridSpan w:val="2"/>
          </w:tcPr>
          <w:p>
            <w:pPr>
              <w:jc w:val="center"/>
              <w:rPr>
                <w:rFonts w:ascii="宋体" w:hAnsi="宋体" w:cs="宋体"/>
                <w:b/>
                <w:color w:val="auto"/>
                <w:sz w:val="21"/>
                <w:szCs w:val="21"/>
              </w:rPr>
            </w:pPr>
          </w:p>
        </w:tc>
      </w:tr>
    </w:tbl>
    <w:p>
      <w:pPr>
        <w:pStyle w:val="15"/>
        <w:rPr>
          <w:rFonts w:ascii="宋体" w:hAnsi="宋体" w:eastAsia="宋体" w:cs="宋体"/>
          <w:color w:val="auto"/>
          <w:sz w:val="21"/>
          <w:szCs w:val="21"/>
        </w:rPr>
      </w:pPr>
    </w:p>
    <w:p>
      <w:pPr>
        <w:pStyle w:val="15"/>
        <w:rPr>
          <w:rFonts w:ascii="宋体" w:hAnsi="宋体" w:eastAsia="宋体" w:cs="宋体"/>
          <w:color w:val="auto"/>
          <w:sz w:val="21"/>
          <w:szCs w:val="21"/>
        </w:rPr>
      </w:pPr>
    </w:p>
    <w:p>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 xml:space="preserve">2.9 </w:t>
      </w:r>
      <w:r>
        <w:rPr>
          <w:rFonts w:hint="eastAsia" w:ascii="宋体" w:hAnsi="宋体" w:cs="宋体"/>
          <w:b/>
          <w:bCs/>
          <w:color w:val="auto"/>
          <w:kern w:val="0"/>
          <w:sz w:val="21"/>
          <w:szCs w:val="21"/>
        </w:rPr>
        <w:t>供应商认为需要提交的其他资料</w:t>
      </w:r>
    </w:p>
    <w:p>
      <w:pPr>
        <w:spacing w:before="120" w:beforeLines="50" w:after="120" w:afterLines="50" w:line="360" w:lineRule="auto"/>
        <w:rPr>
          <w:rFonts w:hint="eastAsia" w:ascii="宋体" w:hAnsi="宋体" w:cs="宋体"/>
          <w:b/>
          <w:bCs/>
          <w:color w:val="000000"/>
          <w:sz w:val="21"/>
          <w:szCs w:val="21"/>
        </w:rPr>
      </w:pPr>
    </w:p>
    <w:p>
      <w:pPr>
        <w:spacing w:before="120" w:beforeLines="50" w:after="120" w:afterLines="50" w:line="360" w:lineRule="auto"/>
        <w:rPr>
          <w:rFonts w:hint="eastAsia" w:ascii="宋体" w:hAnsi="宋体" w:cs="宋体"/>
          <w:b/>
          <w:bCs/>
          <w:color w:val="000000"/>
          <w:sz w:val="21"/>
          <w:szCs w:val="21"/>
        </w:rPr>
      </w:pPr>
    </w:p>
    <w:p>
      <w:pPr>
        <w:spacing w:before="120" w:beforeLines="50" w:after="120" w:afterLines="50" w:line="360" w:lineRule="auto"/>
        <w:rPr>
          <w:rFonts w:hint="eastAsia" w:ascii="宋体" w:hAnsi="宋体" w:cs="宋体"/>
          <w:b/>
          <w:bCs/>
          <w:color w:val="000000"/>
          <w:sz w:val="21"/>
          <w:szCs w:val="21"/>
        </w:rPr>
      </w:pPr>
    </w:p>
    <w:p>
      <w:pPr>
        <w:spacing w:before="120" w:beforeLines="50" w:after="120" w:afterLines="50" w:line="360" w:lineRule="auto"/>
        <w:rPr>
          <w:rFonts w:hint="eastAsia" w:ascii="宋体" w:hAnsi="宋体" w:eastAsia="宋体" w:cs="宋体"/>
          <w:b/>
          <w:bCs/>
          <w:color w:val="000000"/>
          <w:sz w:val="21"/>
          <w:szCs w:val="21"/>
          <w:lang w:val="en-US" w:eastAsia="zh-CN"/>
        </w:rPr>
      </w:pPr>
    </w:p>
    <w:p>
      <w:pPr>
        <w:pStyle w:val="2"/>
        <w:ind w:firstLine="480"/>
        <w:rPr>
          <w:rFonts w:hint="eastAsia" w:ascii="宋体" w:hAnsi="宋体" w:cs="宋体"/>
          <w:b/>
          <w:bCs/>
          <w:szCs w:val="21"/>
          <w:highlight w:val="none"/>
        </w:rPr>
      </w:pPr>
      <w:r>
        <w:rPr>
          <w:rFonts w:hint="eastAsia" w:ascii="宋体" w:hAnsi="宋体" w:eastAsia="宋体" w:cs="宋体"/>
          <w:szCs w:val="21"/>
        </w:rPr>
        <w:br w:type="page"/>
      </w:r>
      <w:r>
        <w:rPr>
          <w:rFonts w:hint="eastAsia" w:ascii="宋体" w:hAnsi="宋体" w:cs="宋体"/>
          <w:b/>
          <w:bCs/>
          <w:szCs w:val="21"/>
          <w:highlight w:val="none"/>
        </w:rPr>
        <w:t>附件2：评审办法</w:t>
      </w:r>
    </w:p>
    <w:p>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广州大学城能源发展有限公司</w:t>
      </w:r>
      <w:r>
        <w:rPr>
          <w:rFonts w:hint="eastAsia" w:ascii="宋体" w:hAnsi="宋体" w:cs="宋体"/>
          <w:sz w:val="21"/>
          <w:szCs w:val="21"/>
          <w:highlight w:val="none"/>
        </w:rPr>
        <w:t>人员组成，确定5人的评审小组。</w:t>
      </w:r>
      <w:bookmarkStart w:id="13" w:name="_Toc28489529"/>
      <w:bookmarkStart w:id="14" w:name="_Toc28142597"/>
      <w:bookmarkStart w:id="15" w:name="_Toc31424230"/>
      <w:bookmarkStart w:id="16" w:name="_Toc26163628"/>
      <w:bookmarkStart w:id="17" w:name="_Toc318967830"/>
    </w:p>
    <w:p>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3"/>
      <w:bookmarkEnd w:id="14"/>
      <w:bookmarkEnd w:id="15"/>
      <w:bookmarkEnd w:id="16"/>
      <w:bookmarkEnd w:id="17"/>
      <w:r>
        <w:rPr>
          <w:rFonts w:hint="eastAsia" w:ascii="宋体" w:hAnsi="宋体" w:cs="宋体"/>
          <w:b/>
          <w:sz w:val="21"/>
          <w:szCs w:val="21"/>
          <w:highlight w:val="none"/>
        </w:rPr>
        <w:t>及程序</w:t>
      </w:r>
    </w:p>
    <w:p>
      <w:pPr>
        <w:pStyle w:val="56"/>
        <w:widowControl w:val="0"/>
        <w:numPr>
          <w:ilvl w:val="0"/>
          <w:numId w:val="16"/>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pPr>
        <w:rPr>
          <w:rFonts w:hint="eastAsia" w:ascii="宋体" w:hAnsi="宋体" w:eastAsia="宋体" w:cs="宋体"/>
          <w:szCs w:val="21"/>
        </w:rPr>
      </w:pPr>
      <w:r>
        <w:rPr>
          <w:rFonts w:hint="eastAsia" w:ascii="宋体" w:hAnsi="宋体" w:cs="宋体"/>
          <w:sz w:val="21"/>
          <w:szCs w:val="21"/>
          <w:highlight w:val="none"/>
        </w:rPr>
        <w:t>评审小组对各</w:t>
      </w:r>
      <w:r>
        <w:rPr>
          <w:rFonts w:hint="eastAsia" w:ascii="宋体" w:hAnsi="宋体" w:cs="宋体"/>
          <w:sz w:val="21"/>
          <w:szCs w:val="21"/>
          <w:highlight w:val="none"/>
          <w:lang w:val="en-US" w:eastAsia="zh-CN"/>
        </w:rPr>
        <w:t>投标</w:t>
      </w:r>
      <w:r>
        <w:rPr>
          <w:rFonts w:hint="eastAsia" w:ascii="宋体" w:hAnsi="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w:t>
      </w:r>
      <w:r>
        <w:rPr>
          <w:rFonts w:hint="eastAsia" w:ascii="宋体" w:hAnsi="宋体" w:cs="宋体"/>
          <w:b w:val="0"/>
          <w:bCs w:val="0"/>
          <w:sz w:val="21"/>
          <w:szCs w:val="21"/>
          <w:highlight w:val="none"/>
          <w:lang w:val="en-US" w:eastAsia="zh-CN"/>
        </w:rPr>
        <w:t>和有效性</w:t>
      </w:r>
      <w:r>
        <w:rPr>
          <w:rFonts w:hint="eastAsia" w:ascii="宋体" w:hAnsi="宋体" w:eastAsia="宋体" w:cs="宋体"/>
          <w:b w:val="0"/>
          <w:bCs w:val="0"/>
          <w:sz w:val="21"/>
          <w:szCs w:val="21"/>
          <w:highlight w:val="none"/>
        </w:rPr>
        <w:t>审查表》如下：</w:t>
      </w:r>
    </w:p>
    <w:p>
      <w:pPr>
        <w:rPr>
          <w:rFonts w:hint="eastAsia" w:ascii="宋体" w:hAnsi="宋体" w:cs="宋体"/>
          <w:color w:val="000000"/>
          <w:sz w:val="21"/>
          <w:szCs w:val="21"/>
        </w:rPr>
      </w:pPr>
    </w:p>
    <w:p>
      <w:pPr>
        <w:ind w:firstLine="1687" w:firstLineChars="800"/>
        <w:rPr>
          <w:rFonts w:ascii="宋体" w:hAnsi="宋体" w:cs="宋体"/>
          <w:b/>
          <w:bCs/>
          <w:sz w:val="21"/>
          <w:szCs w:val="21"/>
        </w:rPr>
      </w:pPr>
      <w:r>
        <w:rPr>
          <w:rFonts w:hint="eastAsia" w:ascii="宋体" w:hAnsi="宋体" w:cs="宋体"/>
          <w:b/>
          <w:bCs/>
          <w:sz w:val="21"/>
          <w:szCs w:val="21"/>
        </w:rPr>
        <w:t>投标人资格</w:t>
      </w:r>
      <w:r>
        <w:rPr>
          <w:rFonts w:hint="eastAsia" w:ascii="宋体" w:hAnsi="宋体" w:cs="宋体"/>
          <w:b/>
          <w:bCs/>
          <w:sz w:val="21"/>
          <w:szCs w:val="21"/>
          <w:lang w:val="en-US" w:eastAsia="zh-CN"/>
        </w:rPr>
        <w:t>和有效性</w:t>
      </w:r>
      <w:r>
        <w:rPr>
          <w:rFonts w:hint="eastAsia" w:ascii="宋体" w:hAnsi="宋体" w:cs="宋体"/>
          <w:b/>
          <w:bCs/>
          <w:sz w:val="21"/>
          <w:szCs w:val="21"/>
        </w:rPr>
        <w:t>审查表</w:t>
      </w:r>
    </w:p>
    <w:p>
      <w:pPr>
        <w:ind w:firstLine="1687" w:firstLineChars="800"/>
        <w:rPr>
          <w:rFonts w:ascii="宋体" w:hAnsi="宋体" w:cs="宋体"/>
          <w:b/>
          <w:bCs/>
          <w:sz w:val="21"/>
          <w:szCs w:val="21"/>
        </w:rPr>
      </w:pPr>
    </w:p>
    <w:p>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cs="宋体"/>
          <w:b w:val="0"/>
          <w:bCs w:val="0"/>
          <w:sz w:val="21"/>
          <w:szCs w:val="21"/>
          <w:lang w:val="en-US" w:eastAsia="zh-CN"/>
        </w:rPr>
        <w:t>热水制备站雨污分流改造工程</w:t>
      </w:r>
    </w:p>
    <w:tbl>
      <w:tblPr>
        <w:tblStyle w:val="26"/>
        <w:tblW w:w="79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1080"/>
        <w:gridCol w:w="520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4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r>
              <w:rPr>
                <w:rStyle w:val="57"/>
                <w:lang w:val="en-US" w:eastAsia="zh-CN" w:bidi="ar"/>
              </w:rPr>
              <w:t>分支机构响应的，还须提供加盖总公司公章的总公司的营业执照（执业许可证）扫描件及总公司出具给分支机构的授权书。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80"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color w:val="000000"/>
                <w:kern w:val="0"/>
                <w:sz w:val="20"/>
                <w:szCs w:val="20"/>
                <w:u w:val="none"/>
                <w:lang w:bidi="ar"/>
              </w:rPr>
              <w:t>投标人未被列入“信用中国”网站(www.creditchina.gov.cn)记录失信被执行人名单,须提供“信用中国”网站(www.creditchina.gov.cn)的信用记录查询结果截图或信用信息报告并打印页面加盖公章；</w:t>
            </w:r>
            <w:r>
              <w:rPr>
                <w:rFonts w:hint="eastAsia" w:ascii="宋体" w:hAnsi="宋体" w:eastAsia="宋体" w:cs="宋体"/>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80"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80"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color w:val="000000"/>
                <w:kern w:val="0"/>
                <w:sz w:val="20"/>
                <w:szCs w:val="20"/>
                <w:u w:val="none"/>
                <w:lang w:bidi="ar"/>
              </w:rPr>
              <w:t>投标人具有</w:t>
            </w:r>
            <w:r>
              <w:rPr>
                <w:rFonts w:hint="eastAsia" w:ascii="宋体" w:hAnsi="宋体" w:cs="宋体"/>
                <w:color w:val="000000"/>
                <w:kern w:val="0"/>
                <w:sz w:val="20"/>
                <w:szCs w:val="20"/>
                <w:u w:val="none"/>
                <w:lang w:val="en-US" w:eastAsia="zh-CN" w:bidi="ar"/>
              </w:rPr>
              <w:t>有效期内</w:t>
            </w:r>
            <w:r>
              <w:rPr>
                <w:rFonts w:hint="eastAsia" w:ascii="宋体" w:hAnsi="宋体" w:cs="宋体"/>
                <w:color w:val="000000"/>
                <w:kern w:val="0"/>
                <w:sz w:val="20"/>
                <w:szCs w:val="20"/>
                <w:u w:val="none"/>
                <w:lang w:bidi="ar"/>
              </w:rPr>
              <w:t>机电工程施工总承包叁级及以上资质；或具有</w:t>
            </w:r>
            <w:r>
              <w:rPr>
                <w:rFonts w:hint="eastAsia" w:ascii="宋体" w:hAnsi="宋体" w:cs="宋体"/>
                <w:color w:val="000000"/>
                <w:kern w:val="0"/>
                <w:sz w:val="20"/>
                <w:szCs w:val="20"/>
                <w:u w:val="none"/>
                <w:lang w:val="en-US" w:eastAsia="zh-CN" w:bidi="ar"/>
              </w:rPr>
              <w:t>有效期内</w:t>
            </w:r>
            <w:r>
              <w:rPr>
                <w:rFonts w:hint="eastAsia" w:ascii="宋体" w:hAnsi="宋体" w:cs="宋体"/>
                <w:color w:val="000000"/>
                <w:kern w:val="0"/>
                <w:sz w:val="20"/>
                <w:szCs w:val="20"/>
                <w:u w:val="none"/>
                <w:lang w:bidi="ar"/>
              </w:rPr>
              <w:t>建筑机电安装工程专业承包叁级及以上资质；或具有</w:t>
            </w:r>
            <w:r>
              <w:rPr>
                <w:rFonts w:hint="eastAsia" w:ascii="宋体" w:hAnsi="宋体" w:cs="宋体"/>
                <w:color w:val="000000"/>
                <w:kern w:val="0"/>
                <w:sz w:val="20"/>
                <w:szCs w:val="20"/>
                <w:u w:val="none"/>
                <w:lang w:val="en-US" w:eastAsia="zh-CN" w:bidi="ar"/>
              </w:rPr>
              <w:t>有效期内</w:t>
            </w:r>
            <w:r>
              <w:rPr>
                <w:rFonts w:hint="eastAsia" w:ascii="宋体" w:hAnsi="宋体" w:cs="宋体"/>
                <w:color w:val="000000"/>
                <w:kern w:val="0"/>
                <w:sz w:val="20"/>
                <w:szCs w:val="20"/>
                <w:u w:val="none"/>
                <w:lang w:bidi="ar"/>
              </w:rPr>
              <w:t>市政公用工程施工总承包叁级及以上资质；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p>
        </w:tc>
        <w:tc>
          <w:tcPr>
            <w:tcW w:w="1080"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1080"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投标人近3年内(2022年1月1日至今)</w:t>
            </w:r>
            <w:r>
              <w:rPr>
                <w:rFonts w:hint="eastAsia" w:ascii="宋体" w:hAnsi="宋体" w:cs="宋体"/>
                <w:i w:val="0"/>
                <w:iCs w:val="0"/>
                <w:color w:val="000000"/>
                <w:kern w:val="0"/>
                <w:sz w:val="20"/>
                <w:szCs w:val="20"/>
                <w:u w:val="none"/>
                <w:lang w:val="en-US" w:eastAsia="zh-CN" w:bidi="ar"/>
              </w:rPr>
              <w:t>具有</w:t>
            </w:r>
            <w:r>
              <w:rPr>
                <w:rFonts w:hint="eastAsia" w:ascii="宋体" w:hAnsi="宋体" w:eastAsia="宋体" w:cs="宋体"/>
                <w:i w:val="0"/>
                <w:iCs w:val="0"/>
                <w:color w:val="000000"/>
                <w:kern w:val="0"/>
                <w:sz w:val="20"/>
                <w:szCs w:val="20"/>
                <w:u w:val="none"/>
                <w:lang w:val="en-US" w:eastAsia="zh-CN" w:bidi="ar"/>
              </w:rPr>
              <w:t>类似工程项目业绩（需提供合同等相关证明材料复印件）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p>
        </w:tc>
        <w:tc>
          <w:tcPr>
            <w:tcW w:w="108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专职安全员具有有效的安全生产考核合格证（C类）或建筑施工企业专职安全生产管理人员有安全生产考核合格证书（C3）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有效性</w:t>
            </w:r>
            <w:r>
              <w:rPr>
                <w:rFonts w:hint="eastAsia" w:ascii="宋体" w:hAnsi="宋体" w:eastAsia="宋体" w:cs="宋体"/>
                <w:i w:val="0"/>
                <w:iCs w:val="0"/>
                <w:color w:val="000000"/>
                <w:kern w:val="0"/>
                <w:sz w:val="20"/>
                <w:szCs w:val="20"/>
                <w:u w:val="none"/>
                <w:lang w:val="en-US" w:eastAsia="zh-CN" w:bidi="ar"/>
              </w:rPr>
              <w:t>审查</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both"/>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pPr>
        <w:numPr>
          <w:ilvl w:val="0"/>
          <w:numId w:val="17"/>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pPr>
        <w:numPr>
          <w:ilvl w:val="0"/>
          <w:numId w:val="17"/>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pPr>
        <w:numPr>
          <w:ilvl w:val="0"/>
          <w:numId w:val="17"/>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pPr>
        <w:numPr>
          <w:ilvl w:val="0"/>
          <w:numId w:val="17"/>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pPr>
        <w:spacing w:line="400" w:lineRule="exact"/>
        <w:rPr>
          <w:rFonts w:hint="eastAsia" w:ascii="宋体" w:hAnsi="宋体" w:cs="宋体"/>
          <w:szCs w:val="21"/>
        </w:rPr>
      </w:pPr>
    </w:p>
    <w:p>
      <w:pPr>
        <w:spacing w:before="120" w:beforeLines="50" w:after="120" w:afterLines="50" w:line="360" w:lineRule="auto"/>
        <w:ind w:firstLine="420" w:firstLineChars="200"/>
        <w:rPr>
          <w:rFonts w:hint="eastAsia" w:ascii="宋体" w:hAnsi="宋体" w:cs="宋体"/>
          <w:sz w:val="21"/>
          <w:szCs w:val="21"/>
        </w:rPr>
      </w:pPr>
    </w:p>
    <w:p>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pPr>
        <w:spacing w:before="120" w:beforeLines="50" w:after="120" w:afterLines="50" w:line="360" w:lineRule="auto"/>
        <w:ind w:firstLine="420" w:firstLineChars="200"/>
        <w:rPr>
          <w:rFonts w:hint="eastAsia" w:ascii="宋体" w:hAnsi="宋体" w:cs="宋体"/>
          <w:sz w:val="21"/>
          <w:szCs w:val="21"/>
        </w:rPr>
        <w:sectPr>
          <w:pgSz w:w="11906" w:h="16838"/>
          <w:pgMar w:top="1418" w:right="1028" w:bottom="1418" w:left="1418" w:header="851" w:footer="992" w:gutter="0"/>
          <w:cols w:space="720" w:num="1"/>
          <w:docGrid w:linePitch="312" w:charSpace="0"/>
        </w:sectPr>
      </w:pPr>
      <w:r>
        <w:rPr>
          <w:rFonts w:hint="eastAsia" w:ascii="宋体" w:hAnsi="宋体"/>
          <w:color w:val="auto"/>
          <w:sz w:val="21"/>
          <w:szCs w:val="21"/>
        </w:rPr>
        <w:t>本项目采用经评审的最低投标价加信用评分评标，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pPr>
        <w:pStyle w:val="2"/>
        <w:rPr>
          <w:rFonts w:hint="eastAsia" w:ascii="宋体" w:hAnsi="宋体" w:cs="宋体"/>
          <w:b/>
          <w:bCs/>
          <w:sz w:val="21"/>
          <w:szCs w:val="21"/>
          <w:lang w:val="en-US" w:eastAsia="zh-CN"/>
        </w:rPr>
      </w:pPr>
      <w:r>
        <w:rPr>
          <w:rFonts w:hint="eastAsia" w:ascii="宋体" w:hAnsi="宋体" w:cs="宋体"/>
          <w:b/>
          <w:bCs/>
          <w:sz w:val="21"/>
          <w:szCs w:val="21"/>
          <w:lang w:val="en-US" w:eastAsia="zh-CN"/>
        </w:rPr>
        <w:t>附件3</w:t>
      </w:r>
    </w:p>
    <w:p>
      <w:pPr>
        <w:pStyle w:val="2"/>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雨污分流改造图</w:t>
      </w:r>
    </w:p>
    <w:p>
      <w:pPr>
        <w:pStyle w:val="2"/>
        <w:jc w:val="center"/>
        <w:rPr>
          <w:rFonts w:hint="default" w:ascii="宋体" w:hAnsi="宋体" w:cs="宋体"/>
          <w:b/>
          <w:bCs/>
          <w:sz w:val="32"/>
          <w:szCs w:val="32"/>
          <w:lang w:val="en-US" w:eastAsia="zh-CN"/>
        </w:rPr>
      </w:pPr>
      <w:bookmarkStart w:id="18" w:name="_GoBack"/>
      <w:bookmarkEnd w:id="18"/>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55390E"/>
    <w:multiLevelType w:val="singleLevel"/>
    <w:tmpl w:val="A255390E"/>
    <w:lvl w:ilvl="0" w:tentative="0">
      <w:start w:val="1"/>
      <w:numFmt w:val="decimal"/>
      <w:suff w:val="nothing"/>
      <w:lvlText w:val="%1、"/>
      <w:lvlJc w:val="left"/>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5891E0"/>
    <w:multiLevelType w:val="singleLevel"/>
    <w:tmpl w:val="045891E0"/>
    <w:lvl w:ilvl="0" w:tentative="0">
      <w:start w:val="1"/>
      <w:numFmt w:val="decimal"/>
      <w:suff w:val="nothing"/>
      <w:lvlText w:val="（%1）"/>
      <w:lvlJc w:val="left"/>
    </w:lvl>
  </w:abstractNum>
  <w:abstractNum w:abstractNumId="3">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FAB6B27"/>
    <w:multiLevelType w:val="singleLevel"/>
    <w:tmpl w:val="4FAB6B27"/>
    <w:lvl w:ilvl="0" w:tentative="0">
      <w:start w:val="1"/>
      <w:numFmt w:val="decimal"/>
      <w:suff w:val="nothing"/>
      <w:lvlText w:val="%1、"/>
      <w:lvlJc w:val="left"/>
    </w:lvl>
  </w:abstractNum>
  <w:abstractNum w:abstractNumId="13">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72DE5B4"/>
    <w:multiLevelType w:val="singleLevel"/>
    <w:tmpl w:val="572DE5B4"/>
    <w:lvl w:ilvl="0" w:tentative="0">
      <w:start w:val="1"/>
      <w:numFmt w:val="decimal"/>
      <w:suff w:val="nothing"/>
      <w:lvlText w:val="%1."/>
      <w:lvlJc w:val="left"/>
    </w:lvl>
  </w:abstractNum>
  <w:abstractNum w:abstractNumId="15">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7"/>
  </w:num>
  <w:num w:numId="3">
    <w:abstractNumId w:val="15"/>
  </w:num>
  <w:num w:numId="4">
    <w:abstractNumId w:val="12"/>
  </w:num>
  <w:num w:numId="5">
    <w:abstractNumId w:val="4"/>
  </w:num>
  <w:num w:numId="6">
    <w:abstractNumId w:val="0"/>
  </w:num>
  <w:num w:numId="7">
    <w:abstractNumId w:val="16"/>
  </w:num>
  <w:num w:numId="8">
    <w:abstractNumId w:val="11"/>
  </w:num>
  <w:num w:numId="9">
    <w:abstractNumId w:val="5"/>
  </w:num>
  <w:num w:numId="10">
    <w:abstractNumId w:val="2"/>
  </w:num>
  <w:num w:numId="11">
    <w:abstractNumId w:val="13"/>
  </w:num>
  <w:num w:numId="12">
    <w:abstractNumId w:val="3"/>
  </w:num>
  <w:num w:numId="13">
    <w:abstractNumId w:val="10"/>
  </w:num>
  <w:num w:numId="14">
    <w:abstractNumId w:val="9"/>
  </w:num>
  <w:num w:numId="15">
    <w:abstractNumId w:val="8"/>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F33E19"/>
    <w:rsid w:val="08A607DC"/>
    <w:rsid w:val="0BB772E4"/>
    <w:rsid w:val="0C5359EF"/>
    <w:rsid w:val="0CA3463F"/>
    <w:rsid w:val="0CB122A8"/>
    <w:rsid w:val="0D5444A1"/>
    <w:rsid w:val="0E9303AE"/>
    <w:rsid w:val="0FF11DF9"/>
    <w:rsid w:val="0FFF5BD0"/>
    <w:rsid w:val="101A2CF7"/>
    <w:rsid w:val="109255ED"/>
    <w:rsid w:val="115832F0"/>
    <w:rsid w:val="12342DAB"/>
    <w:rsid w:val="126025B5"/>
    <w:rsid w:val="12AD7924"/>
    <w:rsid w:val="13033C28"/>
    <w:rsid w:val="135909C3"/>
    <w:rsid w:val="13B94E90"/>
    <w:rsid w:val="13BF1349"/>
    <w:rsid w:val="14DD2439"/>
    <w:rsid w:val="16FA62BC"/>
    <w:rsid w:val="19367B17"/>
    <w:rsid w:val="1B85573B"/>
    <w:rsid w:val="1F8751EC"/>
    <w:rsid w:val="20644FC6"/>
    <w:rsid w:val="20674731"/>
    <w:rsid w:val="214926E0"/>
    <w:rsid w:val="21841F76"/>
    <w:rsid w:val="222C3F22"/>
    <w:rsid w:val="22AA14D2"/>
    <w:rsid w:val="22BC712C"/>
    <w:rsid w:val="22CB6B74"/>
    <w:rsid w:val="242A1E4E"/>
    <w:rsid w:val="24874F28"/>
    <w:rsid w:val="24D523A7"/>
    <w:rsid w:val="24ED39A1"/>
    <w:rsid w:val="26176E88"/>
    <w:rsid w:val="29C013EA"/>
    <w:rsid w:val="2D670935"/>
    <w:rsid w:val="2FDD7C63"/>
    <w:rsid w:val="30646834"/>
    <w:rsid w:val="31C65E01"/>
    <w:rsid w:val="35097DCD"/>
    <w:rsid w:val="36730F85"/>
    <w:rsid w:val="37DA1FFD"/>
    <w:rsid w:val="3A285F72"/>
    <w:rsid w:val="3C1E0046"/>
    <w:rsid w:val="3C823756"/>
    <w:rsid w:val="3C9B5EFD"/>
    <w:rsid w:val="3E036E1E"/>
    <w:rsid w:val="3E13186C"/>
    <w:rsid w:val="3F6D3A90"/>
    <w:rsid w:val="42310B31"/>
    <w:rsid w:val="487F52F6"/>
    <w:rsid w:val="4AA93177"/>
    <w:rsid w:val="4BC8116F"/>
    <w:rsid w:val="4E354385"/>
    <w:rsid w:val="4F0E00F7"/>
    <w:rsid w:val="50055DC9"/>
    <w:rsid w:val="50BD7AD0"/>
    <w:rsid w:val="524B628E"/>
    <w:rsid w:val="55463EB7"/>
    <w:rsid w:val="5547629B"/>
    <w:rsid w:val="55857A4F"/>
    <w:rsid w:val="5598176B"/>
    <w:rsid w:val="575B2039"/>
    <w:rsid w:val="57F14ED1"/>
    <w:rsid w:val="5890674E"/>
    <w:rsid w:val="5D2C2D96"/>
    <w:rsid w:val="5D607805"/>
    <w:rsid w:val="5E212947"/>
    <w:rsid w:val="5FA63A90"/>
    <w:rsid w:val="638C0B98"/>
    <w:rsid w:val="656F3231"/>
    <w:rsid w:val="65C636CA"/>
    <w:rsid w:val="682D569C"/>
    <w:rsid w:val="68490412"/>
    <w:rsid w:val="691A5ECD"/>
    <w:rsid w:val="691B6ACA"/>
    <w:rsid w:val="691F79C3"/>
    <w:rsid w:val="697F115B"/>
    <w:rsid w:val="6AB5708C"/>
    <w:rsid w:val="6D0B5CE5"/>
    <w:rsid w:val="6DB608EE"/>
    <w:rsid w:val="707956E9"/>
    <w:rsid w:val="74762C5D"/>
    <w:rsid w:val="782F28F7"/>
    <w:rsid w:val="796C3466"/>
    <w:rsid w:val="797C0647"/>
    <w:rsid w:val="7B0B1115"/>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annotation subject"/>
    <w:basedOn w:val="7"/>
    <w:next w:val="7"/>
    <w:link w:val="37"/>
    <w:semiHidden/>
    <w:unhideWhenUsed/>
    <w:qFormat/>
    <w:uiPriority w:val="99"/>
    <w:rPr>
      <w:b/>
      <w:bCs/>
    </w:rPr>
  </w:style>
  <w:style w:type="paragraph" w:styleId="7">
    <w:name w:val="annotation text"/>
    <w:basedOn w:val="1"/>
    <w:link w:val="36"/>
    <w:semiHidden/>
    <w:unhideWhenUsed/>
    <w:qFormat/>
    <w:uiPriority w:val="99"/>
    <w:pPr>
      <w:jc w:val="left"/>
    </w:pPr>
  </w:style>
  <w:style w:type="paragraph" w:styleId="8">
    <w:name w:val="Closing"/>
    <w:basedOn w:val="1"/>
    <w:qFormat/>
    <w:uiPriority w:val="0"/>
    <w:pPr>
      <w:ind w:left="100" w:leftChars="2100"/>
    </w:pPr>
    <w:rPr>
      <w:rFonts w:ascii="宋体"/>
      <w:sz w:val="24"/>
    </w:rPr>
  </w:style>
  <w:style w:type="paragraph" w:styleId="9">
    <w:name w:val="Body Text"/>
    <w:basedOn w:val="1"/>
    <w:link w:val="41"/>
    <w:semiHidden/>
    <w:unhideWhenUsed/>
    <w:qFormat/>
    <w:uiPriority w:val="99"/>
    <w:pPr>
      <w:spacing w:after="120"/>
    </w:pPr>
  </w:style>
  <w:style w:type="paragraph" w:styleId="10">
    <w:name w:val="Body Text Indent"/>
    <w:basedOn w:val="1"/>
    <w:link w:val="39"/>
    <w:qFormat/>
    <w:uiPriority w:val="0"/>
    <w:pPr>
      <w:spacing w:after="120"/>
      <w:ind w:left="420" w:leftChars="200"/>
    </w:pPr>
    <w:rPr>
      <w:rFonts w:ascii="Calibri" w:hAnsi="Calibri"/>
      <w:szCs w:val="22"/>
    </w:rPr>
  </w:style>
  <w:style w:type="paragraph" w:styleId="11">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50"/>
    <w:semiHidden/>
    <w:unhideWhenUsed/>
    <w:qFormat/>
    <w:uiPriority w:val="99"/>
    <w:pPr>
      <w:snapToGrid w:val="0"/>
      <w:jc w:val="left"/>
    </w:pPr>
  </w:style>
  <w:style w:type="paragraph" w:styleId="13">
    <w:name w:val="Balloon Text"/>
    <w:basedOn w:val="1"/>
    <w:link w:val="45"/>
    <w:qFormat/>
    <w:uiPriority w:val="0"/>
    <w:rPr>
      <w:sz w:val="18"/>
      <w:szCs w:val="18"/>
    </w:rPr>
  </w:style>
  <w:style w:type="paragraph" w:styleId="14">
    <w:name w:val="footer"/>
    <w:basedOn w:val="1"/>
    <w:link w:val="31"/>
    <w:qFormat/>
    <w:uiPriority w:val="0"/>
    <w:pPr>
      <w:tabs>
        <w:tab w:val="center" w:pos="4153"/>
        <w:tab w:val="right" w:pos="8306"/>
      </w:tabs>
      <w:snapToGrid w:val="0"/>
      <w:jc w:val="left"/>
    </w:pPr>
    <w:rPr>
      <w:sz w:val="18"/>
      <w:szCs w:val="18"/>
    </w:rPr>
  </w:style>
  <w:style w:type="paragraph" w:styleId="15">
    <w:name w:val="Body Text First Indent 2"/>
    <w:basedOn w:val="10"/>
    <w:qFormat/>
    <w:uiPriority w:val="0"/>
    <w:pPr>
      <w:spacing w:line="360" w:lineRule="auto"/>
      <w:ind w:firstLine="420"/>
    </w:pPr>
    <w:rPr>
      <w:rFonts w:eastAsia="等线"/>
      <w:color w:val="000000"/>
      <w:szCs w:val="24"/>
    </w:rPr>
  </w:style>
  <w:style w:type="paragraph" w:styleId="16">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next w:val="1"/>
    <w:qFormat/>
    <w:uiPriority w:val="0"/>
    <w:pPr>
      <w:snapToGrid w:val="0"/>
    </w:pPr>
  </w:style>
  <w:style w:type="paragraph" w:styleId="18">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21">
    <w:name w:val="Strong"/>
    <w:qFormat/>
    <w:uiPriority w:val="0"/>
    <w:rPr>
      <w:b/>
      <w:bCs/>
    </w:rPr>
  </w:style>
  <w:style w:type="character" w:styleId="22">
    <w:name w:val="endnote reference"/>
    <w:basedOn w:val="20"/>
    <w:semiHidden/>
    <w:unhideWhenUsed/>
    <w:qFormat/>
    <w:uiPriority w:val="99"/>
    <w:rPr>
      <w:vertAlign w:val="superscript"/>
    </w:rPr>
  </w:style>
  <w:style w:type="character" w:styleId="23">
    <w:name w:val="Emphasis"/>
    <w:qFormat/>
    <w:uiPriority w:val="20"/>
    <w:rPr>
      <w:i/>
      <w:iCs/>
    </w:rPr>
  </w:style>
  <w:style w:type="character" w:styleId="24">
    <w:name w:val="Hyperlink"/>
    <w:basedOn w:val="20"/>
    <w:unhideWhenUsed/>
    <w:qFormat/>
    <w:uiPriority w:val="0"/>
    <w:rPr>
      <w:color w:val="0000FF"/>
      <w:u w:val="single"/>
    </w:rPr>
  </w:style>
  <w:style w:type="character" w:styleId="25">
    <w:name w:val="annotation reference"/>
    <w:basedOn w:val="20"/>
    <w:semiHidden/>
    <w:unhideWhenUsed/>
    <w:qFormat/>
    <w:uiPriority w:val="99"/>
    <w:rPr>
      <w:sz w:val="21"/>
      <w:szCs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4"/>
    <w:qFormat/>
    <w:uiPriority w:val="0"/>
    <w:rPr>
      <w:kern w:val="2"/>
      <w:sz w:val="18"/>
      <w:szCs w:val="18"/>
    </w:rPr>
  </w:style>
  <w:style w:type="character" w:customStyle="1" w:styleId="32">
    <w:name w:val="apple-style-span"/>
    <w:basedOn w:val="20"/>
    <w:qFormat/>
    <w:uiPriority w:val="0"/>
  </w:style>
  <w:style w:type="character" w:customStyle="1" w:styleId="33">
    <w:name w:val="页眉 字符"/>
    <w:link w:val="16"/>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0"/>
    <w:link w:val="11"/>
    <w:qFormat/>
    <w:uiPriority w:val="0"/>
    <w:rPr>
      <w:rFonts w:ascii="宋体" w:hAnsi="Courier New" w:eastAsia="微软雅黑" w:cs="Courier New"/>
      <w:sz w:val="22"/>
      <w:szCs w:val="21"/>
    </w:rPr>
  </w:style>
  <w:style w:type="character" w:customStyle="1" w:styleId="36">
    <w:name w:val="批注文字 字符"/>
    <w:basedOn w:val="20"/>
    <w:link w:val="7"/>
    <w:semiHidden/>
    <w:qFormat/>
    <w:uiPriority w:val="99"/>
    <w:rPr>
      <w:kern w:val="2"/>
      <w:sz w:val="21"/>
      <w:szCs w:val="24"/>
    </w:rPr>
  </w:style>
  <w:style w:type="character" w:customStyle="1" w:styleId="37">
    <w:name w:val="批注主题 字符"/>
    <w:basedOn w:val="36"/>
    <w:link w:val="6"/>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0"/>
    <w:link w:val="10"/>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0"/>
    <w:link w:val="9"/>
    <w:semiHidden/>
    <w:qFormat/>
    <w:uiPriority w:val="99"/>
    <w:rPr>
      <w:kern w:val="2"/>
      <w:sz w:val="21"/>
      <w:szCs w:val="24"/>
    </w:rPr>
  </w:style>
  <w:style w:type="character" w:customStyle="1" w:styleId="42">
    <w:name w:val="标题 1 字符"/>
    <w:basedOn w:val="20"/>
    <w:qFormat/>
    <w:uiPriority w:val="0"/>
    <w:rPr>
      <w:b/>
      <w:bCs/>
      <w:kern w:val="44"/>
      <w:sz w:val="44"/>
      <w:szCs w:val="44"/>
    </w:rPr>
  </w:style>
  <w:style w:type="character" w:customStyle="1" w:styleId="43">
    <w:name w:val="标题 2 字符"/>
    <w:basedOn w:val="20"/>
    <w:link w:val="4"/>
    <w:qFormat/>
    <w:uiPriority w:val="0"/>
    <w:rPr>
      <w:rFonts w:ascii="Arial" w:hAnsi="Arial" w:eastAsia="黑体"/>
      <w:b/>
      <w:bCs/>
      <w:kern w:val="2"/>
      <w:sz w:val="32"/>
      <w:szCs w:val="32"/>
    </w:rPr>
  </w:style>
  <w:style w:type="character" w:customStyle="1" w:styleId="44">
    <w:name w:val="标题 3 字符"/>
    <w:basedOn w:val="20"/>
    <w:link w:val="5"/>
    <w:qFormat/>
    <w:uiPriority w:val="0"/>
    <w:rPr>
      <w:b/>
      <w:bCs/>
      <w:kern w:val="2"/>
      <w:sz w:val="32"/>
      <w:szCs w:val="32"/>
    </w:rPr>
  </w:style>
  <w:style w:type="character" w:customStyle="1" w:styleId="45">
    <w:name w:val="批注框文本 字符"/>
    <w:basedOn w:val="20"/>
    <w:link w:val="13"/>
    <w:qFormat/>
    <w:uiPriority w:val="0"/>
    <w:rPr>
      <w:kern w:val="2"/>
      <w:sz w:val="18"/>
      <w:szCs w:val="18"/>
    </w:rPr>
  </w:style>
  <w:style w:type="character" w:customStyle="1" w:styleId="46">
    <w:name w:val="HTML 预设格式 字符"/>
    <w:basedOn w:val="20"/>
    <w:link w:val="18"/>
    <w:qFormat/>
    <w:uiPriority w:val="0"/>
    <w:rPr>
      <w:rFonts w:ascii="宋体" w:hAnsi="宋体" w:cs="宋体"/>
      <w:sz w:val="24"/>
      <w:szCs w:val="24"/>
    </w:rPr>
  </w:style>
  <w:style w:type="character" w:customStyle="1" w:styleId="47">
    <w:name w:val="标题 1 字符1"/>
    <w:link w:val="3"/>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0"/>
    <w:link w:val="12"/>
    <w:semiHidden/>
    <w:qFormat/>
    <w:uiPriority w:val="99"/>
    <w:rPr>
      <w:kern w:val="2"/>
      <w:sz w:val="21"/>
      <w:szCs w:val="24"/>
    </w:rPr>
  </w:style>
  <w:style w:type="character" w:customStyle="1" w:styleId="51">
    <w:name w:val="font51"/>
    <w:basedOn w:val="20"/>
    <w:qFormat/>
    <w:uiPriority w:val="0"/>
    <w:rPr>
      <w:rFonts w:ascii="微软雅黑" w:hAnsi="微软雅黑" w:eastAsia="微软雅黑" w:cs="微软雅黑"/>
      <w:color w:val="000000"/>
      <w:sz w:val="24"/>
      <w:szCs w:val="24"/>
      <w:u w:val="none"/>
    </w:rPr>
  </w:style>
  <w:style w:type="character" w:customStyle="1" w:styleId="52">
    <w:name w:val="font21"/>
    <w:basedOn w:val="20"/>
    <w:qFormat/>
    <w:uiPriority w:val="0"/>
    <w:rPr>
      <w:rFonts w:hint="default" w:ascii="Calibri" w:hAnsi="Calibri" w:cs="Calibri"/>
      <w:color w:val="000000"/>
      <w:sz w:val="21"/>
      <w:szCs w:val="21"/>
      <w:u w:val="none"/>
    </w:rPr>
  </w:style>
  <w:style w:type="character" w:customStyle="1" w:styleId="53">
    <w:name w:val="font61"/>
    <w:basedOn w:val="20"/>
    <w:qFormat/>
    <w:uiPriority w:val="0"/>
    <w:rPr>
      <w:rFonts w:hint="default" w:ascii="Calibri" w:hAnsi="Calibri" w:cs="Calibri"/>
      <w:color w:val="000000"/>
      <w:sz w:val="21"/>
      <w:szCs w:val="21"/>
      <w:u w:val="none"/>
    </w:rPr>
  </w:style>
  <w:style w:type="character" w:customStyle="1" w:styleId="54">
    <w:name w:val="font01"/>
    <w:basedOn w:val="20"/>
    <w:qFormat/>
    <w:uiPriority w:val="0"/>
    <w:rPr>
      <w:rFonts w:hint="eastAsia" w:ascii="宋体" w:hAnsi="宋体" w:eastAsia="宋体" w:cs="宋体"/>
      <w:color w:val="000000"/>
      <w:sz w:val="24"/>
      <w:szCs w:val="24"/>
      <w:u w:val="none"/>
    </w:rPr>
  </w:style>
  <w:style w:type="paragraph" w:customStyle="1" w:styleId="55">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 w:type="character" w:customStyle="1" w:styleId="57">
    <w:name w:val="font11"/>
    <w:basedOn w:val="2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28</Pages>
  <Words>1854</Words>
  <Characters>2076</Characters>
  <Lines>89</Lines>
  <Paragraphs>25</Paragraphs>
  <TotalTime>8</TotalTime>
  <ScaleCrop>false</ScaleCrop>
  <LinksUpToDate>false</LinksUpToDate>
  <CharactersWithSpaces>2077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2025-07-01T01:44:00Z</cp:lastPrinted>
  <dcterms:modified xsi:type="dcterms:W3CDTF">2025-10-31T01:13:08Z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