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lang w:eastAsia="zh-CN"/>
        </w:rPr>
      </w:pPr>
      <w:r>
        <w:rPr>
          <w:rFonts w:hint="eastAsia"/>
          <w:b/>
          <w:sz w:val="28"/>
          <w:lang w:eastAsia="zh-CN"/>
        </w:rPr>
        <w:t>广州城投综合能源投资经营管理有限公司</w:t>
      </w:r>
    </w:p>
    <w:p>
      <w:pPr>
        <w:jc w:val="center"/>
        <w:rPr>
          <w:b/>
          <w:sz w:val="28"/>
        </w:rPr>
      </w:pPr>
      <w:r>
        <w:rPr>
          <w:rFonts w:hint="eastAsia"/>
          <w:b/>
          <w:sz w:val="28"/>
          <w:lang w:eastAsia="zh-CN"/>
        </w:rPr>
        <w:t>广州大学城杂用水厂水处理药剂采购</w:t>
      </w:r>
      <w:r>
        <w:rPr>
          <w:rFonts w:hint="eastAsia"/>
          <w:b/>
          <w:sz w:val="28"/>
        </w:rPr>
        <w:t>竞选文件</w:t>
      </w:r>
    </w:p>
    <w:p>
      <w:pPr>
        <w:spacing w:line="360" w:lineRule="auto"/>
        <w:ind w:firstLine="482" w:firstLineChars="200"/>
        <w:jc w:val="left"/>
        <w:rPr>
          <w:rFonts w:ascii="宋体" w:hAnsi="宋体"/>
          <w:b/>
          <w:sz w:val="24"/>
        </w:rPr>
      </w:pPr>
    </w:p>
    <w:p>
      <w:pPr>
        <w:pStyle w:val="21"/>
        <w:numPr>
          <w:ilvl w:val="0"/>
          <w:numId w:val="1"/>
        </w:numPr>
        <w:spacing w:line="360" w:lineRule="auto"/>
        <w:ind w:left="0" w:firstLine="480"/>
        <w:rPr>
          <w:rFonts w:ascii="宋体" w:hAnsi="宋体"/>
          <w:sz w:val="24"/>
        </w:rPr>
      </w:pPr>
      <w:r>
        <w:rPr>
          <w:rFonts w:hint="eastAsia" w:ascii="宋体" w:hAnsi="宋体"/>
          <w:sz w:val="24"/>
        </w:rPr>
        <w:t>项目名称和采购内容</w:t>
      </w:r>
    </w:p>
    <w:p>
      <w:pPr>
        <w:pStyle w:val="21"/>
        <w:tabs>
          <w:tab w:val="left" w:pos="420"/>
        </w:tabs>
        <w:spacing w:line="360" w:lineRule="auto"/>
        <w:ind w:firstLine="480"/>
        <w:rPr>
          <w:rFonts w:hint="eastAsia" w:ascii="宋体" w:hAnsi="宋体" w:eastAsiaTheme="minorEastAsia"/>
          <w:sz w:val="24"/>
          <w:lang w:eastAsia="zh-CN"/>
        </w:rPr>
      </w:pPr>
      <w:r>
        <w:rPr>
          <w:rFonts w:hint="eastAsia" w:ascii="宋体" w:hAnsi="宋体"/>
          <w:sz w:val="24"/>
        </w:rPr>
        <w:t>（一）项目名称：</w:t>
      </w:r>
      <w:r>
        <w:rPr>
          <w:rFonts w:hint="eastAsia" w:ascii="宋体" w:hAnsi="宋体"/>
          <w:sz w:val="24"/>
          <w:lang w:eastAsia="zh-CN"/>
        </w:rPr>
        <w:t>广州大学城杂用水厂水处理药剂采购</w:t>
      </w:r>
    </w:p>
    <w:p>
      <w:pPr>
        <w:pStyle w:val="21"/>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eastAsia="宋体" w:cs="宋体"/>
          <w:color w:val="auto"/>
          <w:sz w:val="24"/>
          <w:szCs w:val="24"/>
          <w:highlight w:val="none"/>
          <w:lang w:val="en-US" w:eastAsia="zh-CN"/>
        </w:rPr>
        <w:t>28</w:t>
      </w:r>
      <w:r>
        <w:rPr>
          <w:rFonts w:hint="eastAsia" w:ascii="宋体" w:hAnsi="宋体" w:eastAsia="宋体" w:cs="宋体"/>
          <w:sz w:val="24"/>
          <w:szCs w:val="24"/>
          <w:highlight w:val="none"/>
          <w:lang w:val="en-US" w:eastAsia="zh-CN"/>
        </w:rPr>
        <w:t>万元</w:t>
      </w:r>
      <w:r>
        <w:rPr>
          <w:rFonts w:hint="eastAsia" w:ascii="宋体" w:hAnsi="宋体"/>
          <w:color w:val="auto"/>
          <w:sz w:val="24"/>
          <w:highlight w:val="none"/>
        </w:rPr>
        <w:t>（投标报价超过采购限价为无效投标）。</w:t>
      </w:r>
    </w:p>
    <w:p>
      <w:pPr>
        <w:pStyle w:val="21"/>
        <w:tabs>
          <w:tab w:val="left" w:pos="420"/>
        </w:tabs>
        <w:spacing w:line="360" w:lineRule="auto"/>
        <w:ind w:firstLine="480"/>
        <w:rPr>
          <w:rFonts w:hint="eastAsia" w:ascii="宋体" w:hAnsi="宋体"/>
          <w:sz w:val="24"/>
          <w:highlight w:val="none"/>
        </w:rPr>
      </w:pPr>
      <w:r>
        <w:rPr>
          <w:rFonts w:hint="eastAsia" w:ascii="宋体" w:hAnsi="宋体"/>
          <w:sz w:val="24"/>
        </w:rPr>
        <w:t>（三）采购内容：</w:t>
      </w:r>
      <w:bookmarkStart w:id="0" w:name="OLE_LINK7"/>
      <w:r>
        <w:rPr>
          <w:rFonts w:hint="eastAsia" w:ascii="宋体" w:hAnsi="宋体"/>
          <w:sz w:val="24"/>
          <w:lang w:val="en-US" w:eastAsia="zh-CN"/>
        </w:rPr>
        <w:t>水处理药剂采购</w:t>
      </w:r>
      <w:bookmarkEnd w:id="0"/>
      <w:r>
        <w:rPr>
          <w:rFonts w:hint="eastAsia" w:ascii="宋体" w:hAnsi="宋体"/>
          <w:sz w:val="24"/>
        </w:rPr>
        <w:t>，具体详见附件</w:t>
      </w:r>
      <w:r>
        <w:rPr>
          <w:rFonts w:hint="eastAsia" w:ascii="宋体" w:hAnsi="宋体"/>
          <w:sz w:val="24"/>
          <w:highlight w:val="none"/>
        </w:rPr>
        <w:t>1本项目“采购需求”</w:t>
      </w:r>
      <w:r>
        <w:rPr>
          <w:rFonts w:hint="eastAsia" w:ascii="宋体" w:hAnsi="宋体"/>
          <w:sz w:val="24"/>
          <w:highlight w:val="none"/>
          <w:lang w:val="en-US" w:eastAsia="zh-CN"/>
        </w:rPr>
        <w:t>及附件1.1用户需求书</w:t>
      </w:r>
      <w:r>
        <w:rPr>
          <w:rFonts w:hint="eastAsia" w:ascii="宋体" w:hAnsi="宋体"/>
          <w:sz w:val="24"/>
          <w:highlight w:val="none"/>
        </w:rPr>
        <w:t>。</w:t>
      </w:r>
    </w:p>
    <w:p>
      <w:pPr>
        <w:pStyle w:val="21"/>
        <w:tabs>
          <w:tab w:val="left" w:pos="420"/>
        </w:tabs>
        <w:spacing w:line="360" w:lineRule="auto"/>
        <w:ind w:firstLine="480"/>
        <w:rPr>
          <w:rFonts w:hint="default" w:ascii="宋体" w:hAnsi="宋体" w:eastAsiaTheme="minorEastAsia"/>
          <w:sz w:val="24"/>
          <w:highlight w:val="none"/>
          <w:lang w:val="en-US" w:eastAsia="zh-CN"/>
        </w:rPr>
      </w:pPr>
      <w:r>
        <w:rPr>
          <w:rFonts w:hint="eastAsia" w:ascii="宋体" w:hAnsi="宋体"/>
          <w:sz w:val="24"/>
          <w:highlight w:val="none"/>
          <w:lang w:val="en-US" w:eastAsia="zh-CN"/>
        </w:rPr>
        <w:t xml:space="preserve"> （四）服务期限：合同期限1年，自2025年10月22日起算。</w:t>
      </w:r>
    </w:p>
    <w:p>
      <w:pPr>
        <w:spacing w:line="360" w:lineRule="auto"/>
        <w:ind w:firstLine="480" w:firstLineChars="200"/>
        <w:rPr>
          <w:rFonts w:ascii="宋体" w:hAnsi="宋体"/>
          <w:sz w:val="24"/>
        </w:rPr>
      </w:pPr>
      <w:r>
        <w:rPr>
          <w:rFonts w:hint="eastAsia" w:ascii="宋体" w:hAnsi="宋体"/>
          <w:sz w:val="24"/>
        </w:rPr>
        <w:t>二、合格供应商资格要求</w:t>
      </w:r>
    </w:p>
    <w:p>
      <w:pPr>
        <w:pStyle w:val="21"/>
        <w:numPr>
          <w:ilvl w:val="0"/>
          <w:numId w:val="2"/>
        </w:numPr>
        <w:tabs>
          <w:tab w:val="left" w:pos="420"/>
        </w:tabs>
        <w:spacing w:line="360" w:lineRule="auto"/>
        <w:ind w:firstLine="480"/>
        <w:rPr>
          <w:rFonts w:hint="eastAsia" w:ascii="宋体" w:hAnsi="宋体"/>
          <w:sz w:val="24"/>
        </w:rPr>
      </w:pPr>
      <w:r>
        <w:rPr>
          <w:rFonts w:cs="Arial" w:asciiTheme="minorEastAsia" w:hAnsiTheme="minorEastAsia"/>
          <w:color w:val="auto"/>
          <w:sz w:val="24"/>
          <w:szCs w:val="24"/>
        </w:rPr>
        <w:t>必须是具有独立承担民事责任能力的在中华人民共和国境内注册的法人</w:t>
      </w:r>
      <w:r>
        <w:rPr>
          <w:rFonts w:hint="eastAsia" w:cs="Arial" w:asciiTheme="minorEastAsia" w:hAnsiTheme="minorEastAsia"/>
          <w:color w:val="auto"/>
          <w:sz w:val="24"/>
          <w:szCs w:val="24"/>
        </w:rPr>
        <w:t>或其他组织，提供营业执照或法人证书的盖章扫描件证明</w:t>
      </w:r>
      <w:r>
        <w:rPr>
          <w:rFonts w:hint="eastAsia" w:ascii="宋体" w:hAnsi="宋体"/>
          <w:sz w:val="24"/>
        </w:rPr>
        <w:t>；</w:t>
      </w:r>
    </w:p>
    <w:p>
      <w:pPr>
        <w:pStyle w:val="21"/>
        <w:numPr>
          <w:ilvl w:val="0"/>
          <w:numId w:val="2"/>
        </w:numPr>
        <w:tabs>
          <w:tab w:val="left" w:pos="420"/>
        </w:tabs>
        <w:spacing w:line="360" w:lineRule="auto"/>
        <w:ind w:firstLine="480"/>
        <w:rPr>
          <w:rFonts w:hint="eastAsia" w:ascii="宋体" w:hAnsi="宋体"/>
          <w:sz w:val="24"/>
        </w:rPr>
      </w:pPr>
      <w:r>
        <w:rPr>
          <w:rFonts w:hint="eastAsia" w:ascii="宋体" w:hAnsi="宋体" w:eastAsia="宋体" w:cs="宋体"/>
          <w:sz w:val="24"/>
          <w:szCs w:val="24"/>
        </w:rPr>
        <w:t>投标人未被列入“信用中国”网站(www.creditchina.gov.cn)记录失信被执行人名单,须提供“信用中国”网站(www.creditchina.gov.cn)的信用记录查询</w:t>
      </w:r>
      <w:r>
        <w:rPr>
          <w:rFonts w:hint="eastAsia" w:ascii="宋体" w:hAnsi="宋体" w:eastAsia="宋体" w:cs="宋体"/>
          <w:sz w:val="24"/>
          <w:szCs w:val="24"/>
          <w:highlight w:val="none"/>
        </w:rPr>
        <w:t>结果截图或信用信息报告并打印页面加盖公章；</w:t>
      </w:r>
    </w:p>
    <w:p>
      <w:pPr>
        <w:pStyle w:val="21"/>
        <w:numPr>
          <w:ilvl w:val="0"/>
          <w:numId w:val="2"/>
        </w:numPr>
        <w:tabs>
          <w:tab w:val="left" w:pos="420"/>
        </w:tabs>
        <w:spacing w:line="360" w:lineRule="auto"/>
        <w:ind w:firstLine="480"/>
        <w:rPr>
          <w:rFonts w:hint="eastAsia" w:ascii="宋体" w:hAnsi="宋体"/>
          <w:sz w:val="24"/>
        </w:rPr>
      </w:pPr>
      <w:r>
        <w:rPr>
          <w:rFonts w:hint="eastAsia" w:ascii="宋体" w:hAnsi="宋体"/>
          <w:sz w:val="24"/>
        </w:rPr>
        <w:t>投标人</w:t>
      </w:r>
      <w:r>
        <w:rPr>
          <w:rFonts w:hint="eastAsia" w:ascii="宋体" w:hAnsi="宋体"/>
          <w:sz w:val="24"/>
          <w:lang w:val="en-US" w:eastAsia="zh-CN"/>
        </w:rPr>
        <w:t>声明</w:t>
      </w:r>
      <w:r>
        <w:rPr>
          <w:rFonts w:hint="eastAsia" w:ascii="宋体" w:hAnsi="宋体"/>
          <w:sz w:val="24"/>
        </w:rPr>
        <w:t>没有</w:t>
      </w:r>
      <w:r>
        <w:rPr>
          <w:rFonts w:hint="eastAsia" w:ascii="宋体" w:hAnsi="宋体"/>
          <w:sz w:val="24"/>
          <w:highlight w:val="none"/>
        </w:rPr>
        <w:t>处于被责令停业或破产状态，且资产未被重组、接管和冻结，声明在投标活动中3 年内没有重大违法活动和涉嫌违规行为</w:t>
      </w:r>
      <w:r>
        <w:rPr>
          <w:rFonts w:hint="eastAsia" w:ascii="宋体" w:hAnsi="宋体"/>
          <w:sz w:val="24"/>
          <w:lang w:eastAsia="zh-CN"/>
        </w:rPr>
        <w:t>（</w:t>
      </w:r>
      <w:r>
        <w:rPr>
          <w:rFonts w:hint="eastAsia" w:cs="Arial" w:asciiTheme="minorEastAsia" w:hAnsiTheme="minorEastAsia"/>
          <w:color w:val="auto"/>
          <w:sz w:val="24"/>
          <w:szCs w:val="24"/>
          <w:lang w:val="en-US" w:eastAsia="zh-CN"/>
        </w:rPr>
        <w:t>附投标声明函</w:t>
      </w:r>
      <w:r>
        <w:rPr>
          <w:rFonts w:hint="eastAsia" w:ascii="宋体" w:hAnsi="宋体"/>
          <w:sz w:val="24"/>
          <w:lang w:eastAsia="zh-CN"/>
        </w:rPr>
        <w:t>）</w:t>
      </w:r>
      <w:r>
        <w:rPr>
          <w:rFonts w:hint="eastAsia" w:ascii="宋体" w:hAnsi="宋体"/>
          <w:sz w:val="24"/>
        </w:rPr>
        <w:t>；</w:t>
      </w:r>
    </w:p>
    <w:p>
      <w:pPr>
        <w:pStyle w:val="21"/>
        <w:tabs>
          <w:tab w:val="left" w:pos="420"/>
        </w:tabs>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）投标人必须</w:t>
      </w:r>
      <w:r>
        <w:rPr>
          <w:rFonts w:hint="eastAsia" w:ascii="宋体" w:hAnsi="宋体" w:eastAsia="宋体" w:cs="宋体"/>
          <w:sz w:val="24"/>
          <w:szCs w:val="24"/>
          <w:highlight w:val="none"/>
          <w:lang w:val="en-US" w:eastAsia="zh-CN"/>
        </w:rPr>
        <w:t>具备危化品生产或经营销售许可证；</w:t>
      </w:r>
    </w:p>
    <w:p>
      <w:pPr>
        <w:pStyle w:val="21"/>
        <w:tabs>
          <w:tab w:val="left" w:pos="420"/>
        </w:tabs>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投标人必须</w:t>
      </w:r>
      <w:r>
        <w:rPr>
          <w:rFonts w:hint="eastAsia" w:ascii="宋体" w:hAnsi="宋体" w:eastAsia="宋体" w:cs="宋体"/>
          <w:sz w:val="24"/>
          <w:szCs w:val="24"/>
          <w:highlight w:val="none"/>
          <w:lang w:val="en-US" w:eastAsia="zh-CN"/>
        </w:rPr>
        <w:t>提供投标报价产品质量检测报告；且提供次氯酸钠涉水卫生许可批件；</w:t>
      </w:r>
    </w:p>
    <w:p>
      <w:pPr>
        <w:pStyle w:val="21"/>
        <w:numPr>
          <w:ilvl w:val="-1"/>
          <w:numId w:val="0"/>
        </w:numPr>
        <w:tabs>
          <w:tab w:val="left" w:pos="420"/>
        </w:tabs>
        <w:spacing w:line="360" w:lineRule="auto"/>
        <w:ind w:leftChars="0" w:firstLine="480"/>
        <w:rPr>
          <w:rFonts w:hint="eastAsia" w:ascii="宋体" w:hAnsi="宋体"/>
          <w:sz w:val="24"/>
          <w:highlight w:val="yellow"/>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投标人近3年内(2022年1月1日至今)具有类似与供水企业供货业绩，提供合同关键页复印件，包括但不限于项目名称、金额及实施内容、合同盖章、签订日期，加盖单位公章</w:t>
      </w:r>
      <w:r>
        <w:rPr>
          <w:rFonts w:hint="eastAsia" w:ascii="宋体" w:hAnsi="宋体" w:eastAsia="宋体" w:cs="宋体"/>
          <w:sz w:val="24"/>
          <w:szCs w:val="24"/>
          <w:highlight w:val="none"/>
          <w:lang w:eastAsia="zh-CN"/>
        </w:rPr>
        <w:t>；</w:t>
      </w:r>
    </w:p>
    <w:p>
      <w:pPr>
        <w:pStyle w:val="21"/>
        <w:numPr>
          <w:ilvl w:val="0"/>
          <w:numId w:val="2"/>
        </w:numPr>
        <w:tabs>
          <w:tab w:val="left" w:pos="420"/>
        </w:tabs>
        <w:spacing w:line="360" w:lineRule="auto"/>
        <w:ind w:firstLine="480"/>
        <w:rPr>
          <w:rFonts w:ascii="宋体" w:hAnsi="宋体"/>
          <w:sz w:val="24"/>
        </w:rPr>
      </w:pPr>
      <w:r>
        <w:rPr>
          <w:rFonts w:hint="eastAsia" w:ascii="宋体" w:hAnsi="宋体"/>
          <w:sz w:val="24"/>
        </w:rPr>
        <w:t>不接受联合体报价。</w:t>
      </w:r>
    </w:p>
    <w:p>
      <w:pPr>
        <w:pStyle w:val="21"/>
        <w:numPr>
          <w:ilvl w:val="0"/>
          <w:numId w:val="3"/>
        </w:numPr>
        <w:spacing w:line="360" w:lineRule="auto"/>
        <w:ind w:left="0" w:firstLine="480"/>
        <w:rPr>
          <w:rFonts w:ascii="宋体" w:hAnsi="宋体"/>
          <w:sz w:val="24"/>
        </w:rPr>
      </w:pPr>
      <w:r>
        <w:rPr>
          <w:rFonts w:hint="eastAsia" w:ascii="宋体" w:hAnsi="宋体"/>
          <w:sz w:val="24"/>
        </w:rPr>
        <w:t>费用、支付方式及货期。</w:t>
      </w:r>
    </w:p>
    <w:p>
      <w:pPr>
        <w:pStyle w:val="21"/>
        <w:numPr>
          <w:ilvl w:val="0"/>
          <w:numId w:val="4"/>
        </w:numPr>
        <w:spacing w:line="360" w:lineRule="auto"/>
        <w:ind w:firstLine="480"/>
        <w:rPr>
          <w:rFonts w:ascii="宋体" w:hAnsi="宋体"/>
          <w:sz w:val="24"/>
        </w:rPr>
      </w:pPr>
      <w:r>
        <w:rPr>
          <w:rFonts w:hint="eastAsia" w:ascii="宋体" w:hAnsi="宋体"/>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Pr>
          <w:rFonts w:hint="eastAsia" w:ascii="宋体" w:hAnsi="宋体"/>
          <w:kern w:val="0"/>
          <w:sz w:val="24"/>
        </w:rPr>
        <w:t>（包括关税、增值税专用发票等）</w:t>
      </w:r>
      <w:r>
        <w:rPr>
          <w:rFonts w:hint="eastAsia" w:ascii="宋体" w:hAnsi="宋体"/>
          <w:sz w:val="24"/>
        </w:rPr>
        <w:t>、采购实施过程中不可预见费用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pStyle w:val="21"/>
        <w:numPr>
          <w:ilvl w:val="0"/>
          <w:numId w:val="4"/>
        </w:numPr>
        <w:spacing w:line="360" w:lineRule="auto"/>
        <w:ind w:firstLine="480"/>
        <w:rPr>
          <w:rFonts w:ascii="宋体" w:hAnsi="宋体"/>
          <w:sz w:val="24"/>
        </w:rPr>
      </w:pPr>
      <w:r>
        <w:rPr>
          <w:rFonts w:hint="eastAsia" w:ascii="宋体" w:hAnsi="宋体"/>
          <w:sz w:val="24"/>
        </w:rPr>
        <w:t>付款方式：</w:t>
      </w:r>
    </w:p>
    <w:p>
      <w:pPr>
        <w:pStyle w:val="21"/>
        <w:numPr>
          <w:ilvl w:val="0"/>
          <w:numId w:val="5"/>
        </w:numPr>
        <w:tabs>
          <w:tab w:val="left" w:pos="420"/>
        </w:tabs>
        <w:spacing w:line="360" w:lineRule="auto"/>
        <w:ind w:firstLineChars="0"/>
        <w:rPr>
          <w:rFonts w:hint="eastAsia" w:ascii="宋体" w:hAnsi="宋体"/>
          <w:sz w:val="24"/>
          <w:szCs w:val="24"/>
          <w:lang w:eastAsia="zh-CN"/>
        </w:rPr>
      </w:pPr>
      <w:r>
        <w:rPr>
          <w:rFonts w:hint="eastAsia" w:ascii="宋体" w:hAnsi="宋体"/>
          <w:sz w:val="24"/>
          <w:lang w:val="en-US" w:eastAsia="zh-CN"/>
        </w:rPr>
        <w:t>每批次货物货到现场装卸后并通过甲方验收合格后，</w:t>
      </w:r>
      <w:r>
        <w:rPr>
          <w:rFonts w:hint="eastAsia" w:ascii="宋体" w:hAnsi="宋体"/>
          <w:sz w:val="24"/>
        </w:rPr>
        <w:t>甲方收到乙方请款资料后15个工作日内</w:t>
      </w:r>
      <w:r>
        <w:rPr>
          <w:rFonts w:hint="eastAsia" w:ascii="宋体" w:hAnsi="宋体"/>
          <w:sz w:val="24"/>
          <w:szCs w:val="24"/>
          <w:lang w:val="en-US" w:eastAsia="zh-CN"/>
        </w:rPr>
        <w:t>支付至合同已供货物合同金额的95%</w:t>
      </w:r>
      <w:r>
        <w:rPr>
          <w:rFonts w:hint="eastAsia" w:ascii="宋体" w:hAnsi="宋体" w:cstheme="minorBidi"/>
          <w:i w:val="0"/>
          <w:caps w:val="0"/>
          <w:spacing w:val="0"/>
          <w:sz w:val="24"/>
          <w:szCs w:val="24"/>
          <w:lang w:val="en-US" w:eastAsia="zh-CN"/>
        </w:rPr>
        <w:t>；</w:t>
      </w:r>
    </w:p>
    <w:p>
      <w:pPr>
        <w:pStyle w:val="21"/>
        <w:numPr>
          <w:ilvl w:val="0"/>
          <w:numId w:val="5"/>
        </w:numPr>
        <w:tabs>
          <w:tab w:val="left" w:pos="420"/>
        </w:tabs>
        <w:spacing w:line="360" w:lineRule="auto"/>
        <w:ind w:firstLineChars="0"/>
        <w:rPr>
          <w:rFonts w:hint="eastAsia" w:ascii="宋体" w:hAnsi="宋体"/>
          <w:sz w:val="24"/>
          <w:szCs w:val="24"/>
          <w:lang w:eastAsia="zh-CN"/>
        </w:rPr>
      </w:pPr>
      <w:r>
        <w:rPr>
          <w:rFonts w:hint="eastAsia" w:ascii="宋体" w:hAnsi="宋体" w:cstheme="minorBidi"/>
          <w:i w:val="0"/>
          <w:caps w:val="0"/>
          <w:spacing w:val="0"/>
          <w:sz w:val="24"/>
          <w:szCs w:val="24"/>
          <w:lang w:val="en-US" w:eastAsia="zh-CN"/>
        </w:rPr>
        <w:t>合同到期一个月后，</w:t>
      </w:r>
      <w:r>
        <w:rPr>
          <w:rFonts w:hint="eastAsia" w:ascii="宋体" w:hAnsi="宋体"/>
          <w:sz w:val="24"/>
        </w:rPr>
        <w:t>甲方收到乙方请款资料后15个工作日内</w:t>
      </w:r>
      <w:r>
        <w:rPr>
          <w:rFonts w:hint="eastAsia" w:ascii="宋体" w:hAnsi="宋体"/>
          <w:sz w:val="24"/>
          <w:szCs w:val="24"/>
          <w:lang w:val="en-US" w:eastAsia="zh-CN"/>
        </w:rPr>
        <w:t>支付至合同结算金额的100%</w:t>
      </w:r>
      <w:r>
        <w:rPr>
          <w:rFonts w:hint="eastAsia" w:ascii="宋体" w:hAnsi="宋体"/>
          <w:sz w:val="24"/>
          <w:szCs w:val="24"/>
          <w:lang w:eastAsia="zh-CN"/>
        </w:rPr>
        <w:t>；</w:t>
      </w:r>
    </w:p>
    <w:p>
      <w:pPr>
        <w:pStyle w:val="21"/>
        <w:numPr>
          <w:ilvl w:val="0"/>
          <w:numId w:val="5"/>
        </w:numPr>
        <w:tabs>
          <w:tab w:val="left" w:pos="420"/>
        </w:tabs>
        <w:spacing w:line="360" w:lineRule="auto"/>
        <w:ind w:firstLineChars="0"/>
        <w:rPr>
          <w:rFonts w:hint="eastAsia" w:ascii="宋体" w:hAnsi="宋体"/>
          <w:sz w:val="24"/>
          <w:szCs w:val="24"/>
          <w:highlight w:val="none"/>
          <w:lang w:eastAsia="zh-CN"/>
        </w:rPr>
      </w:pPr>
      <w:r>
        <w:rPr>
          <w:rFonts w:hint="eastAsia" w:ascii="宋体" w:hAnsi="宋体"/>
          <w:sz w:val="24"/>
          <w:szCs w:val="24"/>
          <w:lang w:val="en-US" w:eastAsia="zh-CN"/>
        </w:rPr>
        <w:t xml:space="preserve">  </w:t>
      </w:r>
      <w:r>
        <w:rPr>
          <w:rFonts w:hint="eastAsia" w:ascii="宋体" w:hAnsi="宋体"/>
          <w:sz w:val="24"/>
          <w:szCs w:val="24"/>
        </w:rPr>
        <w:t>付款前供方开具相应金额增值税专用发票给需方。</w:t>
      </w:r>
    </w:p>
    <w:p>
      <w:pPr>
        <w:pStyle w:val="21"/>
        <w:numPr>
          <w:ilvl w:val="0"/>
          <w:numId w:val="4"/>
        </w:numPr>
        <w:spacing w:line="360" w:lineRule="auto"/>
        <w:ind w:firstLine="480"/>
        <w:rPr>
          <w:rFonts w:ascii="宋体" w:hAnsi="宋体"/>
          <w:sz w:val="24"/>
          <w:highlight w:val="none"/>
        </w:rPr>
      </w:pPr>
      <w:r>
        <w:rPr>
          <w:rFonts w:hint="eastAsia" w:ascii="宋体" w:hAnsi="宋体"/>
          <w:sz w:val="24"/>
          <w:highlight w:val="none"/>
        </w:rPr>
        <w:t>货期：</w:t>
      </w:r>
      <w:bookmarkStart w:id="1" w:name="OLE_LINK2"/>
      <w:r>
        <w:rPr>
          <w:rFonts w:hint="eastAsia" w:ascii="宋体" w:hAnsi="宋体"/>
          <w:sz w:val="24"/>
          <w:highlight w:val="none"/>
        </w:rPr>
        <w:t>投标人应能全年每天24小时响应</w:t>
      </w:r>
      <w:r>
        <w:rPr>
          <w:rFonts w:hint="eastAsia" w:ascii="宋体" w:hAnsi="宋体"/>
          <w:sz w:val="24"/>
          <w:highlight w:val="none"/>
          <w:lang w:val="en-US" w:eastAsia="zh-CN"/>
        </w:rPr>
        <w:t>采购</w:t>
      </w:r>
      <w:r>
        <w:rPr>
          <w:rFonts w:hint="eastAsia" w:ascii="宋体" w:hAnsi="宋体"/>
          <w:sz w:val="24"/>
          <w:highlight w:val="none"/>
        </w:rPr>
        <w:t>人的供货需求，正常情况接到</w:t>
      </w:r>
      <w:r>
        <w:rPr>
          <w:rFonts w:hint="eastAsia" w:ascii="宋体" w:hAnsi="宋体"/>
          <w:sz w:val="24"/>
          <w:highlight w:val="none"/>
          <w:lang w:val="en-US" w:eastAsia="zh-CN"/>
        </w:rPr>
        <w:t>采购</w:t>
      </w:r>
      <w:r>
        <w:rPr>
          <w:rFonts w:hint="eastAsia" w:ascii="宋体" w:hAnsi="宋体"/>
          <w:sz w:val="24"/>
          <w:highlight w:val="none"/>
        </w:rPr>
        <w:t>人供货需求应在3天内保质保量到货，应急情况下接到</w:t>
      </w:r>
      <w:r>
        <w:rPr>
          <w:rFonts w:hint="eastAsia" w:ascii="宋体" w:hAnsi="宋体"/>
          <w:sz w:val="24"/>
          <w:highlight w:val="none"/>
          <w:lang w:val="en-US" w:eastAsia="zh-CN"/>
        </w:rPr>
        <w:t>采购</w:t>
      </w:r>
      <w:r>
        <w:rPr>
          <w:rFonts w:hint="eastAsia" w:ascii="宋体" w:hAnsi="宋体"/>
          <w:sz w:val="24"/>
          <w:highlight w:val="none"/>
        </w:rPr>
        <w:t>人供货需求应12小时内货到现场</w:t>
      </w:r>
      <w:bookmarkEnd w:id="1"/>
      <w:r>
        <w:rPr>
          <w:rFonts w:ascii="宋体" w:hAnsi="宋体"/>
          <w:sz w:val="24"/>
          <w:highlight w:val="none"/>
        </w:rPr>
        <w:t>。</w:t>
      </w:r>
    </w:p>
    <w:p>
      <w:pPr>
        <w:pStyle w:val="21"/>
        <w:numPr>
          <w:ilvl w:val="0"/>
          <w:numId w:val="4"/>
        </w:numPr>
        <w:spacing w:line="360" w:lineRule="auto"/>
        <w:ind w:firstLine="480"/>
        <w:rPr>
          <w:rFonts w:ascii="宋体" w:hAnsi="宋体"/>
          <w:sz w:val="24"/>
        </w:rPr>
      </w:pPr>
      <w:r>
        <w:rPr>
          <w:rFonts w:hint="eastAsia" w:ascii="宋体" w:hAnsi="宋体"/>
          <w:sz w:val="24"/>
          <w:lang w:val="en-US" w:eastAsia="zh-CN"/>
        </w:rPr>
        <w:t>项目</w:t>
      </w:r>
      <w:r>
        <w:rPr>
          <w:rFonts w:hint="eastAsia" w:ascii="宋体" w:hAnsi="宋体"/>
          <w:sz w:val="24"/>
        </w:rPr>
        <w:t>地点：广州市番禺区大学城外环西路螺旋三路12号广州大学城杂用水厂</w:t>
      </w:r>
    </w:p>
    <w:p>
      <w:pPr>
        <w:spacing w:line="360" w:lineRule="auto"/>
        <w:ind w:firstLine="480" w:firstLineChars="200"/>
        <w:rPr>
          <w:rFonts w:ascii="宋体" w:hAnsi="宋体"/>
          <w:sz w:val="24"/>
        </w:rPr>
      </w:pPr>
      <w:r>
        <w:rPr>
          <w:rFonts w:hint="eastAsia" w:ascii="宋体" w:hAnsi="宋体"/>
          <w:sz w:val="24"/>
        </w:rPr>
        <w:t>四、报价响应要求</w:t>
      </w:r>
    </w:p>
    <w:p>
      <w:pPr>
        <w:pStyle w:val="21"/>
        <w:numPr>
          <w:ilvl w:val="0"/>
          <w:numId w:val="6"/>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w:t>
      </w:r>
    </w:p>
    <w:p>
      <w:pPr>
        <w:pStyle w:val="21"/>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21"/>
        <w:spacing w:line="360" w:lineRule="auto"/>
        <w:ind w:firstLine="480"/>
        <w:rPr>
          <w:rFonts w:ascii="宋体" w:hAnsi="宋体"/>
          <w:sz w:val="24"/>
        </w:rPr>
      </w:pPr>
      <w:r>
        <w:rPr>
          <w:rFonts w:hint="eastAsia" w:ascii="宋体" w:hAnsi="宋体"/>
          <w:sz w:val="24"/>
        </w:rPr>
        <w:t>五、投标文件</w:t>
      </w:r>
    </w:p>
    <w:p>
      <w:pPr>
        <w:pStyle w:val="21"/>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21"/>
        <w:numPr>
          <w:ilvl w:val="0"/>
          <w:numId w:val="7"/>
        </w:numPr>
        <w:spacing w:line="360" w:lineRule="auto"/>
        <w:ind w:firstLine="480"/>
        <w:rPr>
          <w:rFonts w:ascii="宋体" w:hAnsi="宋体"/>
          <w:sz w:val="24"/>
        </w:rPr>
      </w:pPr>
      <w:r>
        <w:rPr>
          <w:rFonts w:hint="eastAsia" w:ascii="宋体" w:hAnsi="宋体"/>
          <w:sz w:val="24"/>
        </w:rPr>
        <w:t>价格文件（格式见附件2，加盖公章）</w:t>
      </w:r>
    </w:p>
    <w:p>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21"/>
        <w:numPr>
          <w:ilvl w:val="0"/>
          <w:numId w:val="7"/>
        </w:numPr>
        <w:spacing w:line="360" w:lineRule="auto"/>
        <w:ind w:firstLine="480"/>
        <w:rPr>
          <w:rFonts w:ascii="宋体" w:hAnsi="宋体"/>
          <w:sz w:val="24"/>
        </w:rPr>
      </w:pPr>
      <w:r>
        <w:rPr>
          <w:rFonts w:hint="eastAsia" w:ascii="宋体" w:hAnsi="宋体"/>
          <w:sz w:val="24"/>
        </w:rPr>
        <w:t>商务部分</w:t>
      </w:r>
    </w:p>
    <w:p>
      <w:pPr>
        <w:pStyle w:val="21"/>
        <w:numPr>
          <w:ilvl w:val="-1"/>
          <w:numId w:val="0"/>
        </w:numPr>
        <w:spacing w:line="360" w:lineRule="auto"/>
        <w:ind w:left="0" w:leftChars="0" w:firstLine="480"/>
        <w:rPr>
          <w:rFonts w:hint="eastAsia" w:ascii="宋体" w:hAnsi="宋体"/>
          <w:sz w:val="24"/>
        </w:rPr>
      </w:pPr>
      <w:r>
        <w:rPr>
          <w:rFonts w:hint="eastAsia" w:ascii="宋体" w:hAnsi="宋体"/>
          <w:sz w:val="24"/>
        </w:rPr>
        <w:t>1、提供营业执照或法人证书盖章扫描件证明。</w:t>
      </w:r>
    </w:p>
    <w:p>
      <w:pPr>
        <w:pStyle w:val="21"/>
        <w:numPr>
          <w:ilvl w:val="-1"/>
          <w:numId w:val="0"/>
        </w:numPr>
        <w:spacing w:line="360" w:lineRule="auto"/>
        <w:ind w:left="0" w:leftChars="0" w:firstLine="480"/>
        <w:rPr>
          <w:rFonts w:hint="eastAsia" w:ascii="宋体" w:hAnsi="宋体"/>
          <w:sz w:val="24"/>
        </w:rPr>
      </w:pPr>
      <w:r>
        <w:rPr>
          <w:rFonts w:hint="eastAsia" w:ascii="宋体" w:hAnsi="宋体"/>
          <w:sz w:val="24"/>
        </w:rPr>
        <w:t>2、</w:t>
      </w:r>
      <w:r>
        <w:rPr>
          <w:rFonts w:hint="eastAsia" w:ascii="宋体" w:hAnsi="宋体" w:eastAsia="宋体" w:cs="宋体"/>
          <w:sz w:val="24"/>
          <w:szCs w:val="24"/>
        </w:rPr>
        <w:t>投标人未被列入“信用中国”网站(www.creditchina.gov.cn)记录失信被执行人名单,须提供“信用中国”网站(www.creditchina.gov.cn)的信用记录查询</w:t>
      </w:r>
      <w:r>
        <w:rPr>
          <w:rFonts w:hint="eastAsia" w:ascii="宋体" w:hAnsi="宋体" w:eastAsia="宋体" w:cs="宋体"/>
          <w:sz w:val="24"/>
          <w:szCs w:val="24"/>
          <w:highlight w:val="none"/>
        </w:rPr>
        <w:t>结果截图或信用信息报告并打印页面加盖公章</w:t>
      </w:r>
      <w:r>
        <w:rPr>
          <w:rFonts w:hint="eastAsia" w:ascii="宋体" w:hAnsi="宋体"/>
          <w:sz w:val="24"/>
        </w:rPr>
        <w:t>。</w:t>
      </w:r>
    </w:p>
    <w:p>
      <w:pPr>
        <w:pStyle w:val="21"/>
        <w:numPr>
          <w:ilvl w:val="-1"/>
          <w:numId w:val="0"/>
        </w:numPr>
        <w:spacing w:line="360" w:lineRule="auto"/>
        <w:ind w:left="0" w:leftChars="0" w:firstLine="480"/>
        <w:rPr>
          <w:rFonts w:hint="eastAsia" w:ascii="宋体" w:hAnsi="宋体"/>
          <w:sz w:val="24"/>
        </w:rPr>
      </w:pPr>
      <w:r>
        <w:rPr>
          <w:rFonts w:hint="eastAsia" w:ascii="宋体" w:hAnsi="宋体"/>
          <w:sz w:val="24"/>
        </w:rPr>
        <w:t>3、供应商调查表（</w:t>
      </w:r>
      <w:r>
        <w:rPr>
          <w:rFonts w:hint="eastAsia" w:ascii="宋体" w:hAnsi="宋体"/>
          <w:color w:val="auto"/>
          <w:sz w:val="24"/>
        </w:rPr>
        <w:t>见</w:t>
      </w:r>
      <w:r>
        <w:rPr>
          <w:rFonts w:hint="eastAsia" w:ascii="宋体" w:hAnsi="宋体"/>
          <w:color w:val="auto"/>
          <w:sz w:val="24"/>
          <w:lang w:val="en-US" w:eastAsia="zh-CN"/>
        </w:rPr>
        <w:t>附件3</w:t>
      </w:r>
      <w:r>
        <w:rPr>
          <w:rFonts w:hint="eastAsia" w:ascii="宋体" w:hAnsi="宋体"/>
          <w:sz w:val="24"/>
        </w:rPr>
        <w:t>）</w:t>
      </w:r>
    </w:p>
    <w:p>
      <w:pPr>
        <w:pStyle w:val="21"/>
        <w:numPr>
          <w:ilvl w:val="-1"/>
          <w:numId w:val="0"/>
        </w:numPr>
        <w:spacing w:line="360" w:lineRule="auto"/>
        <w:ind w:left="0" w:leftChars="0" w:firstLine="48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实质性要求响应表（附件</w:t>
      </w:r>
      <w:r>
        <w:rPr>
          <w:rFonts w:hint="eastAsia" w:ascii="宋体" w:hAnsi="宋体"/>
          <w:sz w:val="24"/>
          <w:highlight w:val="none"/>
          <w:lang w:eastAsia="zh-CN"/>
        </w:rPr>
        <w:t>4</w:t>
      </w:r>
      <w:r>
        <w:rPr>
          <w:rFonts w:hint="eastAsia" w:ascii="宋体" w:hAnsi="宋体"/>
          <w:sz w:val="24"/>
          <w:highlight w:val="none"/>
        </w:rPr>
        <w:t>）</w:t>
      </w:r>
    </w:p>
    <w:p>
      <w:pPr>
        <w:ind w:firstLine="480" w:firstLineChars="200"/>
      </w:pPr>
      <w:r>
        <w:rPr>
          <w:rFonts w:hint="eastAsia" w:ascii="宋体" w:hAnsi="宋体"/>
          <w:sz w:val="24"/>
          <w:lang w:val="en-US" w:eastAsia="zh-CN"/>
        </w:rPr>
        <w:t>5</w:t>
      </w:r>
      <w:r>
        <w:rPr>
          <w:rFonts w:hint="eastAsia" w:ascii="宋体" w:hAnsi="宋体"/>
          <w:sz w:val="24"/>
        </w:rPr>
        <w:t>、法定代表人证明书</w:t>
      </w:r>
      <w:r>
        <w:rPr>
          <w:rFonts w:hint="eastAsia" w:ascii="宋体" w:hAnsi="宋体"/>
          <w:sz w:val="24"/>
          <w:lang w:val="en-US" w:eastAsia="zh-CN"/>
        </w:rPr>
        <w:t>或</w:t>
      </w:r>
      <w:r>
        <w:rPr>
          <w:rFonts w:hint="eastAsia" w:ascii="宋体" w:hAnsi="宋体"/>
          <w:sz w:val="24"/>
        </w:rPr>
        <w:t>法定代表人授权委托书原件（</w:t>
      </w:r>
      <w:r>
        <w:rPr>
          <w:rFonts w:hint="eastAsia" w:ascii="宋体" w:hAnsi="宋体"/>
          <w:color w:val="auto"/>
          <w:sz w:val="24"/>
        </w:rPr>
        <w:t>见</w:t>
      </w:r>
      <w:r>
        <w:rPr>
          <w:rFonts w:hint="eastAsia" w:ascii="宋体" w:hAnsi="宋体"/>
          <w:color w:val="auto"/>
          <w:sz w:val="24"/>
          <w:lang w:val="en-US" w:eastAsia="zh-CN"/>
        </w:rPr>
        <w:t>附件5和附件6</w:t>
      </w:r>
      <w:r>
        <w:rPr>
          <w:rFonts w:hint="eastAsia" w:asciiTheme="minorEastAsia" w:hAnsiTheme="minorEastAsia"/>
          <w:color w:val="auto"/>
          <w:sz w:val="24"/>
          <w:szCs w:val="28"/>
        </w:rPr>
        <w:t>）</w:t>
      </w:r>
      <w:r>
        <w:rPr>
          <w:rFonts w:hint="eastAsia" w:ascii="宋体" w:hAnsi="宋体"/>
          <w:sz w:val="24"/>
        </w:rPr>
        <w:t>）</w:t>
      </w:r>
    </w:p>
    <w:p>
      <w:pPr>
        <w:pStyle w:val="21"/>
        <w:numPr>
          <w:ilvl w:val="-1"/>
          <w:numId w:val="0"/>
        </w:numPr>
        <w:spacing w:line="360" w:lineRule="auto"/>
        <w:ind w:left="0" w:leftChars="0" w:firstLine="48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投标人没有处于被责令停业或破产状态，且资产未被重组、接管和冻结，声明在投标活动中3年内没有重大违法活动和涉嫌违规行为（附投标声明函</w:t>
      </w:r>
      <w:r>
        <w:rPr>
          <w:rFonts w:hint="eastAsia" w:ascii="宋体" w:hAnsi="宋体"/>
          <w:color w:val="auto"/>
          <w:sz w:val="24"/>
          <w:szCs w:val="24"/>
          <w:lang w:eastAsia="zh-CN"/>
        </w:rPr>
        <w:t>，</w:t>
      </w:r>
      <w:r>
        <w:rPr>
          <w:rFonts w:hint="eastAsia" w:ascii="宋体" w:hAnsi="宋体"/>
          <w:color w:val="auto"/>
          <w:sz w:val="24"/>
          <w:szCs w:val="24"/>
          <w:lang w:val="en-US" w:eastAsia="zh-CN"/>
        </w:rPr>
        <w:t>见附件7</w:t>
      </w:r>
      <w:r>
        <w:rPr>
          <w:rFonts w:hint="eastAsia" w:ascii="宋体" w:hAnsi="宋体"/>
          <w:color w:val="auto"/>
          <w:sz w:val="24"/>
          <w:szCs w:val="24"/>
        </w:rPr>
        <w:t>）</w:t>
      </w:r>
    </w:p>
    <w:p>
      <w:pPr>
        <w:pStyle w:val="21"/>
        <w:numPr>
          <w:ilvl w:val="-1"/>
          <w:numId w:val="0"/>
        </w:numPr>
        <w:spacing w:line="360" w:lineRule="auto"/>
        <w:ind w:left="0" w:leftChars="0" w:firstLine="480"/>
        <w:rPr>
          <w:rFonts w:hint="eastAsia" w:ascii="宋体" w:hAnsi="宋体" w:eastAsia="宋体" w:cs="宋体"/>
          <w:sz w:val="24"/>
          <w:szCs w:val="24"/>
          <w:highlight w:val="none"/>
          <w:lang w:val="en-US" w:eastAsia="zh-CN"/>
        </w:rPr>
      </w:pPr>
      <w:r>
        <w:rPr>
          <w:rFonts w:hint="eastAsia" w:ascii="宋体" w:hAnsi="宋体"/>
          <w:color w:val="auto"/>
          <w:sz w:val="24"/>
          <w:szCs w:val="24"/>
          <w:lang w:val="en-US" w:eastAsia="zh-CN"/>
        </w:rPr>
        <w:t>8、投标人提供</w:t>
      </w:r>
      <w:r>
        <w:rPr>
          <w:rFonts w:hint="eastAsia" w:ascii="宋体" w:hAnsi="宋体" w:eastAsia="宋体" w:cs="宋体"/>
          <w:sz w:val="24"/>
          <w:szCs w:val="24"/>
          <w:highlight w:val="none"/>
          <w:lang w:val="en-US" w:eastAsia="zh-CN"/>
        </w:rPr>
        <w:t>危化品生产或经营销售许可证；</w:t>
      </w:r>
    </w:p>
    <w:p>
      <w:pPr>
        <w:pStyle w:val="21"/>
        <w:numPr>
          <w:ilvl w:val="-1"/>
          <w:numId w:val="0"/>
        </w:numPr>
        <w:spacing w:line="360" w:lineRule="auto"/>
        <w:ind w:left="0" w:leftChars="0"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提供投标报价产品质量检测报告；且提供次氯酸钠涉水卫生许可批件；</w:t>
      </w:r>
    </w:p>
    <w:p>
      <w:pPr>
        <w:pStyle w:val="21"/>
        <w:numPr>
          <w:ilvl w:val="-1"/>
          <w:numId w:val="0"/>
        </w:numPr>
        <w:spacing w:line="360" w:lineRule="auto"/>
        <w:ind w:left="0" w:leftChars="0" w:firstLine="480"/>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10、投标人提供承诺函（附投标承诺函，见附件8）</w:t>
      </w:r>
    </w:p>
    <w:p>
      <w:pPr>
        <w:pStyle w:val="21"/>
        <w:numPr>
          <w:ilvl w:val="-1"/>
          <w:numId w:val="0"/>
        </w:numPr>
        <w:spacing w:line="360" w:lineRule="auto"/>
        <w:ind w:left="0" w:leftChars="0" w:firstLine="480"/>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11、投标人提供近3年内(2022年1月1日至今)具有类似与供水企业供货业绩，提供合同关键页复印件，包括但不限于项目名称、金额及实施内容、合同盖章、签订日期，加盖单位公章</w:t>
      </w:r>
      <w:r>
        <w:rPr>
          <w:rFonts w:hint="eastAsia" w:ascii="宋体" w:hAnsi="宋体"/>
          <w:color w:val="auto"/>
          <w:sz w:val="24"/>
          <w:szCs w:val="24"/>
          <w:highlight w:val="none"/>
          <w:lang w:val="en-US" w:eastAsia="zh-CN"/>
        </w:rPr>
        <w:t>。</w:t>
      </w:r>
    </w:p>
    <w:p>
      <w:pPr>
        <w:pStyle w:val="21"/>
        <w:numPr>
          <w:ilvl w:val="-1"/>
          <w:numId w:val="0"/>
        </w:numPr>
        <w:spacing w:line="360" w:lineRule="auto"/>
        <w:ind w:left="0" w:leftChars="0" w:firstLine="480" w:firstLineChars="200"/>
        <w:rPr>
          <w:rFonts w:ascii="宋体" w:hAnsi="宋体"/>
          <w:sz w:val="24"/>
        </w:rPr>
      </w:pPr>
      <w:r>
        <w:rPr>
          <w:rFonts w:hint="eastAsia" w:ascii="宋体" w:hAnsi="宋体"/>
          <w:sz w:val="24"/>
          <w:lang w:val="en-US" w:eastAsia="zh-CN"/>
        </w:rPr>
        <w:t>12</w:t>
      </w:r>
      <w:r>
        <w:rPr>
          <w:rFonts w:hint="eastAsia" w:ascii="宋体" w:hAnsi="宋体"/>
          <w:sz w:val="24"/>
        </w:rPr>
        <w:t>、供应商认为有必要的其他资质（包括相关产品授权资质证书）等材料复印件。</w:t>
      </w:r>
    </w:p>
    <w:p>
      <w:pPr>
        <w:pStyle w:val="21"/>
        <w:numPr>
          <w:ilvl w:val="0"/>
          <w:numId w:val="7"/>
        </w:numPr>
        <w:spacing w:line="360" w:lineRule="auto"/>
        <w:ind w:firstLine="480"/>
        <w:rPr>
          <w:rFonts w:ascii="宋体" w:hAnsi="宋体"/>
          <w:sz w:val="24"/>
        </w:rPr>
      </w:pPr>
      <w:r>
        <w:rPr>
          <w:rFonts w:hint="eastAsia" w:ascii="宋体" w:hAnsi="宋体"/>
          <w:sz w:val="24"/>
        </w:rPr>
        <w:t>技术部分（如有，格式自定，加盖公章）</w:t>
      </w:r>
    </w:p>
    <w:p>
      <w:pPr>
        <w:pStyle w:val="21"/>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pPr>
        <w:pStyle w:val="21"/>
        <w:numPr>
          <w:ilvl w:val="255"/>
          <w:numId w:val="0"/>
        </w:numPr>
        <w:spacing w:line="360" w:lineRule="auto"/>
        <w:ind w:left="420" w:leftChars="200"/>
        <w:rPr>
          <w:rFonts w:ascii="宋体" w:hAnsi="宋体"/>
          <w:sz w:val="24"/>
        </w:rPr>
      </w:pPr>
      <w:r>
        <w:rPr>
          <w:rFonts w:hint="eastAsia" w:ascii="宋体" w:hAnsi="宋体"/>
          <w:sz w:val="24"/>
        </w:rPr>
        <w:t>1、总体实施方案；</w:t>
      </w:r>
    </w:p>
    <w:p>
      <w:pPr>
        <w:pStyle w:val="21"/>
        <w:numPr>
          <w:ilvl w:val="255"/>
          <w:numId w:val="0"/>
        </w:numPr>
        <w:spacing w:line="360" w:lineRule="auto"/>
        <w:ind w:left="420" w:leftChars="200"/>
        <w:rPr>
          <w:rFonts w:ascii="宋体" w:hAnsi="宋体"/>
          <w:sz w:val="24"/>
        </w:rPr>
      </w:pPr>
      <w:r>
        <w:rPr>
          <w:rFonts w:hint="eastAsia" w:ascii="宋体" w:hAnsi="宋体"/>
          <w:sz w:val="24"/>
        </w:rPr>
        <w:t>2、实施进度计划和工期承诺书；</w:t>
      </w:r>
    </w:p>
    <w:p>
      <w:pPr>
        <w:pStyle w:val="21"/>
        <w:numPr>
          <w:ilvl w:val="255"/>
          <w:numId w:val="0"/>
        </w:numPr>
        <w:spacing w:line="360" w:lineRule="auto"/>
        <w:ind w:left="420" w:leftChars="200"/>
        <w:rPr>
          <w:rFonts w:ascii="宋体" w:hAnsi="宋体"/>
          <w:sz w:val="24"/>
        </w:rPr>
      </w:pPr>
      <w:r>
        <w:rPr>
          <w:rFonts w:hint="eastAsia" w:ascii="宋体" w:hAnsi="宋体"/>
          <w:sz w:val="24"/>
        </w:rPr>
        <w:t>3、确保实施进度的技术和组织措施；</w:t>
      </w:r>
    </w:p>
    <w:p>
      <w:pPr>
        <w:pStyle w:val="21"/>
        <w:numPr>
          <w:ilvl w:val="255"/>
          <w:numId w:val="0"/>
        </w:numPr>
        <w:spacing w:line="360" w:lineRule="auto"/>
        <w:ind w:left="420" w:leftChars="200"/>
        <w:rPr>
          <w:rFonts w:ascii="宋体" w:hAnsi="宋体"/>
          <w:sz w:val="24"/>
        </w:rPr>
      </w:pPr>
      <w:r>
        <w:rPr>
          <w:rFonts w:hint="eastAsia" w:ascii="宋体" w:hAnsi="宋体"/>
          <w:sz w:val="24"/>
        </w:rPr>
        <w:t>4、确保安全文明施工的技术和组织措施；</w:t>
      </w:r>
    </w:p>
    <w:p>
      <w:pPr>
        <w:pStyle w:val="21"/>
        <w:numPr>
          <w:ilvl w:val="255"/>
          <w:numId w:val="0"/>
        </w:numPr>
        <w:spacing w:line="360" w:lineRule="auto"/>
        <w:ind w:left="420" w:leftChars="200"/>
        <w:rPr>
          <w:rFonts w:ascii="宋体" w:hAnsi="宋体"/>
          <w:sz w:val="24"/>
        </w:rPr>
      </w:pPr>
      <w:r>
        <w:rPr>
          <w:rFonts w:hint="eastAsia" w:ascii="宋体" w:hAnsi="宋体"/>
          <w:sz w:val="24"/>
        </w:rPr>
        <w:t>5、投入的人员配置情况；</w:t>
      </w:r>
    </w:p>
    <w:p>
      <w:pPr>
        <w:pStyle w:val="21"/>
        <w:numPr>
          <w:ilvl w:val="255"/>
          <w:numId w:val="0"/>
        </w:numPr>
        <w:spacing w:line="360" w:lineRule="auto"/>
        <w:ind w:left="420" w:leftChars="200"/>
        <w:rPr>
          <w:rFonts w:hint="eastAsia" w:ascii="宋体" w:hAnsi="宋体"/>
          <w:sz w:val="24"/>
        </w:rPr>
      </w:pPr>
      <w:r>
        <w:rPr>
          <w:rFonts w:hint="eastAsia" w:ascii="宋体" w:hAnsi="宋体"/>
          <w:sz w:val="24"/>
        </w:rPr>
        <w:t>6、供应商认为其它需要说明的文字。</w:t>
      </w:r>
    </w:p>
    <w:p>
      <w:pPr>
        <w:pStyle w:val="21"/>
        <w:numPr>
          <w:ilvl w:val="255"/>
          <w:numId w:val="0"/>
        </w:numPr>
        <w:spacing w:line="360" w:lineRule="auto"/>
        <w:ind w:firstLine="480" w:firstLineChars="200"/>
        <w:rPr>
          <w:rFonts w:ascii="宋体" w:hAnsi="宋体"/>
          <w:sz w:val="24"/>
        </w:rPr>
      </w:pPr>
      <w:r>
        <w:rPr>
          <w:rFonts w:hint="eastAsia" w:ascii="宋体" w:hAnsi="宋体"/>
          <w:sz w:val="24"/>
        </w:rPr>
        <w:t>六、评标方法：</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本项目采取经评审的最低投标价法。通过资格性和有效性审查表（附件9）后，各供应商按照有效投标报价由低到高的顺序依次排列，排名第一的供应商为第一中标候选人</w:t>
      </w:r>
      <w:r>
        <w:rPr>
          <w:rFonts w:hint="eastAsia" w:ascii="宋体" w:hAnsi="宋体"/>
          <w:sz w:val="24"/>
          <w:highlight w:val="none"/>
        </w:rPr>
        <w:t>。</w:t>
      </w:r>
    </w:p>
    <w:p>
      <w:pPr>
        <w:spacing w:line="360" w:lineRule="auto"/>
        <w:ind w:firstLine="480" w:firstLineChars="200"/>
        <w:rPr>
          <w:rFonts w:ascii="宋体" w:hAnsi="宋体"/>
          <w:sz w:val="24"/>
        </w:rPr>
      </w:pPr>
      <w:r>
        <w:rPr>
          <w:rFonts w:hint="eastAsia" w:ascii="宋体" w:hAnsi="宋体"/>
          <w:sz w:val="24"/>
          <w:highlight w:val="none"/>
        </w:rPr>
        <w:t>采购人对中标人实行信用评价管理，中标后采购人将中标人纳入供应商管理系统，按项目对中标人的合同履约行为进行考核，具体按采购人供应商管理办法进行</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七、递交投标文件</w:t>
      </w:r>
    </w:p>
    <w:p>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8</w:t>
      </w:r>
      <w:r>
        <w:rPr>
          <w:rFonts w:hint="eastAsia" w:ascii="宋体" w:hAnsi="宋体"/>
          <w:color w:val="FF0000"/>
          <w:sz w:val="24"/>
        </w:rPr>
        <w:t>月</w:t>
      </w:r>
      <w:ins w:id="0" w:author="詹映静" w:date="2025-08-14T11:33:33Z">
        <w:r>
          <w:rPr>
            <w:rFonts w:hint="eastAsia" w:ascii="宋体" w:hAnsi="宋体"/>
            <w:color w:val="FF0000"/>
            <w:sz w:val="24"/>
            <w:lang w:val="en-US" w:eastAsia="zh-CN"/>
          </w:rPr>
          <w:t>25</w:t>
        </w:r>
      </w:ins>
      <w:r>
        <w:rPr>
          <w:rFonts w:hint="eastAsia" w:ascii="宋体" w:hAnsi="宋体"/>
          <w:color w:val="FF0000"/>
          <w:sz w:val="24"/>
          <w:lang w:val="en-US" w:eastAsia="zh-CN"/>
        </w:rPr>
        <w:t xml:space="preserve"> </w:t>
      </w:r>
      <w:r>
        <w:rPr>
          <w:rFonts w:hint="eastAsia" w:ascii="宋体" w:hAnsi="宋体"/>
          <w:color w:val="FF0000"/>
          <w:sz w:val="24"/>
        </w:rPr>
        <w:t>日北京时间</w:t>
      </w:r>
      <w:del w:id="1" w:author="詹映静" w:date="2025-08-14T11:33:34Z">
        <w:r>
          <w:rPr>
            <w:rFonts w:hint="default" w:ascii="宋体" w:hAnsi="宋体"/>
            <w:color w:val="FF0000"/>
            <w:sz w:val="24"/>
            <w:lang w:val="en-US" w:eastAsia="zh-CN"/>
          </w:rPr>
          <w:delText xml:space="preserve"> </w:delText>
        </w:r>
      </w:del>
      <w:ins w:id="2" w:author="詹映静" w:date="2025-08-14T11:33:34Z">
        <w:r>
          <w:rPr>
            <w:rFonts w:hint="eastAsia" w:ascii="宋体" w:hAnsi="宋体"/>
            <w:color w:val="FF0000"/>
            <w:sz w:val="24"/>
            <w:lang w:val="en-US" w:eastAsia="zh-CN"/>
          </w:rPr>
          <w:t>1</w:t>
        </w:r>
      </w:ins>
      <w:ins w:id="3" w:author="詹映静" w:date="2025-08-14T11:33:35Z">
        <w:r>
          <w:rPr>
            <w:rFonts w:hint="eastAsia" w:ascii="宋体" w:hAnsi="宋体"/>
            <w:color w:val="FF0000"/>
            <w:sz w:val="24"/>
            <w:lang w:val="en-US" w:eastAsia="zh-CN"/>
          </w:rPr>
          <w:t>4</w:t>
        </w:r>
      </w:ins>
      <w:r>
        <w:rPr>
          <w:rFonts w:hint="eastAsia" w:ascii="宋体" w:hAnsi="宋体"/>
          <w:color w:val="FF0000"/>
          <w:sz w:val="24"/>
        </w:rPr>
        <w:t>时</w:t>
      </w:r>
      <w:r>
        <w:rPr>
          <w:rFonts w:hint="eastAsia" w:ascii="宋体" w:hAnsi="宋体"/>
          <w:color w:val="FF0000"/>
          <w:sz w:val="24"/>
          <w:lang w:val="en-US" w:eastAsia="zh-CN"/>
        </w:rPr>
        <w:t>0</w:t>
      </w:r>
      <w:r>
        <w:rPr>
          <w:rFonts w:hint="eastAsia" w:ascii="宋体" w:hAnsi="宋体"/>
          <w:color w:val="FF0000"/>
          <w:sz w:val="24"/>
        </w:rPr>
        <w:t>分前</w:t>
      </w:r>
      <w:r>
        <w:rPr>
          <w:rFonts w:hint="eastAsia" w:ascii="宋体" w:hAnsi="宋体"/>
          <w:sz w:val="24"/>
        </w:rPr>
        <w:t>。以密封的形式提供投标文件到：广州市番禺区大学城明志街1号信息枢纽楼9楼前台。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eastAsia="宋体" w:cs="宋体"/>
          <w:sz w:val="24"/>
          <w:lang w:eastAsia="zh-CN"/>
        </w:rPr>
        <w:t>广州大学城杂用水厂水处理药剂采购</w:t>
      </w:r>
      <w:r>
        <w:rPr>
          <w:rFonts w:hint="eastAsia" w:ascii="宋体" w:hAnsi="宋体" w:eastAsia="宋体" w:cs="宋体"/>
          <w:sz w:val="24"/>
        </w:rPr>
        <w:t>”字样。投标供应商递交投标文件后，请联系采购人确认。</w:t>
      </w:r>
    </w:p>
    <w:p>
      <w:pPr>
        <w:spacing w:line="360" w:lineRule="auto"/>
        <w:ind w:firstLine="480" w:firstLineChars="200"/>
        <w:rPr>
          <w:rFonts w:hint="eastAsia" w:ascii="宋体" w:hAnsi="宋体"/>
          <w:b/>
          <w:sz w:val="24"/>
        </w:rPr>
      </w:pPr>
      <w:r>
        <w:rPr>
          <w:rFonts w:hint="eastAsia" w:ascii="宋体" w:hAnsi="宋体"/>
          <w:sz w:val="24"/>
        </w:rPr>
        <w:t>（二）投标文件逾期递交、未送达指定地点的、或未按要求密封的，采购人有权不予受理。</w:t>
      </w:r>
    </w:p>
    <w:p>
      <w:pPr>
        <w:spacing w:line="360" w:lineRule="auto"/>
        <w:ind w:firstLine="480" w:firstLineChars="200"/>
        <w:rPr>
          <w:rFonts w:ascii="宋体" w:hAnsi="宋体"/>
          <w:sz w:val="24"/>
        </w:rPr>
      </w:pPr>
      <w:r>
        <w:rPr>
          <w:rFonts w:hint="eastAsia" w:ascii="宋体" w:hAnsi="宋体"/>
          <w:sz w:val="24"/>
          <w:lang w:val="en-US" w:eastAsia="zh-CN"/>
        </w:rPr>
        <w:t>八</w:t>
      </w:r>
      <w:r>
        <w:rPr>
          <w:rFonts w:hint="eastAsia" w:ascii="宋体" w:hAnsi="宋体"/>
          <w:sz w:val="24"/>
        </w:rPr>
        <w:t>、采购人地址和联系方式</w:t>
      </w:r>
    </w:p>
    <w:p>
      <w:pPr>
        <w:pStyle w:val="24"/>
        <w:numPr>
          <w:ilvl w:val="0"/>
          <w:numId w:val="9"/>
        </w:numPr>
        <w:spacing w:line="360" w:lineRule="auto"/>
        <w:ind w:firstLineChars="0"/>
        <w:rPr>
          <w:rFonts w:ascii="宋体" w:hAnsi="宋体"/>
          <w:sz w:val="24"/>
        </w:rPr>
      </w:pPr>
      <w:r>
        <w:rPr>
          <w:rFonts w:hint="eastAsia" w:ascii="宋体" w:hAnsi="宋体"/>
          <w:sz w:val="24"/>
        </w:rPr>
        <w:t>采购单位：</w:t>
      </w:r>
      <w:r>
        <w:rPr>
          <w:rFonts w:hint="eastAsia" w:ascii="宋体" w:hAnsi="宋体"/>
          <w:sz w:val="24"/>
          <w:lang w:eastAsia="zh-CN"/>
        </w:rPr>
        <w:t>广州城投综合能源投资经营管理有限公司</w:t>
      </w:r>
    </w:p>
    <w:p>
      <w:pPr>
        <w:pStyle w:val="24"/>
        <w:numPr>
          <w:ilvl w:val="0"/>
          <w:numId w:val="9"/>
        </w:numPr>
        <w:spacing w:line="360" w:lineRule="auto"/>
        <w:ind w:firstLineChars="0"/>
        <w:rPr>
          <w:rFonts w:ascii="宋体" w:hAnsi="宋体"/>
          <w:sz w:val="24"/>
        </w:rPr>
      </w:pPr>
      <w:r>
        <w:rPr>
          <w:rFonts w:hint="eastAsia" w:ascii="宋体" w:hAnsi="宋体"/>
          <w:sz w:val="24"/>
        </w:rPr>
        <w:t>联系地址：广州市番禺区大学城明志街</w:t>
      </w:r>
      <w:bookmarkStart w:id="10" w:name="_GoBack"/>
      <w:bookmarkEnd w:id="10"/>
      <w:r>
        <w:rPr>
          <w:rFonts w:hint="eastAsia" w:ascii="宋体" w:hAnsi="宋体"/>
          <w:sz w:val="24"/>
        </w:rPr>
        <w:t>1号信息枢纽楼9楼</w:t>
      </w:r>
    </w:p>
    <w:p>
      <w:pPr>
        <w:pStyle w:val="21"/>
        <w:numPr>
          <w:ilvl w:val="0"/>
          <w:numId w:val="9"/>
        </w:numPr>
        <w:spacing w:line="360" w:lineRule="auto"/>
        <w:ind w:firstLineChars="0"/>
        <w:rPr>
          <w:rFonts w:ascii="宋体" w:hAnsi="宋体"/>
          <w:sz w:val="24"/>
        </w:rPr>
      </w:pPr>
      <w:r>
        <w:rPr>
          <w:rFonts w:hint="eastAsia" w:ascii="宋体" w:hAnsi="宋体"/>
          <w:sz w:val="24"/>
        </w:rPr>
        <w:t>联系人：詹</w:t>
      </w:r>
      <w:r>
        <w:rPr>
          <w:rFonts w:hint="eastAsia" w:ascii="宋体" w:hAnsi="宋体"/>
          <w:sz w:val="24"/>
          <w:lang w:val="en-US" w:eastAsia="zh-CN"/>
        </w:rPr>
        <w:t>小姐</w:t>
      </w:r>
      <w:r>
        <w:rPr>
          <w:rFonts w:hint="eastAsia" w:ascii="宋体" w:hAnsi="宋体"/>
          <w:sz w:val="24"/>
        </w:rPr>
        <w:t>，联系电话：020-393020</w:t>
      </w:r>
      <w:r>
        <w:rPr>
          <w:rFonts w:hint="eastAsia" w:ascii="宋体" w:hAnsi="宋体"/>
          <w:sz w:val="24"/>
          <w:lang w:val="en-US" w:eastAsia="zh-CN"/>
        </w:rPr>
        <w:t>77</w:t>
      </w:r>
      <w:r>
        <w:rPr>
          <w:rFonts w:hint="eastAsia" w:ascii="宋体" w:hAnsi="宋体"/>
          <w:sz w:val="24"/>
        </w:rPr>
        <w:t>，电子邮件：328062345@qq.com</w:t>
      </w:r>
    </w:p>
    <w:p>
      <w:pPr>
        <w:pStyle w:val="21"/>
        <w:spacing w:line="360" w:lineRule="auto"/>
        <w:ind w:firstLine="480"/>
        <w:rPr>
          <w:rFonts w:hint="eastAsia" w:ascii="宋体" w:hAnsi="宋体"/>
          <w:sz w:val="24"/>
          <w:highlight w:val="none"/>
        </w:rPr>
      </w:pPr>
      <w:r>
        <w:rPr>
          <w:rFonts w:hint="eastAsia" w:ascii="宋体" w:hAnsi="宋体"/>
          <w:sz w:val="24"/>
          <w:highlight w:val="none"/>
        </w:rPr>
        <w:t>附件1、采购需求</w:t>
      </w:r>
    </w:p>
    <w:p>
      <w:pPr>
        <w:pStyle w:val="21"/>
        <w:spacing w:line="360" w:lineRule="auto"/>
        <w:ind w:firstLine="480"/>
        <w:rPr>
          <w:rFonts w:hint="default" w:ascii="宋体" w:hAnsi="宋体" w:eastAsiaTheme="minorEastAsia"/>
          <w:sz w:val="24"/>
          <w:highlight w:val="none"/>
          <w:lang w:val="en-US" w:eastAsia="zh-CN"/>
        </w:rPr>
      </w:pPr>
      <w:r>
        <w:rPr>
          <w:rFonts w:hint="eastAsia" w:ascii="宋体" w:hAnsi="宋体"/>
          <w:sz w:val="24"/>
          <w:highlight w:val="none"/>
          <w:lang w:val="en-US" w:eastAsia="zh-CN"/>
        </w:rPr>
        <w:t>附件1.1 用户需求书</w:t>
      </w:r>
    </w:p>
    <w:p>
      <w:pPr>
        <w:pStyle w:val="21"/>
        <w:spacing w:line="360" w:lineRule="auto"/>
        <w:ind w:firstLine="480"/>
        <w:rPr>
          <w:rFonts w:hint="eastAsia" w:ascii="宋体" w:hAnsi="宋体"/>
          <w:sz w:val="24"/>
          <w:highlight w:val="none"/>
        </w:rPr>
      </w:pPr>
      <w:r>
        <w:rPr>
          <w:rFonts w:hint="eastAsia" w:ascii="宋体" w:hAnsi="宋体"/>
          <w:sz w:val="24"/>
          <w:highlight w:val="none"/>
        </w:rPr>
        <w:t>附件2报价明细表</w:t>
      </w:r>
    </w:p>
    <w:p>
      <w:pPr>
        <w:pStyle w:val="21"/>
        <w:spacing w:line="360" w:lineRule="auto"/>
        <w:ind w:firstLine="480"/>
        <w:rPr>
          <w:rFonts w:hint="eastAsia" w:ascii="宋体" w:hAnsi="宋体"/>
          <w:sz w:val="24"/>
          <w:highlight w:val="none"/>
        </w:rPr>
      </w:pPr>
      <w:r>
        <w:rPr>
          <w:rFonts w:hint="eastAsia" w:ascii="宋体" w:hAnsi="宋体"/>
          <w:sz w:val="24"/>
          <w:highlight w:val="none"/>
        </w:rPr>
        <w:t>附件3、供应商调查表</w:t>
      </w:r>
    </w:p>
    <w:p>
      <w:pPr>
        <w:pStyle w:val="21"/>
        <w:spacing w:line="360" w:lineRule="auto"/>
        <w:ind w:firstLine="480"/>
        <w:rPr>
          <w:rFonts w:hint="eastAsia" w:ascii="宋体" w:hAnsi="宋体"/>
          <w:sz w:val="24"/>
          <w:highlight w:val="none"/>
        </w:rPr>
      </w:pPr>
      <w:r>
        <w:rPr>
          <w:rFonts w:hint="eastAsia" w:ascii="宋体" w:hAnsi="宋体"/>
          <w:sz w:val="24"/>
          <w:highlight w:val="none"/>
        </w:rPr>
        <w:t>附件4、实质性要求响应表</w:t>
      </w:r>
    </w:p>
    <w:p>
      <w:pPr>
        <w:pStyle w:val="21"/>
        <w:spacing w:line="360" w:lineRule="auto"/>
        <w:ind w:firstLine="480"/>
        <w:rPr>
          <w:rFonts w:hint="eastAsia" w:ascii="宋体" w:hAnsi="宋体"/>
          <w:sz w:val="24"/>
          <w:highlight w:val="none"/>
        </w:rPr>
      </w:pPr>
      <w:r>
        <w:rPr>
          <w:rFonts w:hint="eastAsia" w:ascii="宋体" w:hAnsi="宋体"/>
          <w:sz w:val="24"/>
          <w:highlight w:val="none"/>
        </w:rPr>
        <w:t>附件5、法定代表人身份证明书</w:t>
      </w:r>
    </w:p>
    <w:p>
      <w:pPr>
        <w:pStyle w:val="21"/>
        <w:spacing w:line="360" w:lineRule="auto"/>
        <w:ind w:firstLine="480"/>
        <w:rPr>
          <w:rFonts w:hint="eastAsia" w:ascii="宋体" w:hAnsi="宋体"/>
          <w:sz w:val="24"/>
          <w:highlight w:val="none"/>
        </w:rPr>
      </w:pPr>
      <w:r>
        <w:rPr>
          <w:rFonts w:hint="eastAsia" w:ascii="宋体" w:hAnsi="宋体"/>
          <w:sz w:val="24"/>
          <w:highlight w:val="none"/>
        </w:rPr>
        <w:t>附件6、法定代表人授权委托证明书</w:t>
      </w:r>
    </w:p>
    <w:p>
      <w:pPr>
        <w:pStyle w:val="21"/>
        <w:spacing w:line="360" w:lineRule="auto"/>
        <w:ind w:firstLine="480"/>
        <w:rPr>
          <w:rFonts w:hint="eastAsia" w:ascii="宋体" w:hAnsi="宋体"/>
          <w:sz w:val="24"/>
          <w:highlight w:val="none"/>
        </w:rPr>
      </w:pPr>
      <w:r>
        <w:rPr>
          <w:rFonts w:hint="eastAsia" w:ascii="宋体" w:hAnsi="宋体"/>
          <w:sz w:val="24"/>
          <w:highlight w:val="none"/>
        </w:rPr>
        <w:t>附件7、投标</w:t>
      </w:r>
      <w:r>
        <w:rPr>
          <w:rFonts w:hint="eastAsia" w:ascii="宋体" w:hAnsi="宋体"/>
          <w:sz w:val="24"/>
          <w:highlight w:val="none"/>
          <w:lang w:val="en-US" w:eastAsia="zh-CN"/>
        </w:rPr>
        <w:t>人</w:t>
      </w:r>
      <w:r>
        <w:rPr>
          <w:rFonts w:hint="eastAsia" w:ascii="宋体" w:hAnsi="宋体"/>
          <w:sz w:val="24"/>
          <w:highlight w:val="none"/>
        </w:rPr>
        <w:t>声明函</w:t>
      </w:r>
    </w:p>
    <w:p>
      <w:pPr>
        <w:pStyle w:val="21"/>
        <w:spacing w:line="360" w:lineRule="auto"/>
        <w:ind w:firstLine="480"/>
        <w:rPr>
          <w:rFonts w:hint="eastAsia" w:ascii="宋体" w:hAnsi="宋体"/>
          <w:sz w:val="24"/>
          <w:highlight w:val="none"/>
        </w:rPr>
      </w:pPr>
      <w:r>
        <w:rPr>
          <w:rFonts w:hint="eastAsia" w:ascii="宋体" w:hAnsi="宋体"/>
          <w:sz w:val="24"/>
          <w:highlight w:val="none"/>
        </w:rPr>
        <w:t>附件8、投标</w:t>
      </w:r>
      <w:r>
        <w:rPr>
          <w:rFonts w:hint="eastAsia" w:ascii="宋体" w:hAnsi="宋体"/>
          <w:sz w:val="24"/>
          <w:highlight w:val="none"/>
          <w:lang w:val="en-US" w:eastAsia="zh-CN"/>
        </w:rPr>
        <w:t>人</w:t>
      </w:r>
      <w:r>
        <w:rPr>
          <w:rFonts w:hint="eastAsia" w:ascii="宋体" w:hAnsi="宋体"/>
          <w:sz w:val="24"/>
          <w:highlight w:val="none"/>
        </w:rPr>
        <w:t>承诺函</w:t>
      </w:r>
    </w:p>
    <w:p>
      <w:pPr>
        <w:pStyle w:val="21"/>
        <w:spacing w:line="360" w:lineRule="auto"/>
        <w:ind w:firstLine="480"/>
        <w:rPr>
          <w:rFonts w:hint="eastAsia" w:ascii="宋体" w:hAnsi="宋体"/>
          <w:sz w:val="24"/>
          <w:highlight w:val="none"/>
        </w:rPr>
      </w:pPr>
      <w:r>
        <w:rPr>
          <w:rFonts w:hint="eastAsia" w:ascii="宋体" w:hAnsi="宋体"/>
          <w:sz w:val="24"/>
          <w:highlight w:val="none"/>
        </w:rPr>
        <w:t>附件9、资格性和有效性审查表</w:t>
      </w:r>
    </w:p>
    <w:p>
      <w:pPr>
        <w:pStyle w:val="21"/>
        <w:spacing w:line="360" w:lineRule="auto"/>
        <w:ind w:firstLine="2880" w:firstLineChars="1200"/>
        <w:jc w:val="both"/>
        <w:rPr>
          <w:rFonts w:hint="eastAsia" w:ascii="宋体" w:hAnsi="宋体" w:eastAsiaTheme="minorEastAsia"/>
          <w:sz w:val="24"/>
          <w:lang w:eastAsia="zh-CN"/>
        </w:rPr>
      </w:pPr>
      <w:r>
        <w:rPr>
          <w:rFonts w:hint="eastAsia" w:ascii="宋体" w:hAnsi="宋体"/>
          <w:sz w:val="24"/>
        </w:rPr>
        <w:t>采购人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广州城投综合能源投资经营管理有限公司</w:t>
      </w:r>
    </w:p>
    <w:p>
      <w:pPr>
        <w:pStyle w:val="21"/>
        <w:spacing w:line="360" w:lineRule="auto"/>
        <w:ind w:right="960" w:firstLine="4260" w:firstLineChars="1775"/>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del w:id="4" w:author="詹映静" w:date="2025-08-14T11:33:38Z">
        <w:r>
          <w:rPr>
            <w:rFonts w:hint="default" w:ascii="宋体" w:hAnsi="宋体"/>
            <w:sz w:val="24"/>
            <w:lang w:val="en-US" w:eastAsia="zh-CN"/>
          </w:rPr>
          <w:delText xml:space="preserve">  </w:delText>
        </w:r>
      </w:del>
      <w:ins w:id="5" w:author="詹映静" w:date="2025-08-14T11:33:38Z">
        <w:r>
          <w:rPr>
            <w:rFonts w:hint="eastAsia" w:ascii="宋体" w:hAnsi="宋体"/>
            <w:sz w:val="24"/>
            <w:lang w:val="en-US" w:eastAsia="zh-CN"/>
          </w:rPr>
          <w:t>1</w:t>
        </w:r>
      </w:ins>
      <w:ins w:id="6" w:author="詹映静" w:date="2025-08-14T11:33:39Z">
        <w:r>
          <w:rPr>
            <w:rFonts w:hint="eastAsia" w:ascii="宋体" w:hAnsi="宋体"/>
            <w:sz w:val="24"/>
            <w:lang w:val="en-US" w:eastAsia="zh-CN"/>
          </w:rPr>
          <w:t>4</w:t>
        </w:r>
      </w:ins>
      <w:r>
        <w:rPr>
          <w:rFonts w:hint="eastAsia" w:ascii="宋体" w:hAnsi="宋体"/>
          <w:sz w:val="24"/>
        </w:rPr>
        <w:t>日</w:t>
      </w:r>
    </w:p>
    <w:p>
      <w:pPr>
        <w:widowControl/>
        <w:spacing w:line="240" w:lineRule="auto"/>
        <w:jc w:val="left"/>
        <w:rPr>
          <w:rFonts w:ascii="宋体" w:hAnsi="宋体"/>
          <w:sz w:val="32"/>
        </w:rPr>
      </w:pPr>
      <w:r>
        <w:rPr>
          <w:rFonts w:ascii="宋体" w:hAnsi="宋体"/>
          <w:sz w:val="32"/>
        </w:rPr>
        <w:br w:type="page"/>
      </w:r>
      <w:r>
        <w:rPr>
          <w:rFonts w:hint="eastAsia" w:ascii="宋体" w:hAnsi="宋体"/>
          <w:sz w:val="32"/>
        </w:rPr>
        <w:t>附件1：</w:t>
      </w:r>
    </w:p>
    <w:p>
      <w:pPr>
        <w:widowControl/>
        <w:jc w:val="center"/>
        <w:rPr>
          <w:rFonts w:ascii="宋体" w:hAnsi="宋体"/>
          <w:sz w:val="32"/>
        </w:rPr>
      </w:pPr>
      <w:r>
        <w:rPr>
          <w:rFonts w:hint="eastAsia" w:ascii="宋体" w:hAnsi="宋体"/>
          <w:sz w:val="32"/>
        </w:rPr>
        <w:t>采购需求</w:t>
      </w:r>
    </w:p>
    <w:p>
      <w:pPr>
        <w:numPr>
          <w:ilvl w:val="0"/>
          <w:numId w:val="10"/>
        </w:numPr>
        <w:tabs>
          <w:tab w:val="left" w:pos="420"/>
        </w:tabs>
        <w:spacing w:line="360" w:lineRule="auto"/>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pPr>
      <w:r>
        <w:rPr>
          <w:rFonts w:hint="eastAsia" w:ascii="宋体" w:hAnsi="宋体"/>
          <w:sz w:val="24"/>
        </w:rPr>
        <w:t>资质要求</w:t>
      </w:r>
    </w:p>
    <w:p>
      <w:pPr>
        <w:numPr>
          <w:ilvl w:val="0"/>
          <w:numId w:val="11"/>
        </w:numPr>
        <w:tabs>
          <w:tab w:val="left" w:pos="420"/>
        </w:tabs>
        <w:spacing w:line="360" w:lineRule="auto"/>
        <w:ind w:left="0" w:leftChars="0" w:firstLine="960" w:firstLineChars="400"/>
        <w:rPr>
          <w:rFonts w:hint="eastAsia" w:ascii="宋体" w:hAnsi="宋体"/>
          <w:sz w:val="24"/>
          <w:lang w:eastAsia="zh-CN"/>
        </w:rPr>
      </w:pPr>
      <w:r>
        <w:rPr>
          <w:rFonts w:hint="eastAsia" w:ascii="宋体" w:hAnsi="宋体" w:eastAsia="宋体" w:cs="宋体"/>
          <w:sz w:val="24"/>
          <w:szCs w:val="24"/>
          <w:highlight w:val="none"/>
          <w:lang w:eastAsia="zh-CN"/>
        </w:rPr>
        <w:t>投标人必须</w:t>
      </w:r>
      <w:r>
        <w:rPr>
          <w:rFonts w:hint="eastAsia" w:ascii="宋体" w:hAnsi="宋体" w:eastAsia="宋体" w:cs="宋体"/>
          <w:sz w:val="24"/>
          <w:szCs w:val="24"/>
          <w:highlight w:val="none"/>
          <w:lang w:val="en-US" w:eastAsia="zh-CN"/>
        </w:rPr>
        <w:t>具备危化品生产或经营销售许可证</w:t>
      </w:r>
      <w:r>
        <w:rPr>
          <w:rFonts w:hint="eastAsia" w:ascii="宋体" w:hAnsi="宋体"/>
          <w:sz w:val="24"/>
          <w:lang w:eastAsia="zh-CN"/>
        </w:rPr>
        <w:t>；</w:t>
      </w:r>
    </w:p>
    <w:p>
      <w:pPr>
        <w:pStyle w:val="2"/>
        <w:numPr>
          <w:ilvl w:val="0"/>
          <w:numId w:val="11"/>
        </w:numPr>
        <w:ind w:firstLine="960" w:firstLineChars="4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投标人必须</w:t>
      </w:r>
      <w:r>
        <w:rPr>
          <w:rFonts w:hint="eastAsia" w:ascii="宋体" w:hAnsi="宋体" w:eastAsia="宋体" w:cs="宋体"/>
          <w:sz w:val="24"/>
          <w:szCs w:val="24"/>
          <w:highlight w:val="none"/>
          <w:lang w:val="en-US" w:eastAsia="zh-CN"/>
        </w:rPr>
        <w:t>提供所投标报价产品质量检测报告；且提供次氯酸钠涉水卫生许可批件；</w:t>
      </w:r>
    </w:p>
    <w:p>
      <w:pPr>
        <w:numPr>
          <w:ilvl w:val="0"/>
          <w:numId w:val="10"/>
        </w:numPr>
        <w:tabs>
          <w:tab w:val="left" w:pos="420"/>
        </w:tabs>
        <w:spacing w:line="360" w:lineRule="auto"/>
        <w:ind w:left="420" w:leftChars="200"/>
      </w:pPr>
      <w:r>
        <w:rPr>
          <w:rFonts w:hint="eastAsia"/>
          <w:lang w:val="en-US" w:eastAsia="zh-CN"/>
        </w:rPr>
        <w:t>业绩</w:t>
      </w:r>
    </w:p>
    <w:p>
      <w:pPr>
        <w:spacing w:line="360" w:lineRule="auto"/>
        <w:ind w:firstLine="480" w:firstLineChars="200"/>
        <w:rPr>
          <w:rFonts w:ascii="宋体" w:hAnsi="宋体"/>
          <w:sz w:val="24"/>
        </w:rPr>
      </w:pPr>
      <w:r>
        <w:rPr>
          <w:rFonts w:hint="eastAsia" w:ascii="宋体" w:hAnsi="宋体"/>
          <w:sz w:val="24"/>
        </w:rPr>
        <w:t>投标人近3年内(2022年1月1日至今)具有类似与供水企业供货业绩，提供合同关键页复印件，包括但不限于项目名称、金额及实施内容、合同盖章、签订日期，加盖单位公章；</w:t>
      </w:r>
    </w:p>
    <w:p>
      <w:pPr>
        <w:numPr>
          <w:ilvl w:val="0"/>
          <w:numId w:val="10"/>
        </w:numPr>
        <w:tabs>
          <w:tab w:val="left" w:pos="420"/>
        </w:tabs>
        <w:spacing w:line="360" w:lineRule="auto"/>
        <w:ind w:left="420" w:leftChars="200" w:firstLine="0"/>
        <w:rPr>
          <w:sz w:val="24"/>
        </w:rPr>
      </w:pPr>
      <w:r>
        <w:rPr>
          <w:rFonts w:hint="eastAsia" w:ascii="宋体" w:hAnsi="宋体"/>
          <w:sz w:val="24"/>
        </w:rPr>
        <w:t>需求内容</w:t>
      </w:r>
    </w:p>
    <w:p>
      <w:pPr>
        <w:numPr>
          <w:ilvl w:val="0"/>
          <w:numId w:val="12"/>
        </w:numPr>
        <w:tabs>
          <w:tab w:val="left" w:pos="420"/>
        </w:tabs>
        <w:spacing w:line="360" w:lineRule="auto"/>
        <w:rPr>
          <w:sz w:val="24"/>
        </w:rPr>
      </w:pPr>
      <w:r>
        <w:rPr>
          <w:rFonts w:hint="eastAsia" w:ascii="宋体" w:hAnsi="宋体"/>
          <w:sz w:val="24"/>
          <w:lang w:eastAsia="zh-CN"/>
        </w:rPr>
        <w:t>广州大学城杂用水厂水处理药剂采购</w:t>
      </w:r>
      <w:r>
        <w:rPr>
          <w:rFonts w:hint="eastAsia" w:ascii="宋体" w:hAnsi="宋体"/>
          <w:sz w:val="24"/>
        </w:rPr>
        <w:t>清单</w:t>
      </w:r>
    </w:p>
    <w:tbl>
      <w:tblPr>
        <w:tblStyle w:val="19"/>
        <w:tblW w:w="9372" w:type="dxa"/>
        <w:tblInd w:w="-850" w:type="dxa"/>
        <w:tblLayout w:type="fixed"/>
        <w:tblCellMar>
          <w:top w:w="0" w:type="dxa"/>
          <w:left w:w="108" w:type="dxa"/>
          <w:bottom w:w="0" w:type="dxa"/>
          <w:right w:w="108" w:type="dxa"/>
        </w:tblCellMar>
      </w:tblPr>
      <w:tblGrid>
        <w:gridCol w:w="696"/>
        <w:gridCol w:w="1411"/>
        <w:gridCol w:w="3875"/>
        <w:gridCol w:w="1018"/>
        <w:gridCol w:w="1196"/>
        <w:gridCol w:w="1176"/>
      </w:tblGrid>
      <w:tr>
        <w:tblPrEx>
          <w:tblLayout w:type="fixed"/>
          <w:tblCellMar>
            <w:top w:w="0" w:type="dxa"/>
            <w:left w:w="108" w:type="dxa"/>
            <w:bottom w:w="0" w:type="dxa"/>
            <w:right w:w="108" w:type="dxa"/>
          </w:tblCellMar>
        </w:tblPrEx>
        <w:trPr>
          <w:trHeight w:val="675" w:hRule="atLeast"/>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41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产品名称</w:t>
            </w:r>
          </w:p>
        </w:tc>
        <w:tc>
          <w:tcPr>
            <w:tcW w:w="387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101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119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117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备注</w:t>
            </w:r>
          </w:p>
        </w:tc>
      </w:tr>
      <w:tr>
        <w:tblPrEx>
          <w:tblLayout w:type="fixed"/>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rPr>
            </w:pPr>
            <w:r>
              <w:rPr>
                <w:rFonts w:hint="eastAsia"/>
                <w:sz w:val="22"/>
                <w:szCs w:val="22"/>
              </w:rPr>
              <w:t>1</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rPr>
            </w:pPr>
            <w:r>
              <w:rPr>
                <w:rFonts w:ascii="微软雅黑" w:hAnsi="微软雅黑" w:eastAsia="微软雅黑" w:cs="微软雅黑"/>
                <w:i w:val="0"/>
                <w:caps w:val="0"/>
                <w:color w:val="333333"/>
                <w:spacing w:val="0"/>
                <w:sz w:val="21"/>
                <w:szCs w:val="21"/>
                <w:highlight w:val="none"/>
              </w:rPr>
              <w:t>次氯酸钠</w:t>
            </w:r>
          </w:p>
        </w:tc>
        <w:tc>
          <w:tcPr>
            <w:tcW w:w="38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rPr>
            </w:pPr>
            <w:r>
              <w:rPr>
                <w:rFonts w:ascii="微软雅黑" w:hAnsi="微软雅黑" w:eastAsia="微软雅黑" w:cs="微软雅黑"/>
                <w:i w:val="0"/>
                <w:caps w:val="0"/>
                <w:color w:val="333333"/>
                <w:spacing w:val="0"/>
                <w:sz w:val="21"/>
                <w:szCs w:val="21"/>
                <w:highlight w:val="none"/>
              </w:rPr>
              <w:t>有效氯（以CI计）≥10%；游离碱(以Na0H计)0.1-1.0%；铁(Fe)≤0.005，重金属(以Pb计)≤0.001；砷(As)≤0.0001，A-II型，</w:t>
            </w:r>
            <w:r>
              <w:rPr>
                <w:rFonts w:hint="eastAsia" w:ascii="微软雅黑" w:hAnsi="微软雅黑" w:eastAsia="微软雅黑" w:cs="微软雅黑"/>
                <w:i w:val="0"/>
                <w:caps w:val="0"/>
                <w:color w:val="333333"/>
                <w:spacing w:val="0"/>
                <w:sz w:val="21"/>
                <w:szCs w:val="21"/>
                <w:highlight w:val="none"/>
                <w:lang w:val="en-US" w:eastAsia="zh-CN"/>
              </w:rPr>
              <w:t>具体要求详见附件1.1</w:t>
            </w:r>
          </w:p>
        </w:tc>
        <w:tc>
          <w:tcPr>
            <w:tcW w:w="101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eastAsiaTheme="minorEastAsia"/>
                <w:sz w:val="22"/>
                <w:szCs w:val="22"/>
                <w:highlight w:val="none"/>
                <w:lang w:eastAsia="zh-CN"/>
              </w:rPr>
            </w:pPr>
            <w:r>
              <w:rPr>
                <w:rFonts w:hint="eastAsia" w:ascii="宋体" w:hAnsi="宋体" w:eastAsia="宋体" w:cs="宋体"/>
                <w:i w:val="0"/>
                <w:color w:val="000000"/>
                <w:kern w:val="0"/>
                <w:sz w:val="22"/>
                <w:szCs w:val="22"/>
                <w:u w:val="none"/>
                <w:lang w:val="en-US" w:eastAsia="zh-CN" w:bidi="ar"/>
              </w:rPr>
              <w:t>吨</w:t>
            </w:r>
          </w:p>
        </w:tc>
        <w:tc>
          <w:tcPr>
            <w:tcW w:w="119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ascii="宋体" w:hAnsi="宋体" w:eastAsia="宋体" w:cs="宋体"/>
                <w:i w:val="0"/>
                <w:color w:val="000000"/>
                <w:kern w:val="0"/>
                <w:sz w:val="22"/>
                <w:szCs w:val="22"/>
                <w:u w:val="none"/>
                <w:lang w:val="en-US" w:eastAsia="zh-CN" w:bidi="ar"/>
              </w:rPr>
              <w:t>70</w:t>
            </w:r>
          </w:p>
        </w:tc>
        <w:tc>
          <w:tcPr>
            <w:tcW w:w="1176" w:type="dxa"/>
            <w:tcBorders>
              <w:top w:val="single" w:color="auto" w:sz="4" w:space="0"/>
              <w:left w:val="nil"/>
              <w:bottom w:val="single" w:color="auto" w:sz="4" w:space="0"/>
              <w:right w:val="single" w:color="auto" w:sz="4" w:space="0"/>
              <w:tl2br w:val="nil"/>
              <w:tr2bl w:val="nil"/>
            </w:tcBorders>
            <w:vAlign w:val="center"/>
          </w:tcPr>
          <w:p>
            <w:pPr>
              <w:widowControl/>
              <w:jc w:val="center"/>
            </w:pPr>
            <w:r>
              <w:rPr>
                <w:rFonts w:hint="eastAsia"/>
                <w:sz w:val="20"/>
                <w:szCs w:val="20"/>
              </w:rPr>
              <w:t>　</w:t>
            </w:r>
          </w:p>
        </w:tc>
      </w:tr>
      <w:tr>
        <w:tblPrEx>
          <w:tblLayout w:type="fixed"/>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eastAsiaTheme="minorEastAsia"/>
                <w:sz w:val="22"/>
                <w:szCs w:val="22"/>
                <w:lang w:val="en-US" w:eastAsia="zh-CN"/>
              </w:rPr>
            </w:pPr>
            <w:r>
              <w:rPr>
                <w:rFonts w:hint="eastAsia"/>
                <w:sz w:val="22"/>
                <w:szCs w:val="22"/>
                <w:lang w:val="en-US" w:eastAsia="zh-CN"/>
              </w:rPr>
              <w:t>2</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微软雅黑" w:hAnsi="微软雅黑" w:eastAsia="微软雅黑" w:cs="微软雅黑"/>
                <w:i w:val="0"/>
                <w:caps w:val="0"/>
                <w:color w:val="333333"/>
                <w:spacing w:val="0"/>
                <w:sz w:val="21"/>
                <w:szCs w:val="21"/>
                <w:highlight w:val="none"/>
              </w:rPr>
            </w:pPr>
          </w:p>
          <w:p>
            <w:pPr>
              <w:widowControl/>
              <w:jc w:val="center"/>
              <w:rPr>
                <w:rFonts w:ascii="微软雅黑" w:hAnsi="微软雅黑" w:eastAsia="微软雅黑" w:cs="微软雅黑"/>
                <w:i w:val="0"/>
                <w:caps w:val="0"/>
                <w:color w:val="333333"/>
                <w:spacing w:val="0"/>
                <w:sz w:val="21"/>
                <w:szCs w:val="21"/>
                <w:highlight w:val="none"/>
              </w:rPr>
            </w:pPr>
          </w:p>
          <w:p>
            <w:pPr>
              <w:widowControl/>
              <w:jc w:val="center"/>
              <w:rPr>
                <w:rFonts w:ascii="微软雅黑" w:hAnsi="微软雅黑" w:eastAsia="微软雅黑" w:cs="微软雅黑"/>
                <w:i w:val="0"/>
                <w:caps w:val="0"/>
                <w:color w:val="333333"/>
                <w:spacing w:val="0"/>
                <w:sz w:val="21"/>
                <w:szCs w:val="21"/>
                <w:highlight w:val="none"/>
              </w:rPr>
            </w:pPr>
          </w:p>
          <w:p>
            <w:pPr>
              <w:widowControl/>
              <w:jc w:val="center"/>
              <w:rPr>
                <w:sz w:val="22"/>
                <w:szCs w:val="22"/>
                <w:highlight w:val="none"/>
              </w:rPr>
            </w:pPr>
            <w:r>
              <w:rPr>
                <w:rFonts w:ascii="微软雅黑" w:hAnsi="微软雅黑" w:eastAsia="微软雅黑" w:cs="微软雅黑"/>
                <w:i w:val="0"/>
                <w:caps w:val="0"/>
                <w:color w:val="333333"/>
                <w:spacing w:val="0"/>
                <w:sz w:val="21"/>
                <w:szCs w:val="21"/>
                <w:highlight w:val="none"/>
              </w:rPr>
              <w:t>聚氯化铝</w:t>
            </w:r>
          </w:p>
        </w:tc>
        <w:tc>
          <w:tcPr>
            <w:tcW w:w="387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氧化铝</w:t>
            </w:r>
            <w:r>
              <w:rPr>
                <w:rFonts w:hint="eastAsia" w:ascii="微软雅黑" w:hAnsi="微软雅黑" w:eastAsia="微软雅黑" w:cs="微软雅黑"/>
                <w:i w:val="0"/>
                <w:caps w:val="0"/>
                <w:color w:val="333333"/>
                <w:spacing w:val="0"/>
                <w:sz w:val="21"/>
                <w:szCs w:val="21"/>
                <w:highlight w:val="none"/>
                <w:lang w:eastAsia="zh-CN"/>
              </w:rPr>
              <w:t>（</w:t>
            </w:r>
            <w:r>
              <w:rPr>
                <w:rFonts w:hint="eastAsia" w:ascii="宋体" w:hAnsi="宋体" w:eastAsia="宋体" w:cs="宋体"/>
                <w:snapToGrid/>
                <w:color w:val="auto"/>
                <w:kern w:val="2"/>
                <w:sz w:val="21"/>
                <w:szCs w:val="21"/>
                <w:highlight w:val="none"/>
                <w:lang w:val="en-US" w:eastAsia="zh-CN" w:bidi="ar"/>
              </w:rPr>
              <w:t>Al₂O₃</w:t>
            </w:r>
            <w:r>
              <w:rPr>
                <w:rFonts w:ascii="微软雅黑" w:hAnsi="微软雅黑" w:eastAsia="微软雅黑" w:cs="微软雅黑"/>
                <w:i w:val="0"/>
                <w:caps w:val="0"/>
                <w:color w:val="333333"/>
                <w:spacing w:val="0"/>
                <w:sz w:val="21"/>
                <w:szCs w:val="21"/>
                <w:highlight w:val="none"/>
              </w:rPr>
              <w:t>)的质量分数/%≥28</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盐基度/%20-98</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不溶物的质量分数/%≤0.4</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pH 值(10 g/ 水溶液)3.5-5.0</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铁(Fe)的质量分数/%≤1.5</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氨氮(以 N计)的质量分数/%≤0.05</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砷(As)的质量分数/%≤0.0005</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铅(Pb)的质量分数</w:t>
            </w:r>
            <w:r>
              <w:rPr>
                <w:rFonts w:hint="eastAsia" w:ascii="宋体" w:hAnsi="宋体" w:eastAsia="宋体" w:cs="宋体"/>
                <w:i w:val="0"/>
                <w:color w:val="000000"/>
                <w:kern w:val="0"/>
                <w:sz w:val="22"/>
                <w:szCs w:val="22"/>
                <w:highlight w:val="none"/>
                <w:u w:val="none"/>
                <w:lang w:val="en-US" w:eastAsia="zh-CN" w:bidi="ar"/>
              </w:rPr>
              <w:t>吨</w:t>
            </w:r>
            <w:r>
              <w:rPr>
                <w:rFonts w:ascii="微软雅黑" w:hAnsi="微软雅黑" w:eastAsia="微软雅黑" w:cs="微软雅黑"/>
                <w:i w:val="0"/>
                <w:caps w:val="0"/>
                <w:color w:val="333333"/>
                <w:spacing w:val="0"/>
                <w:sz w:val="21"/>
                <w:szCs w:val="21"/>
                <w:highlight w:val="none"/>
              </w:rPr>
              <w:t>/%≤0.002</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镉(Cd)的质量分数/%≤0.0005</w:t>
            </w:r>
          </w:p>
          <w:p>
            <w:pPr>
              <w:widowControl/>
              <w:jc w:val="center"/>
              <w:rPr>
                <w:rFonts w:ascii="微软雅黑" w:hAnsi="微软雅黑" w:eastAsia="微软雅黑" w:cs="微软雅黑"/>
                <w:i w:val="0"/>
                <w:caps w:val="0"/>
                <w:color w:val="333333"/>
                <w:spacing w:val="0"/>
                <w:sz w:val="21"/>
                <w:szCs w:val="21"/>
                <w:highlight w:val="none"/>
              </w:rPr>
            </w:pPr>
            <w:r>
              <w:rPr>
                <w:rFonts w:ascii="微软雅黑" w:hAnsi="微软雅黑" w:eastAsia="微软雅黑" w:cs="微软雅黑"/>
                <w:i w:val="0"/>
                <w:caps w:val="0"/>
                <w:color w:val="333333"/>
                <w:spacing w:val="0"/>
                <w:sz w:val="21"/>
                <w:szCs w:val="21"/>
                <w:highlight w:val="none"/>
              </w:rPr>
              <w:t>汞(Hg)的质量分数/%≤0.00005</w:t>
            </w:r>
          </w:p>
          <w:p>
            <w:pPr>
              <w:widowControl/>
              <w:jc w:val="center"/>
              <w:rPr>
                <w:rFonts w:hint="eastAsia" w:ascii="微软雅黑" w:hAnsi="微软雅黑" w:eastAsia="微软雅黑" w:cs="微软雅黑"/>
                <w:i w:val="0"/>
                <w:caps w:val="0"/>
                <w:color w:val="333333"/>
                <w:spacing w:val="0"/>
                <w:sz w:val="21"/>
                <w:szCs w:val="21"/>
                <w:highlight w:val="none"/>
                <w:lang w:eastAsia="zh-CN"/>
              </w:rPr>
            </w:pPr>
            <w:r>
              <w:rPr>
                <w:rFonts w:ascii="微软雅黑" w:hAnsi="微软雅黑" w:eastAsia="微软雅黑" w:cs="微软雅黑"/>
                <w:i w:val="0"/>
                <w:caps w:val="0"/>
                <w:color w:val="333333"/>
                <w:spacing w:val="0"/>
                <w:sz w:val="21"/>
                <w:szCs w:val="21"/>
                <w:highlight w:val="none"/>
              </w:rPr>
              <w:t>铬(Cn)的质量分数/%≤0.005</w:t>
            </w:r>
          </w:p>
          <w:p>
            <w:pPr>
              <w:widowControl/>
              <w:jc w:val="center"/>
              <w:rPr>
                <w:sz w:val="22"/>
                <w:szCs w:val="22"/>
                <w:highlight w:val="none"/>
              </w:rPr>
            </w:pPr>
            <w:r>
              <w:rPr>
                <w:rFonts w:hint="eastAsia" w:ascii="微软雅黑" w:hAnsi="微软雅黑" w:eastAsia="微软雅黑" w:cs="微软雅黑"/>
                <w:i w:val="0"/>
                <w:caps w:val="0"/>
                <w:color w:val="333333"/>
                <w:spacing w:val="0"/>
                <w:sz w:val="21"/>
                <w:szCs w:val="21"/>
                <w:highlight w:val="none"/>
                <w:lang w:val="en-US" w:eastAsia="zh-CN"/>
              </w:rPr>
              <w:t>具体要求详见附件1.1</w:t>
            </w:r>
          </w:p>
        </w:tc>
        <w:tc>
          <w:tcPr>
            <w:tcW w:w="101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2"/>
                <w:szCs w:val="22"/>
                <w:u w:val="none"/>
                <w:lang w:val="en-US" w:eastAsia="zh-CN" w:bidi="ar"/>
              </w:rPr>
              <w:t>吨</w:t>
            </w:r>
          </w:p>
        </w:tc>
        <w:tc>
          <w:tcPr>
            <w:tcW w:w="119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2"/>
                <w:szCs w:val="22"/>
                <w:u w:val="none"/>
                <w:lang w:val="en-US" w:eastAsia="zh-CN" w:bidi="ar"/>
              </w:rPr>
              <w:t>80</w:t>
            </w:r>
          </w:p>
        </w:tc>
        <w:tc>
          <w:tcPr>
            <w:tcW w:w="1176" w:type="dxa"/>
            <w:tcBorders>
              <w:top w:val="single" w:color="auto" w:sz="4" w:space="0"/>
              <w:left w:val="nil"/>
              <w:bottom w:val="single" w:color="auto" w:sz="4" w:space="0"/>
              <w:right w:val="single" w:color="auto" w:sz="4" w:space="0"/>
              <w:tl2br w:val="nil"/>
              <w:tr2bl w:val="nil"/>
            </w:tcBorders>
            <w:vAlign w:val="center"/>
          </w:tcPr>
          <w:p>
            <w:pPr>
              <w:widowControl/>
              <w:jc w:val="center"/>
            </w:pPr>
          </w:p>
        </w:tc>
      </w:tr>
      <w:tr>
        <w:tblPrEx>
          <w:tblLayout w:type="fixed"/>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rPr>
            </w:pP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rPr>
            </w:pPr>
          </w:p>
        </w:tc>
        <w:tc>
          <w:tcPr>
            <w:tcW w:w="3875"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sz w:val="22"/>
                <w:szCs w:val="22"/>
              </w:rPr>
            </w:pPr>
            <w:r>
              <w:rPr>
                <w:rFonts w:hint="eastAsia"/>
                <w:sz w:val="22"/>
                <w:szCs w:val="22"/>
              </w:rPr>
              <w:t>合计</w:t>
            </w:r>
          </w:p>
        </w:tc>
        <w:tc>
          <w:tcPr>
            <w:tcW w:w="101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rPr>
            </w:pPr>
          </w:p>
        </w:tc>
        <w:tc>
          <w:tcPr>
            <w:tcW w:w="1196"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rPr>
            </w:pPr>
          </w:p>
        </w:tc>
        <w:tc>
          <w:tcPr>
            <w:tcW w:w="1176" w:type="dxa"/>
            <w:tcBorders>
              <w:top w:val="single" w:color="auto" w:sz="4" w:space="0"/>
              <w:left w:val="nil"/>
              <w:bottom w:val="single" w:color="auto" w:sz="4" w:space="0"/>
              <w:right w:val="single" w:color="auto" w:sz="4" w:space="0"/>
              <w:tl2br w:val="nil"/>
              <w:tr2bl w:val="nil"/>
            </w:tcBorders>
            <w:vAlign w:val="center"/>
          </w:tcPr>
          <w:p>
            <w:pPr>
              <w:widowControl/>
              <w:jc w:val="center"/>
            </w:pPr>
          </w:p>
        </w:tc>
      </w:tr>
    </w:tbl>
    <w:p>
      <w:pPr>
        <w:spacing w:line="360" w:lineRule="auto"/>
        <w:rPr>
          <w:sz w:val="24"/>
        </w:rPr>
      </w:pPr>
    </w:p>
    <w:p>
      <w:pPr>
        <w:numPr>
          <w:ilvl w:val="0"/>
          <w:numId w:val="13"/>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w:t>
      </w:r>
      <w:r>
        <w:rPr>
          <w:rFonts w:hint="eastAsia" w:ascii="宋体" w:hAnsi="宋体"/>
          <w:sz w:val="24"/>
          <w:lang w:val="en-US" w:eastAsia="zh-CN"/>
        </w:rPr>
        <w:t>全部</w:t>
      </w:r>
      <w:r>
        <w:rPr>
          <w:rFonts w:hint="eastAsia" w:ascii="宋体" w:hAnsi="宋体"/>
          <w:sz w:val="24"/>
        </w:rPr>
        <w:t>人工、材料、随机零配件、标配工具、相关辅件、组件、包装运输至交货地（含装卸）、利润、税费</w:t>
      </w:r>
      <w:r>
        <w:rPr>
          <w:rFonts w:hint="eastAsia" w:ascii="宋体" w:hAnsi="宋体"/>
          <w:kern w:val="0"/>
          <w:sz w:val="24"/>
        </w:rPr>
        <w:t>（包括关税、增值税专用发票等）</w:t>
      </w:r>
      <w:r>
        <w:rPr>
          <w:rFonts w:hint="eastAsia" w:ascii="宋体" w:hAnsi="宋体"/>
          <w:sz w:val="24"/>
          <w:highlight w:val="none"/>
        </w:rPr>
        <w:t>、</w:t>
      </w:r>
      <w:r>
        <w:rPr>
          <w:rFonts w:hint="eastAsia" w:ascii="宋体" w:hAnsi="宋体"/>
          <w:sz w:val="24"/>
        </w:rPr>
        <w:t>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w:t>
      </w: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pPr>
        <w:numPr>
          <w:ilvl w:val="0"/>
          <w:numId w:val="12"/>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pPr>
        <w:spacing w:line="360" w:lineRule="auto"/>
        <w:ind w:firstLine="480" w:firstLineChars="200"/>
        <w:rPr>
          <w:rFonts w:ascii="宋体" w:hAnsi="宋体"/>
          <w:sz w:val="24"/>
        </w:rPr>
      </w:pPr>
      <w:r>
        <w:rPr>
          <w:rFonts w:hint="eastAsia" w:ascii="宋体" w:hAnsi="宋体"/>
          <w:sz w:val="24"/>
        </w:rPr>
        <w:t>供应商应提供所代表品牌厂商原装的、全新的、未使用过的、符合国家、行业及采购需求书提出的有关质量标准的货物。</w:t>
      </w:r>
    </w:p>
    <w:p>
      <w:pPr>
        <w:numPr>
          <w:ilvl w:val="0"/>
          <w:numId w:val="12"/>
        </w:numPr>
        <w:tabs>
          <w:tab w:val="left" w:pos="420"/>
        </w:tabs>
        <w:spacing w:line="360" w:lineRule="auto"/>
        <w:rPr>
          <w:rFonts w:ascii="宋体" w:hAnsi="宋体"/>
          <w:sz w:val="24"/>
        </w:rPr>
      </w:pPr>
      <w:r>
        <w:rPr>
          <w:rFonts w:hint="eastAsia" w:ascii="宋体" w:hAnsi="宋体"/>
          <w:sz w:val="24"/>
        </w:rPr>
        <w:t>特别说明</w:t>
      </w:r>
    </w:p>
    <w:p>
      <w:pPr>
        <w:numPr>
          <w:ilvl w:val="0"/>
          <w:numId w:val="14"/>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rPr>
      </w:pPr>
      <w:r>
        <w:rPr>
          <w:rFonts w:hint="eastAsia" w:ascii="宋体" w:hAnsi="宋体"/>
          <w:kern w:val="0"/>
          <w:sz w:val="24"/>
        </w:rPr>
        <w:t>交货要求</w:t>
      </w:r>
    </w:p>
    <w:p>
      <w:pPr>
        <w:tabs>
          <w:tab w:val="left" w:pos="42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项目</w:t>
      </w:r>
      <w:r>
        <w:rPr>
          <w:rFonts w:hint="eastAsia" w:ascii="宋体" w:hAnsi="宋体"/>
          <w:sz w:val="24"/>
        </w:rPr>
        <w:t>地点：广州市番禺区大学城外环西路螺旋三路12号广州大学城杂用水厂</w:t>
      </w:r>
    </w:p>
    <w:p>
      <w:pPr>
        <w:tabs>
          <w:tab w:val="left" w:pos="420"/>
        </w:tabs>
        <w:spacing w:line="360" w:lineRule="auto"/>
        <w:ind w:firstLine="480" w:firstLineChars="200"/>
        <w:rPr>
          <w:rFonts w:ascii="宋体" w:hAnsi="宋体"/>
          <w:sz w:val="24"/>
        </w:rPr>
      </w:pPr>
      <w:r>
        <w:rPr>
          <w:rFonts w:hint="eastAsia" w:ascii="宋体" w:hAnsi="宋体"/>
          <w:sz w:val="24"/>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货期</w:t>
      </w:r>
      <w:r>
        <w:rPr>
          <w:rFonts w:hint="eastAsia" w:ascii="宋体" w:hAnsi="宋体"/>
          <w:sz w:val="24"/>
        </w:rPr>
        <w:t>：投标人应能全年每天24小时响应</w:t>
      </w:r>
      <w:r>
        <w:rPr>
          <w:rFonts w:hint="eastAsia" w:ascii="宋体" w:hAnsi="宋体"/>
          <w:sz w:val="24"/>
          <w:lang w:eastAsia="zh-CN"/>
        </w:rPr>
        <w:t>采购人</w:t>
      </w:r>
      <w:r>
        <w:rPr>
          <w:rFonts w:hint="eastAsia" w:ascii="宋体" w:hAnsi="宋体"/>
          <w:sz w:val="24"/>
        </w:rPr>
        <w:t>的供货需求，正常情况接到</w:t>
      </w:r>
      <w:bookmarkStart w:id="2" w:name="OLE_LINK9"/>
      <w:r>
        <w:rPr>
          <w:rFonts w:hint="eastAsia" w:ascii="宋体" w:hAnsi="宋体"/>
          <w:sz w:val="24"/>
          <w:lang w:val="en-US" w:eastAsia="zh-CN"/>
        </w:rPr>
        <w:t>采购人</w:t>
      </w:r>
      <w:bookmarkEnd w:id="2"/>
      <w:r>
        <w:rPr>
          <w:rFonts w:hint="eastAsia" w:ascii="宋体" w:hAnsi="宋体"/>
          <w:sz w:val="24"/>
        </w:rPr>
        <w:t>供货需求应在3天内保质保量到货，应急情况下接到</w:t>
      </w:r>
      <w:r>
        <w:rPr>
          <w:rFonts w:hint="eastAsia" w:ascii="宋体" w:hAnsi="宋体"/>
          <w:sz w:val="24"/>
          <w:lang w:val="en-US" w:eastAsia="zh-CN"/>
        </w:rPr>
        <w:t>采购人</w:t>
      </w:r>
      <w:r>
        <w:rPr>
          <w:rFonts w:hint="eastAsia" w:ascii="宋体" w:hAnsi="宋体"/>
          <w:sz w:val="24"/>
        </w:rPr>
        <w:t>供货需求应12小时内货到现场。</w:t>
      </w:r>
    </w:p>
    <w:p>
      <w:pPr>
        <w:numPr>
          <w:ilvl w:val="0"/>
          <w:numId w:val="12"/>
        </w:numPr>
        <w:tabs>
          <w:tab w:val="left" w:pos="420"/>
        </w:tabs>
        <w:spacing w:line="360" w:lineRule="auto"/>
        <w:rPr>
          <w:rFonts w:ascii="宋体" w:hAnsi="宋体"/>
          <w:sz w:val="24"/>
        </w:rPr>
      </w:pPr>
      <w:r>
        <w:rPr>
          <w:rFonts w:hint="eastAsia" w:ascii="宋体" w:hAnsi="宋体"/>
          <w:sz w:val="24"/>
        </w:rPr>
        <w:t>包装和装运</w:t>
      </w:r>
    </w:p>
    <w:p>
      <w:pPr>
        <w:numPr>
          <w:ilvl w:val="0"/>
          <w:numId w:val="15"/>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rPr>
      </w:pPr>
      <w:r>
        <w:rPr>
          <w:rFonts w:hint="eastAsia" w:ascii="宋体" w:hAnsi="宋体"/>
          <w:sz w:val="24"/>
        </w:rPr>
        <w:t>验收要求</w:t>
      </w:r>
    </w:p>
    <w:p>
      <w:pPr>
        <w:numPr>
          <w:ilvl w:val="-1"/>
          <w:numId w:val="0"/>
        </w:numPr>
        <w:tabs>
          <w:tab w:val="left" w:pos="420"/>
        </w:tabs>
        <w:spacing w:line="360" w:lineRule="auto"/>
        <w:ind w:firstLine="480" w:firstLineChars="200"/>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pPr>
        <w:numPr>
          <w:ilvl w:val="0"/>
          <w:numId w:val="12"/>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1"/>
          <w:numId w:val="0"/>
        </w:numPr>
        <w:tabs>
          <w:tab w:val="left" w:pos="420"/>
        </w:tabs>
        <w:spacing w:line="360" w:lineRule="auto"/>
        <w:ind w:firstLine="480" w:firstLineChars="200"/>
        <w:rPr>
          <w:rFonts w:hint="eastAsia" w:ascii="宋体" w:hAnsi="宋体" w:eastAsiaTheme="minorEastAsia"/>
          <w:sz w:val="24"/>
          <w:lang w:val="en-US" w:eastAsia="zh-CN"/>
        </w:rPr>
      </w:pPr>
      <w:r>
        <w:rPr>
          <w:rFonts w:hint="eastAsia" w:ascii="宋体" w:hAnsi="宋体"/>
          <w:sz w:val="24"/>
          <w:lang w:val="en-US" w:eastAsia="zh-CN"/>
        </w:rPr>
        <w:t>4、</w:t>
      </w:r>
      <w:r>
        <w:rPr>
          <w:rFonts w:hint="eastAsia" w:ascii="宋体" w:hAnsi="宋体"/>
          <w:sz w:val="24"/>
        </w:rPr>
        <w:t>如出现严重质量问题或产品厂商推诿质量、服务责任时，供应商应承担责任并提供质量和服务保障。</w:t>
      </w:r>
    </w:p>
    <w:p>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17"/>
        </w:numPr>
        <w:tabs>
          <w:tab w:val="left" w:pos="420"/>
        </w:tabs>
        <w:spacing w:line="360" w:lineRule="auto"/>
        <w:rPr>
          <w:rFonts w:hint="eastAsia" w:ascii="宋体" w:hAnsi="宋体"/>
          <w:sz w:val="24"/>
        </w:rPr>
      </w:pPr>
      <w:r>
        <w:rPr>
          <w:rFonts w:hint="eastAsia" w:ascii="宋体" w:hAnsi="宋体"/>
          <w:sz w:val="24"/>
        </w:rPr>
        <w:t>★付款方式：</w:t>
      </w:r>
    </w:p>
    <w:p>
      <w:pPr>
        <w:numPr>
          <w:ilvl w:val="-1"/>
          <w:numId w:val="0"/>
        </w:numPr>
        <w:tabs>
          <w:tab w:val="left" w:pos="420"/>
        </w:tabs>
        <w:spacing w:line="360" w:lineRule="auto"/>
        <w:ind w:left="0"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每批次货物货到现场装卸后并通过甲方验收合格后，甲方收到乙方请款资料后15个工作日内支付至合同已供货物合同金额的95%；</w:t>
      </w:r>
    </w:p>
    <w:p>
      <w:pPr>
        <w:numPr>
          <w:ilvl w:val="-1"/>
          <w:numId w:val="0"/>
        </w:numPr>
        <w:tabs>
          <w:tab w:val="left" w:pos="420"/>
        </w:tabs>
        <w:spacing w:line="360" w:lineRule="auto"/>
        <w:ind w:left="0"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合同到期一个月后，甲方收到乙方请款资料后15个工作日内支付至合同结算金额的100%；</w:t>
      </w:r>
    </w:p>
    <w:p>
      <w:pPr>
        <w:numPr>
          <w:ilvl w:val="-1"/>
          <w:numId w:val="0"/>
        </w:numPr>
        <w:tabs>
          <w:tab w:val="left" w:pos="420"/>
        </w:tabs>
        <w:spacing w:line="360" w:lineRule="auto"/>
        <w:ind w:left="0" w:firstLine="480" w:firstLineChars="200"/>
        <w:rPr>
          <w:rFonts w:ascii="宋体" w:hAnsi="宋体"/>
          <w:sz w:val="24"/>
        </w:rPr>
      </w:pPr>
      <w:r>
        <w:rPr>
          <w:rFonts w:hint="eastAsia" w:ascii="宋体" w:hAnsi="宋体"/>
          <w:sz w:val="24"/>
          <w:lang w:val="en-US" w:eastAsia="zh-CN"/>
        </w:rPr>
        <w:t>3、</w:t>
      </w:r>
      <w:r>
        <w:rPr>
          <w:rFonts w:hint="eastAsia" w:ascii="宋体" w:hAnsi="宋体"/>
          <w:sz w:val="24"/>
        </w:rPr>
        <w:t>付款前供方开具相应金额增值税专用发票给需方。</w:t>
      </w:r>
    </w:p>
    <w:p>
      <w:pPr>
        <w:numPr>
          <w:ilvl w:val="0"/>
          <w:numId w:val="17"/>
        </w:numPr>
        <w:tabs>
          <w:tab w:val="left" w:pos="420"/>
        </w:tabs>
        <w:spacing w:line="360" w:lineRule="auto"/>
        <w:rPr>
          <w:rFonts w:ascii="宋体" w:hAnsi="宋体"/>
          <w:sz w:val="24"/>
        </w:rPr>
      </w:pPr>
      <w:r>
        <w:rPr>
          <w:rFonts w:hint="eastAsia" w:ascii="宋体" w:hAnsi="宋体"/>
          <w:sz w:val="24"/>
        </w:rPr>
        <w:t>违约责任</w:t>
      </w:r>
    </w:p>
    <w:p>
      <w:pPr>
        <w:numPr>
          <w:ilvl w:val="0"/>
          <w:numId w:val="18"/>
        </w:numPr>
        <w:tabs>
          <w:tab w:val="left" w:pos="420"/>
        </w:tabs>
        <w:spacing w:line="360" w:lineRule="auto"/>
        <w:rPr>
          <w:rFonts w:ascii="宋体" w:hAnsi="宋体"/>
          <w:sz w:val="24"/>
        </w:rPr>
      </w:pPr>
      <w:r>
        <w:rPr>
          <w:rFonts w:hint="eastAsia" w:ascii="宋体" w:hAnsi="宋体"/>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w:t>
      </w:r>
      <w:r>
        <w:rPr>
          <w:rFonts w:hint="eastAsia" w:ascii="宋体" w:hAnsi="宋体"/>
          <w:sz w:val="24"/>
          <w:u w:val="single"/>
        </w:rPr>
        <w:t>10_</w:t>
      </w:r>
      <w:r>
        <w:rPr>
          <w:rFonts w:hint="eastAsia" w:ascii="宋体" w:hAnsi="宋体"/>
          <w:sz w:val="24"/>
        </w:rPr>
        <w:t>天，采购人有权取消采购，自行向任何第三方购买本采购项目下的产品，在此情况下采购人对供应商不承担任何责任并且供应商应向采购人支付</w:t>
      </w:r>
      <w:r>
        <w:rPr>
          <w:rFonts w:hint="eastAsia" w:ascii="宋体" w:hAnsi="宋体"/>
          <w:sz w:val="24"/>
          <w:lang w:val="en-US" w:eastAsia="zh-CN"/>
        </w:rPr>
        <w:t>合同</w:t>
      </w:r>
      <w:r>
        <w:rPr>
          <w:rFonts w:hint="eastAsia" w:ascii="宋体" w:hAnsi="宋体"/>
          <w:sz w:val="24"/>
        </w:rPr>
        <w:t>总额的20%的违约金。采购人</w:t>
      </w:r>
      <w:r>
        <w:rPr>
          <w:rFonts w:hint="eastAsia"/>
          <w:sz w:val="24"/>
        </w:rPr>
        <w:t>有权从货款中扣除供应商应支付的违约金。</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供应商应提供与采购需求要求相符的合格货物，如发现有不符合要求及质量标准的产品，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未经采购人同意，供应商拒不履行或</w:t>
      </w:r>
      <w:r>
        <w:rPr>
          <w:rFonts w:hint="eastAsia" w:ascii="宋体" w:hAnsi="宋体"/>
          <w:kern w:val="0"/>
          <w:sz w:val="24"/>
        </w:rPr>
        <w:t>部分不履行采购项目的，供应商按未履行部分采购项目金额的20%向采购人支付违约金。</w:t>
      </w:r>
    </w:p>
    <w:p>
      <w:pPr>
        <w:spacing w:line="360" w:lineRule="auto"/>
        <w:rPr>
          <w:rFonts w:ascii="宋体" w:hAnsi="宋体"/>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Theme="minorEastAsia" w:hAnsiTheme="minorEastAsia" w:cstheme="minorEastAsia"/>
          <w:sz w:val="32"/>
          <w:szCs w:val="32"/>
          <w:highlight w:val="none"/>
          <w:lang w:val="en-US" w:eastAsia="zh-CN"/>
        </w:rPr>
      </w:pPr>
      <w:r>
        <w:rPr>
          <w:rFonts w:hint="eastAsia" w:asciiTheme="minorEastAsia" w:hAnsiTheme="minorEastAsia" w:cstheme="minorEastAsia"/>
          <w:sz w:val="32"/>
          <w:szCs w:val="32"/>
          <w:highlight w:val="none"/>
          <w:lang w:val="en-US" w:eastAsia="zh-CN"/>
        </w:rPr>
        <w:t>附件1.1</w:t>
      </w:r>
    </w:p>
    <w:p>
      <w:pPr>
        <w:rPr>
          <w:rFonts w:hint="eastAsia"/>
          <w:highlight w:val="none"/>
          <w:lang w:val="en-US" w:eastAsia="zh-CN"/>
        </w:rPr>
      </w:pPr>
    </w:p>
    <w:p>
      <w:pPr>
        <w:jc w:val="center"/>
        <w:rPr>
          <w:rFonts w:ascii="宋体" w:hAnsi="宋体" w:eastAsia="宋体" w:cs="宋体"/>
          <w:b/>
          <w:sz w:val="30"/>
          <w:szCs w:val="30"/>
          <w:highlight w:val="none"/>
        </w:rPr>
      </w:pPr>
      <w:r>
        <w:rPr>
          <w:rFonts w:hint="eastAsia" w:ascii="宋体" w:hAnsi="宋体" w:eastAsia="宋体" w:cs="宋体"/>
          <w:b/>
          <w:sz w:val="28"/>
          <w:szCs w:val="28"/>
          <w:highlight w:val="none"/>
          <w:lang w:val="en-US" w:eastAsia="zh-CN"/>
        </w:rPr>
        <w:t>用户</w:t>
      </w:r>
      <w:r>
        <w:rPr>
          <w:rFonts w:hint="eastAsia" w:ascii="宋体" w:hAnsi="宋体" w:eastAsia="宋体" w:cs="宋体"/>
          <w:b/>
          <w:sz w:val="28"/>
          <w:szCs w:val="28"/>
          <w:highlight w:val="none"/>
        </w:rPr>
        <w:t>需求书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宋体" w:hAnsi="宋体" w:eastAsia="宋体" w:cs="宋体"/>
          <w:b/>
          <w:szCs w:val="21"/>
          <w:lang w:val="en-US" w:eastAsia="zh-CN"/>
        </w:rPr>
        <w:t>一</w:t>
      </w:r>
      <w:r>
        <w:rPr>
          <w:rFonts w:hint="eastAsia" w:ascii="宋体" w:hAnsi="宋体" w:eastAsia="宋体" w:cs="宋体"/>
          <w:b/>
          <w:szCs w:val="21"/>
        </w:rPr>
        <w:t>、</w:t>
      </w:r>
      <w:r>
        <w:rPr>
          <w:rFonts w:hint="eastAsia" w:asciiTheme="minorEastAsia" w:hAnsiTheme="minorEastAsia" w:eastAsiaTheme="minorEastAsia" w:cstheme="minorEastAsia"/>
          <w:snapToGrid/>
          <w:color w:val="auto"/>
          <w:kern w:val="2"/>
          <w:sz w:val="24"/>
          <w:szCs w:val="24"/>
          <w:lang w:val="en-US" w:eastAsia="zh-CN" w:bidi="ar"/>
        </w:rPr>
        <w:t>为保障杂用水厂水处理系统的稳定运行，确保水质符合国家、地方、行业相关标准，采购高效、安全的净水药剂用于原水消毒、絮凝等处理工艺，提出杂用水厂水质处理药剂次氯酸钠和聚氯化铝的采购技术需求，确保产品质量、供应安全及服务合规。</w:t>
      </w:r>
    </w:p>
    <w:p>
      <w:pPr>
        <w:keepNext w:val="0"/>
        <w:keepLines w:val="0"/>
        <w:pageBreakBefore w:val="0"/>
        <w:numPr>
          <w:ilvl w:val="0"/>
          <w:numId w:val="19"/>
        </w:numPr>
        <w:kinsoku/>
        <w:wordWrap/>
        <w:overflowPunct/>
        <w:topLinePunct w:val="0"/>
        <w:autoSpaceDE/>
        <w:autoSpaceDN/>
        <w:bidi w:val="0"/>
        <w:adjustRightInd w:val="0"/>
        <w:snapToGrid w:val="0"/>
        <w:spacing w:beforeAutospacing="0" w:afterAutospacing="0"/>
        <w:ind w:left="0" w:lef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项目概况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本厂日供水量2-3万m³，年供水量约800-1000万m³的杂用水厂，杂用水厂主要用于绿化灌溉、消防用水、施工用水、河涌补水等非饮用水供应。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项目地址：广州市番禺区大学城外环西路螺旋三路12号广州大学城杂用水厂</w:t>
      </w:r>
    </w:p>
    <w:p>
      <w:pPr>
        <w:keepNext w:val="0"/>
        <w:keepLines w:val="0"/>
        <w:pageBreakBefore w:val="0"/>
        <w:numPr>
          <w:ilvl w:val="0"/>
          <w:numId w:val="19"/>
        </w:numPr>
        <w:kinsoku/>
        <w:wordWrap/>
        <w:overflowPunct/>
        <w:topLinePunct w:val="0"/>
        <w:autoSpaceDE/>
        <w:autoSpaceDN/>
        <w:bidi w:val="0"/>
        <w:adjustRightInd w:val="0"/>
        <w:snapToGrid w:val="0"/>
        <w:spacing w:beforeAutospacing="0" w:afterAutospacing="0"/>
        <w:ind w:left="0" w:leftChars="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宋体" w:hAnsi="宋体"/>
          <w:sz w:val="24"/>
        </w:rPr>
        <w:t>★</w:t>
      </w:r>
      <w:r>
        <w:rPr>
          <w:rFonts w:hint="eastAsia" w:asciiTheme="minorEastAsia" w:hAnsiTheme="minorEastAsia" w:eastAsiaTheme="minorEastAsia" w:cstheme="minorEastAsia"/>
          <w:snapToGrid/>
          <w:color w:val="auto"/>
          <w:kern w:val="2"/>
          <w:sz w:val="24"/>
          <w:szCs w:val="24"/>
          <w:lang w:val="en-US" w:eastAsia="zh-CN" w:bidi="ar"/>
        </w:rPr>
        <w:t>采购内容及技术要求</w:t>
      </w:r>
    </w:p>
    <w:p>
      <w:pPr>
        <w:keepNext w:val="0"/>
        <w:keepLines w:val="0"/>
        <w:pageBreakBefore w:val="0"/>
        <w:widowControl w:val="0"/>
        <w:numPr>
          <w:ilvl w:val="0"/>
          <w:numId w:val="2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产品名称：次氯酸钠溶液</w:t>
      </w:r>
    </w:p>
    <w:p>
      <w:pPr>
        <w:keepNext w:val="0"/>
        <w:keepLines w:val="0"/>
        <w:pageBreakBefore w:val="0"/>
        <w:widowControl w:val="0"/>
        <w:numPr>
          <w:ilvl w:val="0"/>
          <w:numId w:val="21"/>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技术要求</w:t>
      </w:r>
    </w:p>
    <w:tbl>
      <w:tblPr>
        <w:tblStyle w:val="19"/>
        <w:tblW w:w="84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4512"/>
        <w:gridCol w:w="3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jc w:val="center"/>
        </w:trPr>
        <w:tc>
          <w:tcPr>
            <w:tcW w:w="840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351" w:hRule="atLeast"/>
          <w:jc w:val="center"/>
        </w:trPr>
        <w:tc>
          <w:tcPr>
            <w:tcW w:w="4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项目</w:t>
            </w:r>
          </w:p>
        </w:tc>
        <w:tc>
          <w:tcPr>
            <w:tcW w:w="38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指</w:t>
            </w:r>
            <w:r>
              <w:rPr>
                <w:rFonts w:hint="eastAsia" w:asciiTheme="minorEastAsia" w:hAnsiTheme="minorEastAsia" w:eastAsiaTheme="minorEastAsia" w:cstheme="minorEastAsia"/>
                <w:snapToGrid/>
                <w:color w:val="auto"/>
                <w:kern w:val="2"/>
                <w:sz w:val="24"/>
                <w:szCs w:val="24"/>
                <w:lang w:val="en-US" w:eastAsia="zh-CN" w:bidi="ar"/>
              </w:rPr>
              <w:tab/>
            </w:r>
            <w:r>
              <w:rPr>
                <w:rFonts w:hint="eastAsia" w:asciiTheme="minorEastAsia" w:hAnsiTheme="minorEastAsia" w:eastAsiaTheme="minorEastAsia" w:cstheme="minorEastAsia"/>
                <w:snapToGrid/>
                <w:color w:val="auto"/>
                <w:kern w:val="2"/>
                <w:sz w:val="24"/>
                <w:szCs w:val="24"/>
                <w:lang w:val="en-US" w:eastAsia="zh-CN" w:bidi="ar"/>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jc w:val="center"/>
        </w:trPr>
        <w:tc>
          <w:tcPr>
            <w:tcW w:w="4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有效氯（以C1计）  ω/％，≥</w:t>
            </w:r>
          </w:p>
        </w:tc>
        <w:tc>
          <w:tcPr>
            <w:tcW w:w="38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jc w:val="center"/>
        </w:trPr>
        <w:tc>
          <w:tcPr>
            <w:tcW w:w="4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游离碱（以NaOH计）ω/％</w:t>
            </w:r>
          </w:p>
        </w:tc>
        <w:tc>
          <w:tcPr>
            <w:tcW w:w="38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jc w:val="center"/>
        </w:trPr>
        <w:tc>
          <w:tcPr>
            <w:tcW w:w="4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铁（Fe）           ω/％，≤</w:t>
            </w:r>
          </w:p>
        </w:tc>
        <w:tc>
          <w:tcPr>
            <w:tcW w:w="38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351" w:hRule="atLeast"/>
          <w:jc w:val="center"/>
        </w:trPr>
        <w:tc>
          <w:tcPr>
            <w:tcW w:w="4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重金属（以Pb 计）  ω/％，≤</w:t>
            </w:r>
          </w:p>
        </w:tc>
        <w:tc>
          <w:tcPr>
            <w:tcW w:w="38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351" w:hRule="atLeast"/>
          <w:jc w:val="center"/>
        </w:trPr>
        <w:tc>
          <w:tcPr>
            <w:tcW w:w="4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砷（As）            ω/％，≤</w:t>
            </w:r>
          </w:p>
        </w:tc>
        <w:tc>
          <w:tcPr>
            <w:tcW w:w="38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365" w:hRule="atLeast"/>
          <w:jc w:val="center"/>
        </w:trPr>
        <w:tc>
          <w:tcPr>
            <w:tcW w:w="840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涉及饮用水次钠酸钠（液体）：A-II</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按次氯酸钠GB19106最新国标执行，若国家对次氯酸钠10%溶液实行新的标准（以国家下发执行文件明确实施时间起），</w:t>
      </w:r>
      <w:bookmarkStart w:id="3" w:name="OLE_LINK10"/>
      <w:r>
        <w:rPr>
          <w:rFonts w:hint="eastAsia" w:asciiTheme="minorEastAsia" w:hAnsiTheme="minorEastAsia" w:eastAsiaTheme="minorEastAsia" w:cstheme="minorEastAsia"/>
          <w:snapToGrid/>
          <w:color w:val="auto"/>
          <w:kern w:val="2"/>
          <w:sz w:val="24"/>
          <w:szCs w:val="24"/>
          <w:lang w:val="en-US" w:eastAsia="zh-CN" w:bidi="ar"/>
        </w:rPr>
        <w:t>中标人须按新标准执行，</w:t>
      </w:r>
      <w:r>
        <w:rPr>
          <w:rFonts w:hint="eastAsia" w:asciiTheme="minorEastAsia" w:hAnsiTheme="minorEastAsia" w:cstheme="minorEastAsia"/>
          <w:snapToGrid/>
          <w:color w:val="auto"/>
          <w:kern w:val="2"/>
          <w:sz w:val="24"/>
          <w:szCs w:val="24"/>
          <w:lang w:val="en-US" w:eastAsia="zh-CN" w:bidi="ar"/>
        </w:rPr>
        <w:t>合同服务期限内，中标单价不变</w:t>
      </w:r>
      <w:bookmarkEnd w:id="3"/>
      <w:r>
        <w:rPr>
          <w:rFonts w:hint="eastAsia" w:asciiTheme="minorEastAsia" w:hAnsiTheme="minorEastAsia" w:cstheme="minorEastAsia"/>
          <w:snapToGrid/>
          <w:color w:val="auto"/>
          <w:kern w:val="2"/>
          <w:sz w:val="24"/>
          <w:szCs w:val="24"/>
          <w:lang w:val="en-US" w:eastAsia="zh-CN" w:bidi="ar"/>
        </w:rPr>
        <w:t>。</w:t>
      </w:r>
    </w:p>
    <w:p>
      <w:pPr>
        <w:keepNext w:val="0"/>
        <w:keepLines w:val="0"/>
        <w:pageBreakBefore w:val="0"/>
        <w:widowControl w:val="0"/>
        <w:numPr>
          <w:ilvl w:val="0"/>
          <w:numId w:val="21"/>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质量要求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投标产品次氯酸钠溶液必须符合国家标准GB19106—2013 A-III类指标的相关要求。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符合国家关于次氯酸钠液体的验收规范和</w:t>
      </w:r>
      <w:r>
        <w:rPr>
          <w:rFonts w:hint="eastAsia" w:asciiTheme="minorEastAsia" w:hAnsiTheme="minorEastAsia" w:cstheme="minorEastAsia"/>
          <w:snapToGrid/>
          <w:color w:val="auto"/>
          <w:kern w:val="2"/>
          <w:sz w:val="24"/>
          <w:szCs w:val="24"/>
          <w:lang w:val="en-US" w:eastAsia="zh-CN" w:bidi="ar"/>
        </w:rPr>
        <w:t>竞选文件</w:t>
      </w:r>
      <w:r>
        <w:rPr>
          <w:rFonts w:hint="eastAsia" w:asciiTheme="minorEastAsia" w:hAnsiTheme="minorEastAsia" w:eastAsiaTheme="minorEastAsia" w:cstheme="minorEastAsia"/>
          <w:snapToGrid/>
          <w:color w:val="auto"/>
          <w:kern w:val="2"/>
          <w:sz w:val="24"/>
          <w:szCs w:val="24"/>
          <w:lang w:val="en-US" w:eastAsia="zh-CN" w:bidi="ar"/>
        </w:rPr>
        <w:t>关于次氯酸钠液体的合格标准。</w:t>
      </w:r>
    </w:p>
    <w:p>
      <w:pPr>
        <w:keepNext w:val="0"/>
        <w:keepLines w:val="0"/>
        <w:pageBreakBefore w:val="0"/>
        <w:widowControl w:val="0"/>
        <w:numPr>
          <w:ilvl w:val="0"/>
          <w:numId w:val="21"/>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证明文件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提供产品合格证、出厂检测报告及第三方权威机构检测报告（如SGS）。符合《危险化学品安全管理条例》及环保要求，附MSDS（安全技术说明书）。</w:t>
      </w:r>
    </w:p>
    <w:p>
      <w:pPr>
        <w:keepNext w:val="0"/>
        <w:keepLines w:val="0"/>
        <w:pageBreakBefore w:val="0"/>
        <w:widowControl w:val="0"/>
        <w:numPr>
          <w:ilvl w:val="0"/>
          <w:numId w:val="2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产品名称：聚氯化铝</w:t>
      </w:r>
    </w:p>
    <w:p>
      <w:pPr>
        <w:keepNext w:val="0"/>
        <w:keepLines w:val="0"/>
        <w:pageBreakBefore w:val="0"/>
        <w:widowControl w:val="0"/>
        <w:numPr>
          <w:ilvl w:val="0"/>
          <w:numId w:val="22"/>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技术指标：聚氯化铝（固体）符合《水处理剂聚氯化铝GB/T22627-2022》国家标准，主要技术要求见下表。</w:t>
      </w:r>
    </w:p>
    <w:tbl>
      <w:tblPr>
        <w:tblStyle w:val="19"/>
        <w:tblW w:w="86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625"/>
        <w:gridCol w:w="3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8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指标名称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指标（固体）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氧化铝（Al₂O₃）的质量分数/%≥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盐基度/%</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20-98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不溶物的质量分数/%≤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PH值（10g/L水溶液）</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铁（Fe）的质量分数/%≤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氨氮（以N计）的质量分数/%≤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砷（As）的质量分数/%≤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铅（Pb）的质量分数/%≤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隔（Cd）的质量分数/%≤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汞（Hg）的质量分数/%≤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jc w:val="center"/>
        </w:trPr>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铬（Cr）的质量分数/%≤</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5" w:hRule="atLeast"/>
          <w:jc w:val="center"/>
        </w:trPr>
        <w:tc>
          <w:tcPr>
            <w:tcW w:w="8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bidi="ar"/>
              </w:rPr>
            </w:pPr>
            <w:r>
              <w:rPr>
                <w:rFonts w:hint="eastAsia" w:asciiTheme="minorEastAsia" w:hAnsiTheme="minorEastAsia" w:eastAsiaTheme="minorEastAsia" w:cstheme="minorEastAsia"/>
                <w:snapToGrid/>
                <w:color w:val="auto"/>
                <w:kern w:val="2"/>
                <w:sz w:val="24"/>
                <w:szCs w:val="24"/>
                <w:lang w:val="en-US" w:eastAsia="zh-CN" w:bidi="ar"/>
              </w:rPr>
              <w:t>表中所列产品的不溶物、铁、氨氮、砷、铅、锅、汞、铬的指标均按Al₂O₃;质量分数为10%计,当Al₂O₃,含量≠10%时,应将实际含量折算成Al₂O₃为10%产品比例,计算出相应的质量分数。</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bidi="ar"/>
        </w:rPr>
      </w:pPr>
      <w:r>
        <w:rPr>
          <w:rFonts w:hint="eastAsia" w:asciiTheme="minorEastAsia" w:hAnsiTheme="minorEastAsia" w:eastAsiaTheme="minorEastAsia" w:cstheme="minorEastAsia"/>
          <w:snapToGrid/>
          <w:color w:val="auto"/>
          <w:kern w:val="2"/>
          <w:sz w:val="24"/>
          <w:szCs w:val="24"/>
          <w:lang w:val="en-US" w:eastAsia="zh-CN" w:bidi="ar"/>
        </w:rPr>
        <w:t>按水处理剂聚氯化铝GB22627最新国标执行，若国家水处理剂聚氯化铝实行新的标准（以国家下发执行文件明确实施时间起），中标人须按新标准执行，</w:t>
      </w:r>
      <w:r>
        <w:rPr>
          <w:rFonts w:hint="eastAsia" w:asciiTheme="minorEastAsia" w:hAnsiTheme="minorEastAsia" w:cstheme="minorEastAsia"/>
          <w:snapToGrid/>
          <w:color w:val="auto"/>
          <w:kern w:val="2"/>
          <w:sz w:val="24"/>
          <w:szCs w:val="24"/>
          <w:lang w:val="en-US" w:eastAsia="zh-CN" w:bidi="ar"/>
        </w:rPr>
        <w:t>合同服务期限内，中标单价不变</w:t>
      </w:r>
      <w:r>
        <w:rPr>
          <w:rFonts w:hint="eastAsia" w:asciiTheme="minorEastAsia" w:hAnsiTheme="minorEastAsia" w:eastAsiaTheme="minorEastAsia" w:cstheme="minorEastAsia"/>
          <w:snapToGrid/>
          <w:color w:val="auto"/>
          <w:kern w:val="2"/>
          <w:sz w:val="24"/>
          <w:szCs w:val="24"/>
          <w:lang w:val="en-US" w:eastAsia="zh-CN" w:bidi="ar"/>
        </w:rPr>
        <w:t>。</w:t>
      </w:r>
    </w:p>
    <w:p>
      <w:pPr>
        <w:keepNext w:val="0"/>
        <w:keepLines w:val="0"/>
        <w:pageBreakBefore w:val="0"/>
        <w:widowControl w:val="0"/>
        <w:numPr>
          <w:ilvl w:val="0"/>
          <w:numId w:val="22"/>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质量要求</w:t>
      </w:r>
    </w:p>
    <w:p>
      <w:pPr>
        <w:keepNext w:val="0"/>
        <w:keepLines w:val="0"/>
        <w:pageBreakBefore w:val="0"/>
        <w:widowControl w:val="0"/>
        <w:numPr>
          <w:ilvl w:val="0"/>
          <w:numId w:val="23"/>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
        </w:rPr>
      </w:pPr>
      <w:r>
        <w:rPr>
          <w:rFonts w:hint="eastAsia" w:asciiTheme="minorEastAsia" w:hAnsiTheme="minorEastAsia" w:eastAsiaTheme="minorEastAsia" w:cstheme="minorEastAsia"/>
          <w:snapToGrid/>
          <w:color w:val="auto"/>
          <w:kern w:val="2"/>
          <w:sz w:val="24"/>
          <w:szCs w:val="24"/>
          <w:lang w:val="en-US" w:eastAsia="zh-CN" w:bidi="ar"/>
        </w:rPr>
        <w:t>投标产品聚氯化铝必须符合国家标准GB/T22627-2022指标的相关要求。</w:t>
      </w:r>
    </w:p>
    <w:p>
      <w:pPr>
        <w:keepNext w:val="0"/>
        <w:keepLines w:val="0"/>
        <w:pageBreakBefore w:val="0"/>
        <w:widowControl w:val="0"/>
        <w:numPr>
          <w:ilvl w:val="0"/>
          <w:numId w:val="23"/>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有权对每批供货质量进行抽样检查（质量检验标准依据</w:t>
      </w:r>
      <w:r>
        <w:rPr>
          <w:rFonts w:hint="eastAsia" w:asciiTheme="minorEastAsia" w:hAnsiTheme="minorEastAsia" w:cstheme="minorEastAsia"/>
          <w:snapToGrid/>
          <w:color w:val="auto"/>
          <w:kern w:val="2"/>
          <w:sz w:val="24"/>
          <w:szCs w:val="24"/>
          <w:lang w:val="en-US" w:eastAsia="zh-CN" w:bidi="ar"/>
        </w:rPr>
        <w:t>竞选文件</w:t>
      </w:r>
      <w:r>
        <w:rPr>
          <w:rFonts w:hint="eastAsia" w:asciiTheme="minorEastAsia" w:hAnsiTheme="minorEastAsia" w:eastAsiaTheme="minorEastAsia" w:cstheme="minorEastAsia"/>
          <w:snapToGrid/>
          <w:color w:val="auto"/>
          <w:kern w:val="2"/>
          <w:sz w:val="24"/>
          <w:szCs w:val="24"/>
          <w:lang w:val="en-US" w:eastAsia="zh-CN" w:bidi="ar"/>
        </w:rPr>
        <w:t>有关技术检测指标为准），若检验结果未达到国家标准，</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以书面通知中标人，中标人在收到通知后的24小时内对留样进行复检，否则视为认同</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检验结果。检验结果认同后，</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将根据实际情况扣罚本批货款的20%或拒付本批货款，相关违约责任均由中标人承担，检测费用由中标人承担。若一般项目指标重复两次未达到国家标准，则</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有权解除合同，</w:t>
      </w:r>
      <w:r>
        <w:rPr>
          <w:rFonts w:hint="eastAsia" w:asciiTheme="minorEastAsia" w:hAnsiTheme="minorEastAsia" w:cstheme="minorEastAsia"/>
          <w:snapToGrid/>
          <w:color w:val="auto"/>
          <w:kern w:val="2"/>
          <w:sz w:val="24"/>
          <w:szCs w:val="24"/>
          <w:lang w:val="en-US" w:eastAsia="zh-CN" w:bidi="ar"/>
        </w:rPr>
        <w:t>由此所造成甲方的</w:t>
      </w:r>
      <w:r>
        <w:rPr>
          <w:rFonts w:hint="eastAsia" w:asciiTheme="minorEastAsia" w:hAnsiTheme="minorEastAsia" w:eastAsiaTheme="minorEastAsia" w:cstheme="minorEastAsia"/>
          <w:snapToGrid/>
          <w:color w:val="auto"/>
          <w:kern w:val="2"/>
          <w:sz w:val="24"/>
          <w:szCs w:val="24"/>
          <w:lang w:val="en-US" w:eastAsia="zh-CN" w:bidi="ar"/>
        </w:rPr>
        <w:t>一切损失由中标人承担，</w:t>
      </w:r>
      <w:r>
        <w:rPr>
          <w:rFonts w:hint="eastAsia" w:asciiTheme="minorEastAsia" w:hAnsiTheme="minorEastAsia" w:cstheme="minorEastAsia"/>
          <w:snapToGrid/>
          <w:color w:val="auto"/>
          <w:kern w:val="2"/>
          <w:sz w:val="24"/>
          <w:szCs w:val="24"/>
          <w:lang w:val="en-US" w:eastAsia="zh-CN" w:bidi="ar"/>
        </w:rPr>
        <w:t>包括</w:t>
      </w:r>
      <w:r>
        <w:rPr>
          <w:rFonts w:hint="eastAsia" w:asciiTheme="minorEastAsia" w:hAnsiTheme="minorEastAsia" w:eastAsiaTheme="minorEastAsia" w:cstheme="minorEastAsia"/>
          <w:snapToGrid/>
          <w:color w:val="auto"/>
          <w:kern w:val="2"/>
          <w:sz w:val="24"/>
          <w:szCs w:val="24"/>
          <w:lang w:val="en-US" w:eastAsia="zh-CN" w:bidi="ar"/>
        </w:rPr>
        <w:t>承担法律责任。</w:t>
      </w:r>
    </w:p>
    <w:p>
      <w:pPr>
        <w:keepNext w:val="0"/>
        <w:keepLines w:val="0"/>
        <w:pageBreakBefore w:val="0"/>
        <w:widowControl w:val="0"/>
        <w:numPr>
          <w:ilvl w:val="0"/>
          <w:numId w:val="23"/>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合同期内，</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有权对投标产品进行随机抽检，并委托合法的第三方检测机构进行全面检测分析。若检测结果不符合</w:t>
      </w:r>
      <w:r>
        <w:rPr>
          <w:rFonts w:hint="eastAsia" w:asciiTheme="minorEastAsia" w:hAnsiTheme="minorEastAsia" w:cstheme="minorEastAsia"/>
          <w:snapToGrid/>
          <w:color w:val="auto"/>
          <w:kern w:val="2"/>
          <w:sz w:val="24"/>
          <w:szCs w:val="24"/>
          <w:lang w:val="en-US" w:eastAsia="zh-CN" w:bidi="ar"/>
        </w:rPr>
        <w:t>竞选文件</w:t>
      </w:r>
      <w:r>
        <w:rPr>
          <w:rFonts w:hint="eastAsia" w:asciiTheme="minorEastAsia" w:hAnsiTheme="minorEastAsia" w:eastAsiaTheme="minorEastAsia" w:cstheme="minorEastAsia"/>
          <w:snapToGrid/>
          <w:color w:val="auto"/>
          <w:kern w:val="2"/>
          <w:sz w:val="24"/>
          <w:szCs w:val="24"/>
          <w:lang w:val="en-US" w:eastAsia="zh-CN" w:bidi="ar"/>
        </w:rPr>
        <w:t>要求或国家标准，检测费用由中标人承担，</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有权解除合同，并由中标人承担一切后果。</w:t>
      </w:r>
    </w:p>
    <w:p>
      <w:pPr>
        <w:keepNext w:val="0"/>
        <w:keepLines w:val="0"/>
        <w:pageBreakBefore w:val="0"/>
        <w:widowControl w:val="0"/>
        <w:numPr>
          <w:ilvl w:val="0"/>
          <w:numId w:val="23"/>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合同期内，若</w:t>
      </w:r>
      <w:r>
        <w:rPr>
          <w:rFonts w:hint="eastAsia" w:asciiTheme="minorEastAsia" w:hAnsiTheme="minorEastAsia" w:cstheme="minorEastAsia"/>
          <w:snapToGrid/>
          <w:color w:val="auto"/>
          <w:kern w:val="2"/>
          <w:sz w:val="24"/>
          <w:szCs w:val="24"/>
          <w:lang w:val="en-US" w:eastAsia="zh-CN" w:bidi="ar"/>
        </w:rPr>
        <w:t>竞选文件</w:t>
      </w:r>
      <w:r>
        <w:rPr>
          <w:rFonts w:hint="eastAsia" w:asciiTheme="minorEastAsia" w:hAnsiTheme="minorEastAsia" w:eastAsiaTheme="minorEastAsia" w:cstheme="minorEastAsia"/>
          <w:snapToGrid/>
          <w:color w:val="auto"/>
          <w:kern w:val="2"/>
          <w:sz w:val="24"/>
          <w:szCs w:val="24"/>
          <w:lang w:val="en-US" w:eastAsia="zh-CN" w:bidi="ar"/>
        </w:rPr>
        <w:t>中要求符合的相关国家标准发生变化（以国家下发执行文件明确实施时间起），中标人须按新标准执行，并承诺以中标价格执行。若有异议，则</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有权与中标人解除合同。</w:t>
      </w:r>
    </w:p>
    <w:p>
      <w:pPr>
        <w:keepNext w:val="0"/>
        <w:keepLines w:val="0"/>
        <w:pageBreakBefore w:val="0"/>
        <w:widowControl w:val="0"/>
        <w:numPr>
          <w:ilvl w:val="0"/>
          <w:numId w:val="23"/>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资质证明：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提供产品合格证、出厂检测报告及第三方权威机构检测报告（如SGS），安全技术说明书。</w:t>
      </w:r>
    </w:p>
    <w:p>
      <w:pPr>
        <w:keepNext w:val="0"/>
        <w:keepLines w:val="0"/>
        <w:pageBreakBefore w:val="0"/>
        <w:numPr>
          <w:ilvl w:val="0"/>
          <w:numId w:val="19"/>
        </w:numPr>
        <w:kinsoku/>
        <w:wordWrap/>
        <w:overflowPunct/>
        <w:topLinePunct w:val="0"/>
        <w:autoSpaceDE/>
        <w:autoSpaceDN/>
        <w:bidi w:val="0"/>
        <w:adjustRightInd w:val="0"/>
        <w:snapToGrid w:val="0"/>
        <w:spacing w:beforeAutospacing="0" w:afterAutospacing="0"/>
        <w:ind w:left="0" w:leftChars="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售后服务</w:t>
      </w:r>
    </w:p>
    <w:p>
      <w:pPr>
        <w:pStyle w:val="55"/>
        <w:keepNext w:val="0"/>
        <w:keepLines w:val="0"/>
        <w:pageBreakBefore w:val="0"/>
        <w:widowControl/>
        <w:numPr>
          <w:ilvl w:val="0"/>
          <w:numId w:val="24"/>
        </w:numPr>
        <w:kinsoku/>
        <w:wordWrap/>
        <w:overflowPunct/>
        <w:topLinePunct w:val="0"/>
        <w:autoSpaceDE/>
        <w:autoSpaceDN/>
        <w:bidi w:val="0"/>
        <w:adjustRightInd w:val="0"/>
        <w:snapToGrid w:val="0"/>
        <w:spacing w:beforeAutospacing="0" w:afterAutospacing="0"/>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color w:val="auto"/>
          <w:sz w:val="24"/>
          <w:szCs w:val="24"/>
          <w:lang w:eastAsia="zh-CN"/>
        </w:rPr>
        <w:t>根据投标方生产工艺及水质情况，提供技术指导如次氯酸钠、</w:t>
      </w:r>
      <w:r>
        <w:rPr>
          <w:rFonts w:hint="eastAsia" w:asciiTheme="minorEastAsia" w:hAnsiTheme="minorEastAsia" w:eastAsiaTheme="minorEastAsia" w:cstheme="minorEastAsia"/>
          <w:b w:val="0"/>
          <w:bCs w:val="0"/>
          <w:color w:val="auto"/>
          <w:sz w:val="24"/>
          <w:szCs w:val="24"/>
          <w:lang w:val="en-US" w:eastAsia="zh-CN"/>
        </w:rPr>
        <w:t>PAC投加</w:t>
      </w:r>
      <w:r>
        <w:rPr>
          <w:rFonts w:hint="eastAsia" w:asciiTheme="minorEastAsia" w:hAnsiTheme="minorEastAsia" w:eastAsiaTheme="minorEastAsia" w:cstheme="minorEastAsia"/>
          <w:b w:val="0"/>
          <w:bCs w:val="0"/>
          <w:color w:val="auto"/>
          <w:sz w:val="24"/>
          <w:szCs w:val="24"/>
          <w:lang w:eastAsia="zh-CN"/>
        </w:rPr>
        <w:t>建议方案、使用注意事项等。</w:t>
      </w:r>
    </w:p>
    <w:p>
      <w:pPr>
        <w:pStyle w:val="55"/>
        <w:keepNext w:val="0"/>
        <w:keepLines w:val="0"/>
        <w:pageBreakBefore w:val="0"/>
        <w:widowControl/>
        <w:numPr>
          <w:ilvl w:val="0"/>
          <w:numId w:val="24"/>
        </w:numPr>
        <w:kinsoku/>
        <w:wordWrap/>
        <w:overflowPunct/>
        <w:topLinePunct w:val="0"/>
        <w:autoSpaceDE/>
        <w:autoSpaceDN/>
        <w:bidi w:val="0"/>
        <w:adjustRightInd w:val="0"/>
        <w:snapToGrid w:val="0"/>
        <w:spacing w:beforeAutospacing="0" w:afterAutospacing="0"/>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shd w:val="clear" w:fill="FFFFFF"/>
          <w:lang w:eastAsia="zh-CN"/>
        </w:rPr>
        <w:t>产品</w:t>
      </w:r>
      <w:r>
        <w:rPr>
          <w:rFonts w:hint="eastAsia" w:asciiTheme="minorEastAsia" w:hAnsiTheme="minorEastAsia" w:eastAsiaTheme="minorEastAsia" w:cstheme="minorEastAsia"/>
          <w:b w:val="0"/>
          <w:bCs w:val="0"/>
          <w:color w:val="auto"/>
          <w:sz w:val="24"/>
          <w:szCs w:val="24"/>
          <w:lang w:eastAsia="zh-CN"/>
        </w:rPr>
        <w:t>出现</w:t>
      </w:r>
      <w:r>
        <w:rPr>
          <w:rFonts w:hint="eastAsia" w:asciiTheme="minorEastAsia" w:hAnsiTheme="minorEastAsia" w:eastAsiaTheme="minorEastAsia" w:cstheme="minorEastAsia"/>
          <w:b w:val="0"/>
          <w:bCs w:val="0"/>
          <w:color w:val="auto"/>
          <w:sz w:val="24"/>
          <w:szCs w:val="24"/>
          <w:shd w:val="clear" w:fill="FFFFFF"/>
          <w:lang w:eastAsia="zh-CN"/>
        </w:rPr>
        <w:t>质量问题需在</w:t>
      </w:r>
      <w:r>
        <w:rPr>
          <w:rFonts w:hint="eastAsia" w:asciiTheme="minorEastAsia" w:hAnsiTheme="minorEastAsia" w:eastAsiaTheme="minorEastAsia" w:cstheme="minorEastAsia"/>
          <w:b w:val="0"/>
          <w:bCs w:val="0"/>
          <w:color w:val="auto"/>
          <w:sz w:val="24"/>
          <w:szCs w:val="24"/>
          <w:shd w:val="clear" w:fill="FFFFFF"/>
          <w:lang w:val="en-US"/>
        </w:rPr>
        <w:t>24</w:t>
      </w:r>
      <w:r>
        <w:rPr>
          <w:rFonts w:hint="eastAsia" w:asciiTheme="minorEastAsia" w:hAnsiTheme="minorEastAsia" w:eastAsiaTheme="minorEastAsia" w:cstheme="minorEastAsia"/>
          <w:b w:val="0"/>
          <w:bCs w:val="0"/>
          <w:color w:val="auto"/>
          <w:sz w:val="24"/>
          <w:szCs w:val="24"/>
          <w:shd w:val="clear" w:fill="FFFFFF"/>
          <w:lang w:eastAsia="zh-CN"/>
        </w:rPr>
        <w:t>小时内响应，并提供技术解决方案。</w:t>
      </w:r>
    </w:p>
    <w:p>
      <w:pPr>
        <w:keepNext w:val="0"/>
        <w:keepLines w:val="0"/>
        <w:pageBreakBefore w:val="0"/>
        <w:numPr>
          <w:ilvl w:val="0"/>
          <w:numId w:val="19"/>
        </w:numPr>
        <w:kinsoku/>
        <w:wordWrap/>
        <w:overflowPunct/>
        <w:topLinePunct w:val="0"/>
        <w:autoSpaceDE/>
        <w:autoSpaceDN/>
        <w:bidi w:val="0"/>
        <w:adjustRightInd w:val="0"/>
        <w:snapToGrid w:val="0"/>
        <w:spacing w:beforeAutospacing="0" w:afterAutospacing="0"/>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采购数量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聚氯化铝（28%）年度采购数量预估约80吨，次氯酸钠（10%）年度采购数量预估约70吨，此数量为预估供参考，实际供货数量根据水厂供水量及原水水质而定，最终按实际需求供货。</w:t>
      </w:r>
    </w:p>
    <w:p>
      <w:pPr>
        <w:keepNext w:val="0"/>
        <w:keepLines w:val="0"/>
        <w:pageBreakBefore w:val="0"/>
        <w:numPr>
          <w:ilvl w:val="0"/>
          <w:numId w:val="19"/>
        </w:numPr>
        <w:kinsoku/>
        <w:wordWrap/>
        <w:overflowPunct/>
        <w:topLinePunct w:val="0"/>
        <w:autoSpaceDE/>
        <w:autoSpaceDN/>
        <w:bidi w:val="0"/>
        <w:adjustRightInd w:val="0"/>
        <w:snapToGrid w:val="0"/>
        <w:spacing w:beforeAutospacing="0" w:afterAutospacing="0"/>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供货要求</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snapToGrid/>
          <w:color w:val="auto"/>
          <w:kern w:val="2"/>
          <w:sz w:val="24"/>
          <w:szCs w:val="24"/>
          <w:highlight w:val="none"/>
          <w:lang w:val="en-US" w:eastAsia="zh-CN" w:bidi="ar"/>
        </w:rPr>
        <w:t>按水厂需求分批次供货，聚氯化铝送货约6次左右，次氯酸钠送货次数约6次左右，具体以实际需求为准。</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货物送达</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指定地点广州大学城杂用水厂仓库，次氯酸钠采用管道卸货，管道已连接至仓室外，负责卸货至次氯酸钠储存库，聚氯化铝负责码放在仓库并对方整齐，并经</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确认到货数量，同时随车提供产品质量合格证、检测报告等。</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投标人应提供至少一辆专用于涉及饮用水次氯酸钠运输的车辆进行运输供货（不接受非专用车辆或用于工业次氯酸钠的车辆进行运输）。同时提供车辆对应的道路运输证、危险品行驶证等资料。</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投标人应能全年每天24小时响应</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的供货需求，正常情况接到</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供货需求应在3天内保质保量到货，应急情况下接到</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供货需求应12小时内货到现场。投标人可根据自身实力提供更好的供货服务</w:t>
      </w:r>
      <w:r>
        <w:rPr>
          <w:rFonts w:hint="eastAsia" w:asciiTheme="minorEastAsia" w:hAnsiTheme="minorEastAsia" w:eastAsiaTheme="minorEastAsia" w:cstheme="minorEastAsia"/>
          <w:snapToGrid/>
          <w:color w:val="auto"/>
          <w:kern w:val="2"/>
          <w:sz w:val="24"/>
          <w:szCs w:val="24"/>
          <w:highlight w:val="none"/>
          <w:lang w:val="en-US" w:eastAsia="zh-CN" w:bidi="ar"/>
        </w:rPr>
        <w:t>。（最终以投标人的服务承诺函为准，承诺函应作为投标文件的组成部分）。</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次氯酸钠药剂的数量验收以地磅计量或罐车容积及投标方容积体积计量作为结算依据，由水厂现场工作人员与投标人送货人员共同签字确认。对于过磅重量有疑议的，可以由双方认可的第三方进行计量称重，产生的一切费用由提出方负责。</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对每批供货质量进行抽样检查（质量检验标准依据</w:t>
      </w:r>
      <w:r>
        <w:rPr>
          <w:rFonts w:hint="eastAsia" w:asciiTheme="minorEastAsia" w:hAnsiTheme="minorEastAsia" w:cstheme="minorEastAsia"/>
          <w:snapToGrid/>
          <w:color w:val="auto"/>
          <w:kern w:val="2"/>
          <w:sz w:val="24"/>
          <w:szCs w:val="24"/>
          <w:lang w:val="en-US" w:eastAsia="zh-CN" w:bidi="ar"/>
        </w:rPr>
        <w:t>竞选文件</w:t>
      </w:r>
      <w:r>
        <w:rPr>
          <w:rFonts w:hint="eastAsia" w:asciiTheme="minorEastAsia" w:hAnsiTheme="minorEastAsia" w:eastAsiaTheme="minorEastAsia" w:cstheme="minorEastAsia"/>
          <w:snapToGrid/>
          <w:color w:val="auto"/>
          <w:kern w:val="2"/>
          <w:sz w:val="24"/>
          <w:szCs w:val="24"/>
          <w:lang w:val="en-US" w:eastAsia="zh-CN" w:bidi="ar"/>
        </w:rPr>
        <w:t>有关技术检测指标为准），若检验结果未达到国家标准，以书面或传真通知中标人，中标人在收到通知后的24小时内对留样进行复检，否则视为认同</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检验结果。检验结果认同后，</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将根据实际情况扣罚本批货款的20%或拒付本批货款，相关违约责任均由中标人承担。若一般项目指标重复两次未达到国家标准，则</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有权解除合同，所引起的一切损失由中标人承担，直至承担法律责任。</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合同期内，</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将对投标产品进行随机抽检，并委托合法的第三方检测机构进行全面检测分析。若检测结果不符合</w:t>
      </w:r>
      <w:r>
        <w:rPr>
          <w:rFonts w:hint="eastAsia" w:asciiTheme="minorEastAsia" w:hAnsiTheme="minorEastAsia" w:cstheme="minorEastAsia"/>
          <w:snapToGrid/>
          <w:color w:val="auto"/>
          <w:kern w:val="2"/>
          <w:sz w:val="24"/>
          <w:szCs w:val="24"/>
          <w:lang w:val="en-US" w:eastAsia="zh-CN" w:bidi="ar"/>
        </w:rPr>
        <w:t>竞选文件</w:t>
      </w:r>
      <w:r>
        <w:rPr>
          <w:rFonts w:hint="eastAsia" w:asciiTheme="minorEastAsia" w:hAnsiTheme="minorEastAsia" w:eastAsiaTheme="minorEastAsia" w:cstheme="minorEastAsia"/>
          <w:snapToGrid/>
          <w:color w:val="auto"/>
          <w:kern w:val="2"/>
          <w:sz w:val="24"/>
          <w:szCs w:val="24"/>
          <w:lang w:val="en-US" w:eastAsia="zh-CN" w:bidi="ar"/>
        </w:rPr>
        <w:t>要求或国家标准，检测费用由中标人承担，</w:t>
      </w:r>
      <w:r>
        <w:rPr>
          <w:rFonts w:hint="eastAsia" w:asciiTheme="minorEastAsia" w:hAnsiTheme="minorEastAsia" w:cstheme="minorEastAsia"/>
          <w:snapToGrid/>
          <w:color w:val="auto"/>
          <w:kern w:val="2"/>
          <w:sz w:val="24"/>
          <w:szCs w:val="24"/>
          <w:lang w:val="en-US" w:eastAsia="zh-CN" w:bidi="ar"/>
        </w:rPr>
        <w:t>采购人</w:t>
      </w:r>
      <w:r>
        <w:rPr>
          <w:rFonts w:hint="eastAsia" w:asciiTheme="minorEastAsia" w:hAnsiTheme="minorEastAsia" w:eastAsiaTheme="minorEastAsia" w:cstheme="minorEastAsia"/>
          <w:snapToGrid/>
          <w:color w:val="auto"/>
          <w:kern w:val="2"/>
          <w:sz w:val="24"/>
          <w:szCs w:val="24"/>
          <w:lang w:val="en-US" w:eastAsia="zh-CN" w:bidi="ar"/>
        </w:rPr>
        <w:t>有权解除合同，并由中标人承担一切后果。</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合同期内，若</w:t>
      </w:r>
      <w:r>
        <w:rPr>
          <w:rFonts w:hint="eastAsia" w:asciiTheme="minorEastAsia" w:hAnsiTheme="minorEastAsia" w:cstheme="minorEastAsia"/>
          <w:snapToGrid/>
          <w:color w:val="auto"/>
          <w:kern w:val="2"/>
          <w:sz w:val="24"/>
          <w:szCs w:val="24"/>
          <w:lang w:val="en-US" w:eastAsia="zh-CN" w:bidi="ar"/>
        </w:rPr>
        <w:t>竞选文件</w:t>
      </w:r>
      <w:r>
        <w:rPr>
          <w:rFonts w:hint="eastAsia" w:asciiTheme="minorEastAsia" w:hAnsiTheme="minorEastAsia" w:eastAsiaTheme="minorEastAsia" w:cstheme="minorEastAsia"/>
          <w:snapToGrid/>
          <w:color w:val="auto"/>
          <w:kern w:val="2"/>
          <w:sz w:val="24"/>
          <w:szCs w:val="24"/>
          <w:lang w:val="en-US" w:eastAsia="zh-CN" w:bidi="ar"/>
        </w:rPr>
        <w:t>中要求符合的相关国家标准发生变化（以国家下发执行文件明确实施时间起），中标人须按新标准执行，</w:t>
      </w:r>
      <w:r>
        <w:rPr>
          <w:rFonts w:hint="eastAsia" w:asciiTheme="minorEastAsia" w:hAnsiTheme="minorEastAsia" w:cstheme="minorEastAsia"/>
          <w:snapToGrid/>
          <w:color w:val="auto"/>
          <w:kern w:val="2"/>
          <w:sz w:val="24"/>
          <w:szCs w:val="24"/>
          <w:lang w:val="en-US" w:eastAsia="zh-CN" w:bidi="ar"/>
        </w:rPr>
        <w:t>合同服务期限内，中标单价不变</w:t>
      </w:r>
      <w:r>
        <w:rPr>
          <w:rFonts w:hint="eastAsia" w:asciiTheme="minorEastAsia" w:hAnsiTheme="minorEastAsia" w:eastAsiaTheme="minorEastAsia" w:cstheme="minorEastAsia"/>
          <w:snapToGrid/>
          <w:color w:val="auto"/>
          <w:kern w:val="2"/>
          <w:sz w:val="24"/>
          <w:szCs w:val="24"/>
          <w:lang w:val="en-US" w:eastAsia="zh-CN" w:bidi="ar"/>
        </w:rPr>
        <w:t>。</w:t>
      </w:r>
    </w:p>
    <w:p>
      <w:pPr>
        <w:keepNext w:val="0"/>
        <w:keepLines w:val="0"/>
        <w:pageBreakBefore w:val="0"/>
        <w:widowControl w:val="0"/>
        <w:numPr>
          <w:ilvl w:val="0"/>
          <w:numId w:val="2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color w:val="auto"/>
          <w:kern w:val="2"/>
          <w:sz w:val="24"/>
          <w:szCs w:val="24"/>
          <w:lang w:val="en-US" w:eastAsia="zh-CN" w:bidi="ar"/>
        </w:rPr>
        <w:t>聚氯化铝包装要求，双层防潮包装，标识清晰，需标明产品名称、生产日期、有效期、执行标准、重量、安全标识等。到货日期至有效期</w:t>
      </w:r>
      <w:r>
        <w:rPr>
          <w:rFonts w:hint="eastAsia" w:asciiTheme="minorEastAsia" w:hAnsiTheme="minorEastAsia" w:cstheme="minorEastAsia"/>
          <w:snapToGrid/>
          <w:color w:val="auto"/>
          <w:kern w:val="2"/>
          <w:sz w:val="24"/>
          <w:szCs w:val="24"/>
          <w:lang w:val="en-US" w:eastAsia="zh-CN" w:bidi="ar"/>
        </w:rPr>
        <w:t>截止日</w:t>
      </w:r>
      <w:r>
        <w:rPr>
          <w:rFonts w:hint="eastAsia" w:asciiTheme="minorEastAsia" w:hAnsiTheme="minorEastAsia" w:eastAsiaTheme="minorEastAsia" w:cstheme="minorEastAsia"/>
          <w:snapToGrid/>
          <w:color w:val="auto"/>
          <w:kern w:val="2"/>
          <w:sz w:val="24"/>
          <w:szCs w:val="24"/>
          <w:lang w:val="en-US" w:eastAsia="zh-CN" w:bidi="ar"/>
        </w:rPr>
        <w:t>不少于半年。</w:t>
      </w:r>
    </w:p>
    <w:p>
      <w:pPr>
        <w:keepNext w:val="0"/>
        <w:keepLines w:val="0"/>
        <w:pageBreakBefore w:val="0"/>
        <w:numPr>
          <w:ilvl w:val="0"/>
          <w:numId w:val="19"/>
        </w:numPr>
        <w:kinsoku/>
        <w:wordWrap/>
        <w:overflowPunct/>
        <w:topLinePunct w:val="0"/>
        <w:autoSpaceDE/>
        <w:autoSpaceDN/>
        <w:bidi w:val="0"/>
        <w:adjustRightInd w:val="0"/>
        <w:snapToGrid w:val="0"/>
        <w:spacing w:beforeAutospacing="0" w:afterAutospacing="0"/>
        <w:ind w:left="0" w:leftChars="0" w:firstLine="480" w:firstLineChars="200"/>
        <w:jc w:val="both"/>
        <w:textAlignment w:val="auto"/>
        <w:rPr>
          <w:rStyle w:val="14"/>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pPr>
      <w:r>
        <w:rPr>
          <w:rStyle w:val="14"/>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合同</w:t>
      </w:r>
      <w:r>
        <w:rPr>
          <w:rStyle w:val="14"/>
          <w:rFonts w:hint="eastAsia" w:asciiTheme="minorEastAsia" w:hAnsiTheme="minorEastAsia" w:eastAsiaTheme="minorEastAsia" w:cstheme="minorEastAsia"/>
          <w:b w:val="0"/>
          <w:bCs/>
          <w:i w:val="0"/>
          <w:caps w:val="0"/>
          <w:color w:val="auto"/>
          <w:spacing w:val="0"/>
          <w:sz w:val="24"/>
          <w:szCs w:val="24"/>
          <w:highlight w:val="none"/>
          <w:shd w:val="clear" w:fill="FFFFFF"/>
        </w:rPr>
        <w:t>期限</w:t>
      </w:r>
    </w:p>
    <w:p>
      <w:pPr>
        <w:pStyle w:val="12"/>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Autospacing="0"/>
        <w:ind w:leftChars="0" w:right="0" w:rightChars="0" w:firstLine="480" w:firstLineChars="200"/>
        <w:textAlignment w:val="auto"/>
        <w:rPr>
          <w:rStyle w:val="14"/>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pPr>
      <w:r>
        <w:rPr>
          <w:rStyle w:val="14"/>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供货合同期限1年，合同期自2025年10月22日起</w:t>
      </w:r>
      <w:r>
        <w:rPr>
          <w:rFonts w:hint="eastAsia" w:asciiTheme="minorEastAsia" w:hAnsiTheme="minorEastAsia" w:eastAsiaTheme="minorEastAsia" w:cstheme="minorEastAsia"/>
          <w:b w:val="0"/>
          <w:bCs w:val="0"/>
          <w:i w:val="0"/>
          <w:caps w:val="0"/>
          <w:color w:val="auto"/>
          <w:spacing w:val="0"/>
          <w:kern w:val="2"/>
          <w:sz w:val="24"/>
          <w:szCs w:val="24"/>
          <w:shd w:val="clear"/>
          <w:lang w:val="en-US" w:eastAsia="zh-CN"/>
        </w:rPr>
        <w:t>。</w:t>
      </w:r>
    </w:p>
    <w:p>
      <w:pPr>
        <w:tabs>
          <w:tab w:val="center" w:pos="4730"/>
        </w:tabs>
        <w:spacing w:line="360" w:lineRule="auto"/>
        <w:ind w:firstLine="482" w:firstLineChars="200"/>
        <w:jc w:val="left"/>
        <w:outlineLvl w:val="3"/>
        <w:rPr>
          <w:rFonts w:asciiTheme="minorEastAsia" w:hAnsiTheme="minorEastAsia" w:eastAsiaTheme="minorEastAsia" w:cstheme="minorEastAsia"/>
          <w:b/>
          <w:bCs/>
          <w:sz w:val="24"/>
        </w:rPr>
      </w:pPr>
      <w:bookmarkStart w:id="4" w:name="_Toc76742082"/>
      <w:bookmarkStart w:id="5" w:name="_Toc77259501"/>
      <w:bookmarkStart w:id="6" w:name="_Toc182816544"/>
      <w:bookmarkStart w:id="7" w:name="_Toc80606207"/>
      <w:bookmarkStart w:id="8" w:name="_Toc77259428"/>
      <w:bookmarkStart w:id="9" w:name="_Toc77154819"/>
    </w:p>
    <w:bookmarkEnd w:id="4"/>
    <w:bookmarkEnd w:id="5"/>
    <w:bookmarkEnd w:id="6"/>
    <w:bookmarkEnd w:id="7"/>
    <w:bookmarkEnd w:id="8"/>
    <w:bookmarkEnd w:id="9"/>
    <w:p>
      <w:pPr>
        <w:widowControl/>
        <w:jc w:val="left"/>
        <w:rPr>
          <w:rFonts w:hint="eastAsia" w:ascii="宋体" w:hAnsi="宋体"/>
          <w:sz w:val="32"/>
        </w:rPr>
      </w:pPr>
      <w:r>
        <w:rPr>
          <w:rFonts w:hint="eastAsia" w:ascii="宋体" w:hAnsi="宋体"/>
          <w:sz w:val="32"/>
        </w:rPr>
        <w:br w:type="page"/>
      </w:r>
    </w:p>
    <w:p>
      <w:pPr>
        <w:widowControl/>
        <w:jc w:val="left"/>
        <w:rPr>
          <w:rFonts w:hint="default" w:hAnsi="宋体" w:eastAsiaTheme="minorEastAsia"/>
          <w:lang w:val="en-US" w:eastAsia="zh-CN"/>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lang w:val="en-US" w:eastAsia="zh-CN"/>
        </w:rPr>
        <w:t>包组一</w:t>
      </w:r>
      <w:r>
        <w:rPr>
          <w:rFonts w:hint="eastAsia" w:ascii="宋体" w:hAnsi="宋体"/>
          <w:sz w:val="32"/>
        </w:rPr>
        <w:t>报价明细表</w:t>
      </w:r>
    </w:p>
    <w:p>
      <w:pPr>
        <w:spacing w:line="360" w:lineRule="auto"/>
        <w:rPr>
          <w:rFonts w:hint="default" w:ascii="宋体" w:hAnsi="宋体" w:eastAsiaTheme="minorEastAsia"/>
          <w:lang w:val="en-US" w:eastAsia="zh-CN"/>
        </w:rPr>
      </w:pPr>
      <w:r>
        <w:rPr>
          <w:rFonts w:hint="eastAsia" w:ascii="宋体" w:hAnsi="宋体"/>
        </w:rPr>
        <w:t>项目名称：</w:t>
      </w:r>
      <w:r>
        <w:rPr>
          <w:rFonts w:hint="eastAsia" w:ascii="宋体" w:hAnsi="宋体"/>
          <w:lang w:eastAsia="zh-CN"/>
        </w:rPr>
        <w:t>广州大学城杂用水厂水处理药剂采购</w:t>
      </w:r>
    </w:p>
    <w:p>
      <w:pPr>
        <w:spacing w:line="360" w:lineRule="auto"/>
      </w:pPr>
      <w:r>
        <w:rPr>
          <w:rFonts w:hint="eastAsia" w:ascii="宋体" w:hAnsi="宋体"/>
        </w:rPr>
        <w:t xml:space="preserve">        </w:t>
      </w:r>
    </w:p>
    <w:tbl>
      <w:tblPr>
        <w:tblStyle w:val="19"/>
        <w:tblpPr w:leftFromText="180" w:rightFromText="180" w:vertAnchor="text" w:horzAnchor="page" w:tblpX="2028" w:tblpY="524"/>
        <w:tblOverlap w:val="never"/>
        <w:tblW w:w="7888" w:type="dxa"/>
        <w:tblInd w:w="0" w:type="dxa"/>
        <w:tblLayout w:type="fixed"/>
        <w:tblCellMar>
          <w:top w:w="0" w:type="dxa"/>
          <w:left w:w="108" w:type="dxa"/>
          <w:bottom w:w="0" w:type="dxa"/>
          <w:right w:w="108" w:type="dxa"/>
        </w:tblCellMar>
      </w:tblPr>
      <w:tblGrid>
        <w:gridCol w:w="566"/>
        <w:gridCol w:w="822"/>
        <w:gridCol w:w="946"/>
        <w:gridCol w:w="732"/>
        <w:gridCol w:w="732"/>
        <w:gridCol w:w="1018"/>
        <w:gridCol w:w="1069"/>
        <w:gridCol w:w="611"/>
        <w:gridCol w:w="1392"/>
      </w:tblGrid>
      <w:tr>
        <w:tblPrEx>
          <w:tblLayout w:type="fixed"/>
          <w:tblCellMar>
            <w:top w:w="0" w:type="dxa"/>
            <w:left w:w="108" w:type="dxa"/>
            <w:bottom w:w="0" w:type="dxa"/>
            <w:right w:w="108" w:type="dxa"/>
          </w:tblCellMar>
        </w:tblPrEx>
        <w:trPr>
          <w:trHeight w:val="1150" w:hRule="atLeast"/>
        </w:trPr>
        <w:tc>
          <w:tcPr>
            <w:tcW w:w="566" w:type="dxa"/>
            <w:vMerge w:val="restart"/>
            <w:tcBorders>
              <w:top w:val="single" w:color="auto" w:sz="4" w:space="0"/>
              <w:left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r>
              <w:rPr>
                <w:rFonts w:hint="eastAsia" w:ascii="宋体" w:hAnsi="宋体" w:eastAsia="宋体" w:cs="宋体"/>
                <w:b/>
                <w:kern w:val="0"/>
                <w:sz w:val="18"/>
                <w:szCs w:val="18"/>
              </w:rPr>
              <w:t>序号</w:t>
            </w:r>
          </w:p>
        </w:tc>
        <w:tc>
          <w:tcPr>
            <w:tcW w:w="822" w:type="dxa"/>
            <w:vMerge w:val="restart"/>
            <w:tcBorders>
              <w:top w:val="single" w:color="auto" w:sz="4" w:space="0"/>
              <w:left w:val="nil"/>
              <w:right w:val="single" w:color="auto" w:sz="4" w:space="0"/>
              <w:tl2br w:val="nil"/>
              <w:tr2bl w:val="nil"/>
            </w:tcBorders>
            <w:vAlign w:val="center"/>
          </w:tcPr>
          <w:p>
            <w:pPr>
              <w:widowControl/>
              <w:jc w:val="center"/>
              <w:rPr>
                <w:rFonts w:hint="eastAsia" w:ascii="宋体" w:hAnsi="宋体" w:eastAsia="宋体" w:cs="宋体"/>
                <w:b/>
                <w:kern w:val="0"/>
                <w:sz w:val="18"/>
                <w:szCs w:val="18"/>
              </w:rPr>
            </w:pPr>
            <w:r>
              <w:rPr>
                <w:rFonts w:hint="eastAsia" w:ascii="宋体" w:hAnsi="宋体" w:eastAsia="宋体" w:cs="宋体"/>
                <w:b/>
                <w:kern w:val="0"/>
                <w:sz w:val="18"/>
                <w:szCs w:val="18"/>
              </w:rPr>
              <w:t>名称</w:t>
            </w:r>
          </w:p>
        </w:tc>
        <w:tc>
          <w:tcPr>
            <w:tcW w:w="946" w:type="dxa"/>
            <w:vMerge w:val="restart"/>
            <w:tcBorders>
              <w:top w:val="single" w:color="auto" w:sz="4" w:space="0"/>
              <w:left w:val="nil"/>
              <w:right w:val="single" w:color="auto" w:sz="4" w:space="0"/>
              <w:tl2br w:val="nil"/>
              <w:tr2bl w:val="nil"/>
            </w:tcBorders>
            <w:vAlign w:val="center"/>
          </w:tcPr>
          <w:p>
            <w:pPr>
              <w:widowControl/>
              <w:jc w:val="center"/>
              <w:rPr>
                <w:rFonts w:hint="eastAsia" w:ascii="宋体" w:hAnsi="宋体" w:eastAsia="宋体" w:cs="宋体"/>
                <w:b/>
                <w:kern w:val="0"/>
                <w:sz w:val="18"/>
                <w:szCs w:val="18"/>
              </w:rPr>
            </w:pPr>
            <w:r>
              <w:rPr>
                <w:rFonts w:hint="eastAsia" w:ascii="宋体" w:hAnsi="宋体" w:eastAsia="宋体" w:cs="宋体"/>
                <w:b/>
                <w:kern w:val="0"/>
                <w:sz w:val="18"/>
                <w:szCs w:val="18"/>
              </w:rPr>
              <w:t>型号、规格</w:t>
            </w:r>
          </w:p>
        </w:tc>
        <w:tc>
          <w:tcPr>
            <w:tcW w:w="732" w:type="dxa"/>
            <w:vMerge w:val="restart"/>
            <w:tcBorders>
              <w:top w:val="single" w:color="auto" w:sz="4" w:space="0"/>
              <w:left w:val="nil"/>
              <w:right w:val="single" w:color="auto" w:sz="4" w:space="0"/>
              <w:tl2br w:val="nil"/>
              <w:tr2bl w:val="nil"/>
            </w:tcBorders>
            <w:vAlign w:val="center"/>
          </w:tcPr>
          <w:p>
            <w:pPr>
              <w:widowControl/>
              <w:jc w:val="center"/>
              <w:rPr>
                <w:rFonts w:hint="eastAsia" w:ascii="宋体" w:hAnsi="宋体" w:eastAsia="宋体" w:cs="宋体"/>
                <w:b/>
                <w:kern w:val="0"/>
                <w:sz w:val="18"/>
                <w:szCs w:val="18"/>
              </w:rPr>
            </w:pPr>
            <w:r>
              <w:rPr>
                <w:rFonts w:hint="eastAsia" w:ascii="宋体" w:hAnsi="宋体" w:eastAsia="宋体" w:cs="宋体"/>
                <w:b/>
                <w:kern w:val="0"/>
                <w:sz w:val="18"/>
                <w:szCs w:val="18"/>
              </w:rPr>
              <w:t>单位</w:t>
            </w:r>
          </w:p>
        </w:tc>
        <w:tc>
          <w:tcPr>
            <w:tcW w:w="732" w:type="dxa"/>
            <w:vMerge w:val="restart"/>
            <w:tcBorders>
              <w:top w:val="single" w:color="auto" w:sz="4" w:space="0"/>
              <w:left w:val="nil"/>
              <w:right w:val="single" w:color="auto" w:sz="4" w:space="0"/>
              <w:tl2br w:val="nil"/>
              <w:tr2bl w:val="nil"/>
            </w:tcBorders>
            <w:vAlign w:val="center"/>
          </w:tcPr>
          <w:p>
            <w:pPr>
              <w:widowControl/>
              <w:jc w:val="center"/>
              <w:rPr>
                <w:rFonts w:hint="eastAsia" w:ascii="宋体" w:hAnsi="宋体" w:eastAsia="宋体" w:cs="宋体"/>
                <w:b/>
                <w:kern w:val="0"/>
                <w:sz w:val="18"/>
                <w:szCs w:val="18"/>
              </w:rPr>
            </w:pPr>
            <w:r>
              <w:rPr>
                <w:rFonts w:hint="eastAsia" w:ascii="宋体" w:hAnsi="宋体" w:eastAsia="宋体" w:cs="宋体"/>
                <w:b/>
                <w:kern w:val="0"/>
                <w:sz w:val="18"/>
                <w:szCs w:val="18"/>
              </w:rPr>
              <w:t>数量</w:t>
            </w:r>
          </w:p>
        </w:tc>
        <w:tc>
          <w:tcPr>
            <w:tcW w:w="101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kern w:val="0"/>
                <w:sz w:val="18"/>
                <w:szCs w:val="18"/>
              </w:rPr>
            </w:pPr>
            <w:r>
              <w:rPr>
                <w:rFonts w:hint="eastAsia" w:ascii="宋体" w:hAnsi="宋体" w:eastAsia="宋体" w:cs="宋体"/>
                <w:b/>
                <w:kern w:val="0"/>
                <w:sz w:val="18"/>
                <w:szCs w:val="18"/>
              </w:rPr>
              <w:t>含税</w:t>
            </w:r>
            <w:r>
              <w:rPr>
                <w:rFonts w:hint="eastAsia" w:ascii="宋体" w:hAnsi="宋体" w:eastAsia="宋体" w:cs="宋体"/>
                <w:b/>
                <w:kern w:val="0"/>
                <w:sz w:val="18"/>
                <w:szCs w:val="18"/>
                <w:lang w:val="en-US" w:eastAsia="zh-CN"/>
              </w:rPr>
              <w:t>单价</w:t>
            </w:r>
            <w:r>
              <w:rPr>
                <w:rFonts w:hint="eastAsia" w:ascii="宋体" w:hAnsi="宋体" w:eastAsia="宋体" w:cs="宋体"/>
                <w:b/>
                <w:kern w:val="0"/>
                <w:sz w:val="18"/>
                <w:szCs w:val="18"/>
              </w:rPr>
              <w:t>（元）</w:t>
            </w:r>
          </w:p>
          <w:p>
            <w:pPr>
              <w:widowControl/>
              <w:jc w:val="center"/>
              <w:rPr>
                <w:rFonts w:hint="eastAsia" w:ascii="宋体" w:hAnsi="宋体" w:eastAsia="宋体" w:cs="宋体"/>
                <w:b/>
                <w:kern w:val="0"/>
                <w:sz w:val="18"/>
                <w:szCs w:val="18"/>
                <w:lang w:val="en-US" w:eastAsia="zh-CN"/>
              </w:rPr>
            </w:pPr>
          </w:p>
        </w:tc>
        <w:tc>
          <w:tcPr>
            <w:tcW w:w="106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含税金额（元）</w:t>
            </w:r>
          </w:p>
          <w:p>
            <w:pPr>
              <w:widowControl/>
              <w:jc w:val="center"/>
              <w:rPr>
                <w:rFonts w:hint="eastAsia" w:ascii="宋体" w:hAnsi="宋体" w:eastAsia="宋体" w:cs="宋体"/>
                <w:b/>
                <w:kern w:val="0"/>
                <w:sz w:val="18"/>
                <w:szCs w:val="18"/>
                <w:lang w:val="en-US" w:eastAsia="zh-CN"/>
              </w:rPr>
            </w:pPr>
          </w:p>
        </w:tc>
        <w:tc>
          <w:tcPr>
            <w:tcW w:w="611" w:type="dxa"/>
            <w:tcBorders>
              <w:top w:val="single" w:color="auto" w:sz="4" w:space="0"/>
              <w:left w:val="nil"/>
              <w:right w:val="single" w:color="auto" w:sz="4" w:space="0"/>
              <w:tl2br w:val="nil"/>
              <w:tr2bl w:val="nil"/>
            </w:tcBorders>
            <w:vAlign w:val="center"/>
          </w:tcPr>
          <w:p>
            <w:pPr>
              <w:widowControl/>
              <w:jc w:val="center"/>
              <w:rPr>
                <w:rFonts w:hint="eastAsia" w:ascii="宋体" w:hAnsi="宋体" w:eastAsia="宋体" w:cs="宋体"/>
                <w:b/>
                <w:kern w:val="0"/>
                <w:sz w:val="18"/>
                <w:szCs w:val="18"/>
              </w:rPr>
            </w:pPr>
            <w:r>
              <w:rPr>
                <w:rFonts w:hint="eastAsia" w:ascii="宋体" w:hAnsi="宋体" w:eastAsia="宋体" w:cs="宋体"/>
                <w:b/>
                <w:kern w:val="0"/>
                <w:sz w:val="18"/>
                <w:szCs w:val="18"/>
              </w:rPr>
              <w:t>税率</w:t>
            </w:r>
          </w:p>
        </w:tc>
        <w:tc>
          <w:tcPr>
            <w:tcW w:w="1392" w:type="dxa"/>
            <w:tcBorders>
              <w:top w:val="single" w:color="auto" w:sz="4" w:space="0"/>
              <w:left w:val="nil"/>
              <w:right w:val="single" w:color="auto" w:sz="4" w:space="0"/>
              <w:tl2br w:val="nil"/>
              <w:tr2bl w:val="nil"/>
            </w:tcBorders>
            <w:vAlign w:val="center"/>
          </w:tcPr>
          <w:p>
            <w:pPr>
              <w:widowControl/>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备注</w:t>
            </w:r>
          </w:p>
        </w:tc>
      </w:tr>
      <w:tr>
        <w:tblPrEx>
          <w:tblLayout w:type="fixed"/>
          <w:tblCellMar>
            <w:top w:w="0" w:type="dxa"/>
            <w:left w:w="108" w:type="dxa"/>
            <w:bottom w:w="0" w:type="dxa"/>
            <w:right w:w="108" w:type="dxa"/>
          </w:tblCellMar>
        </w:tblPrEx>
        <w:trPr>
          <w:trHeight w:val="420" w:hRule="atLeast"/>
        </w:trPr>
        <w:tc>
          <w:tcPr>
            <w:tcW w:w="566" w:type="dxa"/>
            <w:vMerge w:val="continue"/>
            <w:tcBorders>
              <w:left w:val="single" w:color="auto" w:sz="4" w:space="0"/>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p>
        </w:tc>
        <w:tc>
          <w:tcPr>
            <w:tcW w:w="822" w:type="dxa"/>
            <w:vMerge w:val="continue"/>
            <w:tcBorders>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p>
        </w:tc>
        <w:tc>
          <w:tcPr>
            <w:tcW w:w="946" w:type="dxa"/>
            <w:vMerge w:val="continue"/>
            <w:tcBorders>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p>
        </w:tc>
        <w:tc>
          <w:tcPr>
            <w:tcW w:w="732" w:type="dxa"/>
            <w:vMerge w:val="continue"/>
            <w:tcBorders>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p>
        </w:tc>
        <w:tc>
          <w:tcPr>
            <w:tcW w:w="732" w:type="dxa"/>
            <w:vMerge w:val="continue"/>
            <w:tcBorders>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p>
        </w:tc>
        <w:tc>
          <w:tcPr>
            <w:tcW w:w="1018" w:type="dxa"/>
            <w:vMerge w:val="continue"/>
            <w:tcBorders>
              <w:left w:val="single" w:color="auto" w:sz="4" w:space="0"/>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lang w:val="en-US" w:eastAsia="zh-CN"/>
              </w:rPr>
            </w:pPr>
          </w:p>
        </w:tc>
        <w:tc>
          <w:tcPr>
            <w:tcW w:w="1069" w:type="dxa"/>
            <w:vMerge w:val="continue"/>
            <w:tcBorders>
              <w:left w:val="single" w:color="auto" w:sz="4" w:space="0"/>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lang w:val="en-US" w:eastAsia="zh-CN"/>
              </w:rPr>
            </w:pPr>
          </w:p>
        </w:tc>
        <w:tc>
          <w:tcPr>
            <w:tcW w:w="611" w:type="dxa"/>
            <w:tcBorders>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p>
        </w:tc>
        <w:tc>
          <w:tcPr>
            <w:tcW w:w="1392" w:type="dxa"/>
            <w:tcBorders>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8"/>
                <w:szCs w:val="18"/>
              </w:rPr>
            </w:pPr>
          </w:p>
        </w:tc>
      </w:tr>
      <w:tr>
        <w:tblPrEx>
          <w:tblLayout w:type="fixed"/>
          <w:tblCellMar>
            <w:top w:w="0" w:type="dxa"/>
            <w:left w:w="108" w:type="dxa"/>
            <w:bottom w:w="0" w:type="dxa"/>
            <w:right w:w="108" w:type="dxa"/>
          </w:tblCellMar>
        </w:tblPrEx>
        <w:trPr>
          <w:trHeight w:val="705" w:hRule="atLeast"/>
        </w:trPr>
        <w:tc>
          <w:tcPr>
            <w:tcW w:w="566"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82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94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3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3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10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61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39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937" w:hRule="atLeast"/>
        </w:trPr>
        <w:tc>
          <w:tcPr>
            <w:tcW w:w="566"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82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94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3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3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10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61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39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3798" w:type="dxa"/>
            <w:gridSpan w:val="5"/>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rPr>
            </w:pPr>
            <w:r>
              <w:rPr>
                <w:rFonts w:hint="eastAsia" w:ascii="宋体" w:hAnsi="宋体"/>
                <w:kern w:val="0"/>
                <w:sz w:val="24"/>
              </w:rPr>
              <w:t>合计</w:t>
            </w:r>
          </w:p>
        </w:tc>
        <w:tc>
          <w:tcPr>
            <w:tcW w:w="4090" w:type="dxa"/>
            <w:gridSpan w:val="4"/>
            <w:tcBorders>
              <w:top w:val="nil"/>
              <w:left w:val="nil"/>
              <w:bottom w:val="single" w:color="auto" w:sz="4" w:space="0"/>
              <w:right w:val="single" w:color="auto" w:sz="4" w:space="0"/>
              <w:tl2br w:val="nil"/>
              <w:tr2bl w:val="nil"/>
            </w:tcBorders>
            <w:shd w:val="clear" w:color="000000" w:fill="FFFFFF"/>
            <w:vAlign w:val="center"/>
          </w:tcPr>
          <w:p>
            <w:pPr>
              <w:widowControl/>
              <w:jc w:val="left"/>
              <w:rPr>
                <w:rFonts w:hint="eastAsia" w:ascii="宋体" w:hAnsi="宋体"/>
                <w:kern w:val="0"/>
                <w:sz w:val="24"/>
              </w:rPr>
            </w:pPr>
          </w:p>
        </w:tc>
      </w:tr>
    </w:tbl>
    <w:p>
      <w:pPr>
        <w:widowControl/>
        <w:numPr>
          <w:ilvl w:val="-1"/>
          <w:numId w:val="0"/>
        </w:numPr>
        <w:spacing w:line="360" w:lineRule="auto"/>
        <w:jc w:val="left"/>
        <w:rPr>
          <w:rFonts w:hint="eastAsia" w:ascii="宋体" w:hAnsi="宋体"/>
          <w:b/>
          <w:kern w:val="0"/>
          <w:sz w:val="24"/>
          <w:lang w:val="en-US" w:eastAsia="zh-CN"/>
        </w:rPr>
      </w:pPr>
    </w:p>
    <w:p>
      <w:pPr>
        <w:widowControl/>
        <w:numPr>
          <w:ilvl w:val="-1"/>
          <w:numId w:val="0"/>
        </w:numPr>
        <w:spacing w:line="360" w:lineRule="auto"/>
        <w:jc w:val="left"/>
        <w:rPr>
          <w:rFonts w:hint="eastAsia" w:ascii="宋体" w:hAnsi="宋体" w:eastAsiaTheme="minorEastAsia"/>
          <w:b/>
          <w:kern w:val="0"/>
          <w:sz w:val="24"/>
          <w:lang w:val="en-US" w:eastAsia="zh-CN"/>
        </w:rPr>
      </w:pPr>
      <w:r>
        <w:rPr>
          <w:rFonts w:hint="eastAsia" w:ascii="宋体" w:hAnsi="宋体"/>
          <w:b/>
          <w:kern w:val="0"/>
          <w:sz w:val="24"/>
          <w:lang w:val="en-US" w:eastAsia="zh-CN"/>
        </w:rPr>
        <w:t>说明：</w:t>
      </w:r>
    </w:p>
    <w:p>
      <w:pPr>
        <w:widowControl/>
        <w:numPr>
          <w:ilvl w:val="0"/>
          <w:numId w:val="26"/>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26"/>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、采购实施过程中不可预见费用以及与设备有关的特殊要求等完成本合同工作所需的所有费用。</w:t>
      </w:r>
    </w:p>
    <w:p>
      <w:pPr>
        <w:widowControl/>
        <w:numPr>
          <w:ilvl w:val="0"/>
          <w:numId w:val="26"/>
        </w:numPr>
        <w:spacing w:line="360" w:lineRule="auto"/>
        <w:jc w:val="left"/>
        <w:rPr>
          <w:rFonts w:ascii="宋体" w:hAnsi="宋体"/>
          <w:sz w:val="24"/>
        </w:rPr>
      </w:pPr>
      <w:r>
        <w:rPr>
          <w:rFonts w:hint="eastAsia" w:ascii="宋体" w:hAnsi="宋体"/>
          <w:sz w:val="24"/>
        </w:rPr>
        <w:t>本表中所有项目的价格必须填写（不能空白）。</w:t>
      </w:r>
    </w:p>
    <w:p>
      <w:pPr>
        <w:widowControl/>
        <w:numPr>
          <w:ilvl w:val="0"/>
          <w:numId w:val="26"/>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widowControl/>
        <w:jc w:val="left"/>
        <w:rPr>
          <w:sz w:val="24"/>
        </w:rPr>
      </w:pPr>
      <w:r>
        <w:rPr>
          <w:rFonts w:hint="eastAsia"/>
          <w:sz w:val="24"/>
        </w:rPr>
        <w:t>报价有效期：</w:t>
      </w:r>
    </w:p>
    <w:p>
      <w:pPr>
        <w:widowControl/>
        <w:jc w:val="left"/>
        <w:rPr>
          <w:rFonts w:hint="eastAsia" w:ascii="宋体" w:hAnsi="宋体"/>
          <w:sz w:val="32"/>
        </w:rPr>
      </w:pPr>
      <w:r>
        <w:rPr>
          <w:rFonts w:hint="eastAsia" w:ascii="宋体" w:hAnsi="宋体"/>
          <w:sz w:val="32"/>
        </w:rPr>
        <w:br w:type="page"/>
      </w:r>
    </w:p>
    <w:p>
      <w:pPr>
        <w:widowControl/>
        <w:jc w:val="left"/>
        <w:rPr>
          <w:rFonts w:ascii="宋体" w:hAnsi="宋体"/>
          <w:sz w:val="32"/>
        </w:rPr>
      </w:pP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p>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pPr>
        <w:widowControl/>
        <w:jc w:val="center"/>
        <w:rPr>
          <w:rFonts w:ascii="宋体" w:hAnsi="宋体" w:eastAsia="宋体" w:cs="宋体"/>
          <w:kern w:val="0"/>
          <w:sz w:val="24"/>
        </w:rPr>
      </w:pPr>
      <w:r>
        <w:rPr>
          <w:rFonts w:hint="eastAsia" w:ascii="宋体" w:hAnsi="宋体" w:eastAsia="宋体" w:cs="宋体"/>
          <w:kern w:val="0"/>
          <w:sz w:val="24"/>
        </w:rPr>
        <w:t>(设备材料类)</w:t>
      </w:r>
    </w:p>
    <w:p>
      <w:pPr>
        <w:widowControl/>
        <w:rPr>
          <w:rFonts w:ascii="宋体" w:hAnsi="宋体" w:eastAsia="宋体" w:cs="宋体"/>
          <w:kern w:val="0"/>
          <w:sz w:val="24"/>
        </w:rPr>
      </w:pPr>
      <w:r>
        <w:rPr>
          <w:rFonts w:hint="eastAsia" w:ascii="宋体" w:hAnsi="宋体" w:eastAsia="宋体" w:cs="宋体"/>
          <w:kern w:val="0"/>
          <w:sz w:val="24"/>
        </w:rPr>
        <w:t>项目名称：</w:t>
      </w:r>
    </w:p>
    <w:tbl>
      <w:tblPr>
        <w:tblStyle w:val="19"/>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rPr>
            </w:pPr>
            <w:r>
              <w:br w:type="page"/>
            </w:r>
          </w:p>
          <w:p>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pPr>
              <w:widowControl/>
              <w:jc w:val="left"/>
              <w:rPr>
                <w:rFonts w:ascii="宋体" w:hAnsi="宋体" w:eastAsia="宋体" w:cs="宋体"/>
                <w:kern w:val="0"/>
                <w:szCs w:val="21"/>
              </w:rPr>
            </w:pPr>
          </w:p>
        </w:tc>
      </w:tr>
    </w:tbl>
    <w:p>
      <w:pPr>
        <w:widowControl/>
        <w:jc w:val="left"/>
        <w:rPr>
          <w:rFonts w:eastAsia="黑体"/>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ascii="宋体" w:hAnsi="宋体"/>
          <w:sz w:val="32"/>
          <w:highlight w:val="none"/>
        </w:rPr>
      </w:pPr>
      <w:r>
        <w:rPr>
          <w:rFonts w:hint="eastAsia" w:ascii="宋体" w:hAnsi="宋体"/>
          <w:sz w:val="32"/>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eastAsiaTheme="minorEastAsia"/>
          <w:highlight w:val="none"/>
          <w:lang w:val="en-US" w:eastAsia="zh-CN"/>
        </w:rPr>
      </w:pPr>
      <w:r>
        <w:rPr>
          <w:rFonts w:hint="eastAsia" w:ascii="宋体" w:hAnsi="宋体"/>
          <w:highlight w:val="none"/>
        </w:rPr>
        <w:t>项目名称：</w:t>
      </w:r>
      <w:r>
        <w:rPr>
          <w:rFonts w:hint="eastAsia" w:ascii="宋体" w:hAnsi="宋体"/>
          <w:highlight w:val="none"/>
          <w:lang w:eastAsia="zh-CN"/>
        </w:rPr>
        <w:t>广州大学城杂用水厂水处理药剂采购</w:t>
      </w:r>
    </w:p>
    <w:tbl>
      <w:tblPr>
        <w:tblStyle w:val="19"/>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r>
              <w:rPr>
                <w:rFonts w:ascii="宋体" w:hAnsi="宋体"/>
                <w:sz w:val="18"/>
                <w:szCs w:val="18"/>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lang w:val="en-US" w:eastAsia="zh-CN"/>
              </w:rPr>
              <w:t>附件1</w:t>
            </w: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rPr>
            </w:pPr>
          </w:p>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r>
              <w:rPr>
                <w:rFonts w:ascii="宋体" w:hAnsi="宋体"/>
                <w:sz w:val="18"/>
                <w:szCs w:val="18"/>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lang w:val="en-US" w:eastAsia="zh-CN"/>
              </w:rPr>
              <w:t>附件1</w:t>
            </w:r>
            <w:r>
              <w:rPr>
                <w:rFonts w:hint="eastAsia" w:ascii="宋体" w:hAnsi="宋体"/>
                <w:sz w:val="18"/>
                <w:szCs w:val="18"/>
              </w:rPr>
              <w:t>采购需求四、需求内容（二）★</w:t>
            </w:r>
            <w:r>
              <w:rPr>
                <w:rFonts w:hint="eastAsia" w:ascii="宋体" w:hAnsi="宋体"/>
                <w:kern w:val="0"/>
                <w:sz w:val="18"/>
                <w:szCs w:val="18"/>
              </w:rPr>
              <w:t>货物要求</w:t>
            </w:r>
            <w:r>
              <w:rPr>
                <w:rFonts w:hint="eastAsia" w:ascii="宋体" w:hAnsi="宋体"/>
                <w:kern w:val="0"/>
                <w:sz w:val="18"/>
                <w:szCs w:val="18"/>
                <w:lang w:val="en-US" w:eastAsia="zh-CN"/>
              </w:rPr>
              <w:t xml:space="preserve"> </w:t>
            </w:r>
            <w:r>
              <w:rPr>
                <w:rFonts w:hint="eastAsia" w:ascii="宋体" w:hAnsi="宋体"/>
                <w:sz w:val="18"/>
                <w:szCs w:val="18"/>
              </w:rPr>
              <w:t>供应商应提供所代表品牌厂商原装的、全新的、未使用过的、符合国家、行业及采购需求书提出的有关质量标准的货物。。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rPr>
            </w:pPr>
            <w:r>
              <w:rPr>
                <w:rFonts w:hint="eastAsia" w:ascii="宋体" w:hAnsi="宋体"/>
                <w:sz w:val="18"/>
                <w:szCs w:val="18"/>
                <w:lang w:val="en-US" w:eastAsia="zh-CN"/>
              </w:rPr>
              <w:t>附件1</w:t>
            </w:r>
            <w:r>
              <w:rPr>
                <w:rFonts w:hint="eastAsia" w:ascii="宋体" w:hAnsi="宋体"/>
                <w:sz w:val="18"/>
                <w:szCs w:val="18"/>
              </w:rPr>
              <w:t>采购需求四、需求内容（二）★</w:t>
            </w:r>
            <w:r>
              <w:rPr>
                <w:rFonts w:hint="eastAsia" w:ascii="宋体" w:hAnsi="宋体"/>
                <w:kern w:val="2"/>
                <w:sz w:val="18"/>
                <w:szCs w:val="18"/>
                <w:lang w:val="en-US" w:eastAsia="zh-CN"/>
              </w:rPr>
              <w:t>交货</w:t>
            </w:r>
            <w:r>
              <w:rPr>
                <w:rFonts w:hint="eastAsia" w:ascii="宋体" w:hAnsi="宋体"/>
                <w:kern w:val="0"/>
                <w:sz w:val="18"/>
                <w:szCs w:val="18"/>
              </w:rPr>
              <w:t>要求</w:t>
            </w:r>
            <w:r>
              <w:rPr>
                <w:rFonts w:hint="eastAsia" w:ascii="宋体" w:hAnsi="宋体"/>
                <w:sz w:val="18"/>
                <w:szCs w:val="18"/>
                <w:lang w:val="en-US" w:eastAsia="zh-CN"/>
              </w:rPr>
              <w:t>3</w:t>
            </w:r>
            <w:r>
              <w:rPr>
                <w:rFonts w:hint="eastAsia" w:ascii="宋体" w:hAnsi="宋体"/>
                <w:sz w:val="18"/>
                <w:szCs w:val="18"/>
              </w:rPr>
              <w:t>.★</w:t>
            </w:r>
            <w:r>
              <w:rPr>
                <w:rFonts w:hint="eastAsia" w:ascii="宋体" w:hAnsi="宋体"/>
                <w:sz w:val="18"/>
                <w:szCs w:val="18"/>
                <w:lang w:val="en-US" w:eastAsia="zh-CN"/>
              </w:rPr>
              <w:t>货期</w:t>
            </w:r>
            <w:r>
              <w:rPr>
                <w:rFonts w:hint="eastAsia" w:ascii="宋体" w:hAnsi="宋体"/>
                <w:sz w:val="18"/>
                <w:szCs w:val="18"/>
              </w:rPr>
              <w:t>：投标人应能全年每天24小时响应</w:t>
            </w:r>
            <w:r>
              <w:rPr>
                <w:rFonts w:hint="eastAsia" w:ascii="宋体" w:hAnsi="宋体"/>
                <w:sz w:val="18"/>
                <w:szCs w:val="18"/>
                <w:lang w:eastAsia="zh-CN"/>
              </w:rPr>
              <w:t>采购人</w:t>
            </w:r>
            <w:r>
              <w:rPr>
                <w:rFonts w:hint="eastAsia" w:ascii="宋体" w:hAnsi="宋体"/>
                <w:sz w:val="18"/>
                <w:szCs w:val="18"/>
              </w:rPr>
              <w:t>的供货需求，正常情况接到</w:t>
            </w:r>
            <w:r>
              <w:rPr>
                <w:rFonts w:hint="eastAsia" w:ascii="宋体" w:hAnsi="宋体"/>
                <w:sz w:val="18"/>
                <w:szCs w:val="18"/>
                <w:lang w:val="en-US" w:eastAsia="zh-CN"/>
              </w:rPr>
              <w:t>采购人</w:t>
            </w:r>
            <w:r>
              <w:rPr>
                <w:rFonts w:hint="eastAsia" w:ascii="宋体" w:hAnsi="宋体"/>
                <w:sz w:val="18"/>
                <w:szCs w:val="18"/>
              </w:rPr>
              <w:t>供货需求应在3天内保质保量到货，应急情况下接到</w:t>
            </w:r>
            <w:r>
              <w:rPr>
                <w:rFonts w:hint="eastAsia" w:ascii="宋体" w:hAnsi="宋体"/>
                <w:sz w:val="18"/>
                <w:szCs w:val="18"/>
                <w:lang w:val="en-US" w:eastAsia="zh-CN"/>
              </w:rPr>
              <w:t>采购人</w:t>
            </w:r>
            <w:r>
              <w:rPr>
                <w:rFonts w:hint="eastAsia" w:ascii="宋体" w:hAnsi="宋体"/>
                <w:sz w:val="18"/>
                <w:szCs w:val="18"/>
              </w:rPr>
              <w:t>供货需求应12小时内货到现场。</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0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tabs>
                <w:tab w:val="left" w:pos="420"/>
              </w:tabs>
              <w:spacing w:line="360" w:lineRule="auto"/>
              <w:jc w:val="left"/>
              <w:rPr>
                <w:rFonts w:hint="default" w:ascii="宋体" w:hAnsi="宋体"/>
                <w:kern w:val="2"/>
                <w:sz w:val="18"/>
                <w:szCs w:val="18"/>
                <w:lang w:val="en-US"/>
              </w:rPr>
            </w:pPr>
            <w:r>
              <w:rPr>
                <w:rFonts w:hint="eastAsia" w:ascii="宋体" w:hAnsi="宋体"/>
                <w:kern w:val="2"/>
                <w:sz w:val="18"/>
                <w:szCs w:val="18"/>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rPr>
            </w:pPr>
            <w:r>
              <w:rPr>
                <w:rFonts w:hint="eastAsia" w:ascii="宋体" w:hAnsi="宋体"/>
                <w:sz w:val="18"/>
                <w:szCs w:val="18"/>
                <w:lang w:val="en-US" w:eastAsia="zh-CN"/>
              </w:rPr>
              <w:t>附件1</w:t>
            </w:r>
            <w:r>
              <w:rPr>
                <w:rFonts w:hint="eastAsia" w:ascii="宋体" w:hAnsi="宋体"/>
                <w:sz w:val="18"/>
                <w:szCs w:val="18"/>
              </w:rPr>
              <w:t>采购需求</w:t>
            </w:r>
            <w:r>
              <w:rPr>
                <w:rFonts w:hint="eastAsia" w:ascii="宋体" w:hAnsi="宋体"/>
                <w:sz w:val="18"/>
                <w:szCs w:val="18"/>
                <w:lang w:val="en-US" w:eastAsia="zh-CN"/>
              </w:rPr>
              <w:t>五、</w:t>
            </w:r>
            <w:r>
              <w:rPr>
                <w:rFonts w:hint="eastAsia" w:ascii="宋体" w:hAnsi="宋体"/>
                <w:sz w:val="18"/>
                <w:szCs w:val="18"/>
              </w:rPr>
              <w:t>五、商务要求</w:t>
            </w:r>
          </w:p>
          <w:p>
            <w:pPr>
              <w:tabs>
                <w:tab w:val="left" w:pos="420"/>
              </w:tabs>
              <w:spacing w:line="360" w:lineRule="auto"/>
              <w:rPr>
                <w:rFonts w:hint="eastAsia" w:ascii="宋体" w:hAnsi="宋体"/>
                <w:sz w:val="18"/>
                <w:szCs w:val="18"/>
              </w:rPr>
            </w:pPr>
            <w:r>
              <w:rPr>
                <w:rFonts w:hint="eastAsia" w:ascii="宋体" w:hAnsi="宋体"/>
                <w:sz w:val="18"/>
                <w:szCs w:val="18"/>
              </w:rPr>
              <w:t>（一）★付款方式：</w:t>
            </w:r>
          </w:p>
          <w:p>
            <w:pPr>
              <w:tabs>
                <w:tab w:val="left" w:pos="420"/>
              </w:tabs>
              <w:spacing w:line="360" w:lineRule="auto"/>
              <w:rPr>
                <w:rFonts w:hint="eastAsia" w:ascii="宋体" w:hAnsi="宋体"/>
                <w:sz w:val="18"/>
                <w:szCs w:val="18"/>
              </w:rPr>
            </w:pPr>
            <w:r>
              <w:rPr>
                <w:rFonts w:hint="eastAsia" w:ascii="宋体" w:hAnsi="宋体"/>
                <w:sz w:val="18"/>
                <w:szCs w:val="18"/>
              </w:rPr>
              <w:t>1、每批次货物货到现场装卸后并通过甲方验收合格后，甲方收到乙方请款资料后15个工作日内支付至合同已供货物合同金额的95%；</w:t>
            </w:r>
          </w:p>
          <w:p>
            <w:pPr>
              <w:tabs>
                <w:tab w:val="left" w:pos="420"/>
              </w:tabs>
              <w:spacing w:line="360" w:lineRule="auto"/>
              <w:rPr>
                <w:rFonts w:hint="eastAsia" w:ascii="宋体" w:hAnsi="宋体"/>
                <w:sz w:val="18"/>
                <w:szCs w:val="18"/>
              </w:rPr>
            </w:pPr>
            <w:r>
              <w:rPr>
                <w:rFonts w:hint="eastAsia" w:ascii="宋体" w:hAnsi="宋体"/>
                <w:sz w:val="18"/>
                <w:szCs w:val="18"/>
              </w:rPr>
              <w:t>2、合同到期一个月后，甲方收到乙方请款资料后15个工作日内支付至合同结算金额的100%；</w:t>
            </w:r>
          </w:p>
          <w:p>
            <w:pPr>
              <w:tabs>
                <w:tab w:val="left" w:pos="420"/>
              </w:tabs>
              <w:spacing w:line="360" w:lineRule="auto"/>
              <w:rPr>
                <w:rFonts w:hint="default" w:ascii="宋体" w:hAnsi="宋体" w:eastAsiaTheme="minorEastAsia"/>
                <w:sz w:val="18"/>
                <w:szCs w:val="18"/>
                <w:highlight w:val="none"/>
                <w:lang w:val="en-US" w:eastAsia="zh-CN"/>
              </w:rPr>
            </w:pPr>
            <w:r>
              <w:rPr>
                <w:rFonts w:hint="eastAsia" w:ascii="宋体" w:hAnsi="宋体"/>
                <w:sz w:val="18"/>
                <w:szCs w:val="18"/>
              </w:rPr>
              <w:t>3、付款前供方开具相应金额增值税专用发票给需方。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cyan"/>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0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tabs>
                <w:tab w:val="left" w:pos="420"/>
              </w:tabs>
              <w:spacing w:line="360" w:lineRule="auto"/>
              <w:jc w:val="left"/>
              <w:rPr>
                <w:rFonts w:hint="default" w:ascii="宋体" w:hAnsi="宋体"/>
                <w:kern w:val="2"/>
                <w:sz w:val="18"/>
                <w:szCs w:val="18"/>
                <w:lang w:val="en-US" w:eastAsia="zh-CN"/>
              </w:rPr>
            </w:pPr>
            <w:r>
              <w:rPr>
                <w:rFonts w:hint="eastAsia" w:ascii="宋体" w:hAnsi="宋体"/>
                <w:kern w:val="2"/>
                <w:sz w:val="18"/>
                <w:szCs w:val="18"/>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24"/>
              <w:numPr>
                <w:ilvl w:val="0"/>
                <w:numId w:val="0"/>
              </w:numPr>
              <w:spacing w:line="240" w:lineRule="auto"/>
              <w:ind w:firstLine="0" w:firstLineChars="0"/>
              <w:jc w:val="left"/>
              <w:outlineLvl w:val="1"/>
              <w:rPr>
                <w:rFonts w:hint="default" w:ascii="宋体" w:hAnsi="宋体" w:cstheme="minorBidi"/>
                <w:b w:val="0"/>
                <w:bCs w:val="0"/>
                <w:sz w:val="18"/>
                <w:szCs w:val="18"/>
                <w:highlight w:val="none"/>
                <w:lang w:val="en-US" w:eastAsia="zh-CN"/>
              </w:rPr>
            </w:pPr>
            <w:r>
              <w:rPr>
                <w:rFonts w:hint="eastAsia" w:ascii="宋体" w:hAnsi="宋体" w:cstheme="minorBidi"/>
                <w:b w:val="0"/>
                <w:bCs w:val="0"/>
                <w:sz w:val="18"/>
                <w:szCs w:val="18"/>
                <w:highlight w:val="none"/>
                <w:lang w:val="en-US" w:eastAsia="zh-CN"/>
              </w:rPr>
              <w:t>附件1.1用户需求书二、</w:t>
            </w:r>
            <w:r>
              <w:rPr>
                <w:rFonts w:hint="eastAsia" w:ascii="宋体" w:hAnsi="宋体"/>
                <w:sz w:val="24"/>
              </w:rPr>
              <w:t>★</w:t>
            </w:r>
            <w:r>
              <w:rPr>
                <w:rFonts w:hint="eastAsia" w:asciiTheme="minorEastAsia" w:hAnsiTheme="minorEastAsia" w:eastAsiaTheme="minorEastAsia" w:cstheme="minorEastAsia"/>
                <w:snapToGrid/>
                <w:color w:val="auto"/>
                <w:kern w:val="2"/>
                <w:sz w:val="24"/>
                <w:szCs w:val="24"/>
                <w:lang w:val="en-US" w:eastAsia="zh-CN" w:bidi="ar"/>
              </w:rPr>
              <w:t>采购内容及技术要求</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cyan"/>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bl>
    <w:p>
      <w:pPr>
        <w:spacing w:line="360" w:lineRule="auto"/>
        <w:rPr>
          <w:rFonts w:ascii="宋体" w:hAnsi="宋体"/>
          <w:b/>
        </w:rPr>
      </w:pPr>
      <w:r>
        <w:rPr>
          <w:rFonts w:hint="eastAsia" w:ascii="宋体" w:hAnsi="宋体"/>
          <w:b/>
        </w:rPr>
        <w:t>供应商必须将对竞选文件中有关“★”号的实质性要求进行响应，响应详细内容填写此表。</w:t>
      </w:r>
    </w:p>
    <w:p>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rPr>
      </w:pPr>
      <w:r>
        <w:rPr>
          <w:rFonts w:hint="eastAsia" w:ascii="宋体" w:hAnsi="宋体"/>
        </w:rPr>
        <w:t>2、如竞选文件上无标有“★”实质性响应指标的，请在表格上填写“无”。</w:t>
      </w:r>
    </w:p>
    <w:p>
      <w:pPr>
        <w:spacing w:line="360" w:lineRule="auto"/>
        <w:ind w:firstLine="105" w:firstLineChars="50"/>
        <w:rPr>
          <w:rFonts w:ascii="宋体" w:hAnsi="宋体"/>
          <w:u w:val="single"/>
        </w:rPr>
      </w:pPr>
      <w:r>
        <w:rPr>
          <w:rFonts w:hint="eastAsia" w:ascii="宋体" w:hAnsi="宋体"/>
        </w:rPr>
        <w:t xml:space="preserve">                                              供应商名称（盖公章）：</w:t>
      </w:r>
    </w:p>
    <w:p>
      <w:pPr>
        <w:widowControl/>
        <w:ind w:firstLine="5040" w:firstLineChars="2400"/>
        <w:jc w:val="left"/>
        <w:rPr>
          <w:rFonts w:hint="eastAsia" w:ascii="宋体" w:hAnsi="宋体"/>
        </w:rPr>
      </w:pPr>
      <w:r>
        <w:rPr>
          <w:rFonts w:hint="eastAsia" w:ascii="宋体" w:hAnsi="宋体"/>
        </w:rPr>
        <w:t>日    期：20</w:t>
      </w:r>
      <w:r>
        <w:rPr>
          <w:rFonts w:hint="eastAsia" w:ascii="宋体" w:hAnsi="宋体"/>
          <w:lang w:val="en-US" w:eastAsia="zh-CN"/>
        </w:rPr>
        <w:t xml:space="preserve">2 </w:t>
      </w:r>
      <w:r>
        <w:rPr>
          <w:rFonts w:hint="eastAsia" w:ascii="宋体" w:hAnsi="宋体"/>
        </w:rPr>
        <w:t>年  月 日</w:t>
      </w:r>
    </w:p>
    <w:p>
      <w:pPr>
        <w:widowControl/>
        <w:ind w:firstLine="0" w:firstLineChars="0"/>
        <w:jc w:val="left"/>
        <w:rPr>
          <w:rFonts w:hint="eastAsia" w:ascii="宋体" w:hAnsi="宋体"/>
        </w:rPr>
      </w:pPr>
      <w:r>
        <w:rPr>
          <w:rFonts w:hint="eastAsia" w:ascii="宋体" w:hAnsi="宋体"/>
        </w:rPr>
        <w:br w:type="page"/>
      </w:r>
    </w:p>
    <w:p>
      <w:pPr>
        <w:widowControl/>
        <w:jc w:val="left"/>
        <w:rPr>
          <w:rFonts w:ascii="宋体" w:hAnsi="宋体"/>
        </w:rPr>
      </w:pPr>
    </w:p>
    <w:p>
      <w:pPr>
        <w:widowControl/>
        <w:jc w:val="left"/>
        <w:rPr>
          <w:rFonts w:hint="eastAsia" w:ascii="宋体" w:hAnsi="宋体"/>
          <w:b/>
          <w:sz w:val="32"/>
        </w:rPr>
      </w:pPr>
      <w:r>
        <w:rPr>
          <w:rFonts w:hint="eastAsia" w:ascii="宋体" w:hAnsi="宋体"/>
          <w:b/>
          <w:sz w:val="32"/>
        </w:rPr>
        <w:t>附件5</w:t>
      </w:r>
    </w:p>
    <w:p>
      <w:pPr>
        <w:widowControl/>
        <w:ind w:firstLine="2409" w:firstLineChars="800"/>
        <w:jc w:val="left"/>
        <w:rPr>
          <w:rFonts w:ascii="宋体" w:hAnsi="宋体"/>
          <w:b/>
          <w:bCs/>
          <w:color w:val="auto"/>
          <w:sz w:val="30"/>
          <w:szCs w:val="30"/>
          <w:highlight w:val="none"/>
        </w:rPr>
      </w:pPr>
      <w:r>
        <w:rPr>
          <w:rFonts w:hint="eastAsia" w:ascii="宋体" w:hAnsi="宋体"/>
          <w:b/>
          <w:bCs/>
          <w:color w:val="auto"/>
          <w:sz w:val="30"/>
          <w:szCs w:val="30"/>
          <w:highlight w:val="none"/>
        </w:rPr>
        <w:t>法定代表人身份证明书</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在我单位任职务，是我单位法定代表人，身份证号为，特此证明。</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本证明书有效日期</w:t>
      </w:r>
      <w:r>
        <w:rPr>
          <w:rFonts w:ascii="宋体" w:hAnsi="宋体"/>
          <w:color w:val="auto"/>
          <w:sz w:val="28"/>
          <w:szCs w:val="28"/>
          <w:highlight w:val="none"/>
        </w:rPr>
        <w:t>:自签发之日起至20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r>
        <w:rPr>
          <w:rFonts w:ascii="宋体" w:hAnsi="宋体"/>
          <w:color w:val="auto"/>
          <w:sz w:val="28"/>
          <w:szCs w:val="28"/>
          <w:highlight w:val="none"/>
        </w:rPr>
        <w:t>.</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p>
    <w:p>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(签字或签章):</w:t>
      </w:r>
    </w:p>
    <w:p>
      <w:pPr>
        <w:widowControl/>
        <w:jc w:val="left"/>
        <w:rPr>
          <w:rFonts w:ascii="宋体" w:hAnsi="宋体"/>
          <w:color w:val="auto"/>
          <w:sz w:val="28"/>
          <w:szCs w:val="28"/>
          <w:highlight w:val="none"/>
        </w:rPr>
      </w:pPr>
      <w:r>
        <w:rPr>
          <w:rFonts w:hint="eastAsia" w:ascii="宋体" w:hAnsi="宋体"/>
          <w:color w:val="auto"/>
          <w:sz w:val="28"/>
          <w:szCs w:val="28"/>
          <w:highlight w:val="none"/>
        </w:rPr>
        <w:t>单位通信地址：</w:t>
      </w:r>
    </w:p>
    <w:p>
      <w:pPr>
        <w:widowControl/>
        <w:jc w:val="left"/>
        <w:rPr>
          <w:rFonts w:ascii="宋体" w:hAnsi="宋体"/>
          <w:color w:val="auto"/>
          <w:sz w:val="28"/>
          <w:szCs w:val="28"/>
          <w:highlight w:val="none"/>
        </w:rPr>
      </w:pPr>
      <w:r>
        <w:rPr>
          <w:rFonts w:hint="eastAsia" w:ascii="宋体" w:hAnsi="宋体"/>
          <w:color w:val="auto"/>
          <w:sz w:val="28"/>
          <w:szCs w:val="28"/>
          <w:highlight w:val="none"/>
        </w:rPr>
        <w:t>邮政编码：</w:t>
      </w:r>
      <w:r>
        <w:rPr>
          <w:rFonts w:ascii="宋体" w:hAnsi="宋体"/>
          <w:color w:val="auto"/>
          <w:sz w:val="28"/>
          <w:szCs w:val="28"/>
          <w:highlight w:val="none"/>
        </w:rPr>
        <w:t xml:space="preserve">                 单位联系电话：   </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附：法人代表身份证正反面或其他身份证明材料复印件</w:t>
      </w:r>
      <w:r>
        <w:rPr>
          <w:rFonts w:ascii="宋体" w:hAnsi="宋体"/>
          <w:color w:val="auto"/>
          <w:sz w:val="28"/>
          <w:szCs w:val="28"/>
          <w:highlight w:val="none"/>
        </w:rPr>
        <w:t>(加盖公章)</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ascii="宋体" w:hAnsi="宋体"/>
          <w:color w:val="auto"/>
          <w:sz w:val="28"/>
          <w:szCs w:val="28"/>
          <w:highlight w:val="none"/>
        </w:rPr>
        <w:br w:type="page"/>
      </w:r>
    </w:p>
    <w:p>
      <w:pPr>
        <w:widowControl/>
        <w:jc w:val="left"/>
        <w:rPr>
          <w:rFonts w:ascii="宋体" w:hAnsi="宋体"/>
          <w:color w:val="auto"/>
          <w:sz w:val="30"/>
          <w:szCs w:val="30"/>
          <w:highlight w:val="none"/>
        </w:rPr>
      </w:pPr>
      <w:r>
        <w:rPr>
          <w:rFonts w:ascii="宋体" w:hAnsi="宋体"/>
          <w:color w:val="auto"/>
          <w:sz w:val="30"/>
          <w:szCs w:val="30"/>
          <w:highlight w:val="none"/>
        </w:rPr>
        <w:t>附件6</w:t>
      </w:r>
    </w:p>
    <w:p>
      <w:pPr>
        <w:widowControl/>
        <w:ind w:firstLine="2108" w:firstLineChars="700"/>
        <w:jc w:val="left"/>
        <w:rPr>
          <w:rFonts w:ascii="宋体" w:hAnsi="宋体"/>
          <w:b/>
          <w:bCs/>
          <w:color w:val="auto"/>
          <w:sz w:val="30"/>
          <w:szCs w:val="30"/>
          <w:highlight w:val="none"/>
        </w:rPr>
      </w:pPr>
      <w:r>
        <w:rPr>
          <w:rFonts w:hint="eastAsia" w:ascii="宋体" w:hAnsi="宋体"/>
          <w:b/>
          <w:bCs/>
          <w:color w:val="auto"/>
          <w:sz w:val="30"/>
          <w:szCs w:val="30"/>
          <w:highlight w:val="none"/>
        </w:rPr>
        <w:t>法定代表人授权委托证明书</w:t>
      </w:r>
    </w:p>
    <w:p>
      <w:pPr>
        <w:widowControl/>
        <w:ind w:firstLine="560" w:firstLineChars="200"/>
        <w:jc w:val="left"/>
        <w:rPr>
          <w:rFonts w:ascii="宋体" w:hAnsi="宋体"/>
          <w:color w:val="auto"/>
          <w:sz w:val="28"/>
          <w:szCs w:val="28"/>
          <w:highlight w:val="none"/>
        </w:rPr>
      </w:pPr>
      <w:r>
        <w:rPr>
          <w:rFonts w:hint="eastAsia" w:ascii="宋体" w:hAnsi="宋体"/>
          <w:bCs/>
          <w:color w:val="auto"/>
          <w:sz w:val="28"/>
          <w:szCs w:val="28"/>
          <w:highlight w:val="none"/>
        </w:rPr>
        <w:t>兹授权</w:t>
      </w:r>
      <w:r>
        <w:rPr>
          <w:rFonts w:hint="eastAsia" w:ascii="宋体" w:hAnsi="宋体"/>
          <w:bCs/>
          <w:color w:val="auto"/>
          <w:sz w:val="28"/>
          <w:szCs w:val="28"/>
          <w:highlight w:val="none"/>
          <w:u w:val="single"/>
        </w:rPr>
        <w:t>（委托代理人姓名）</w:t>
      </w:r>
      <w:r>
        <w:rPr>
          <w:rFonts w:hint="eastAsia" w:ascii="宋体" w:hAnsi="宋体"/>
          <w:bCs/>
          <w:color w:val="auto"/>
          <w:sz w:val="28"/>
          <w:szCs w:val="28"/>
          <w:highlight w:val="none"/>
        </w:rPr>
        <w:t>为我方委托代理人，其权限是：</w:t>
      </w:r>
      <w:r>
        <w:rPr>
          <w:rFonts w:hint="eastAsia" w:ascii="宋体" w:hAnsi="宋体"/>
          <w:color w:val="auto"/>
          <w:sz w:val="28"/>
          <w:szCs w:val="28"/>
          <w:highlight w:val="none"/>
        </w:rPr>
        <w:t>办理</w:t>
      </w:r>
      <w:r>
        <w:rPr>
          <w:rFonts w:hint="eastAsia" w:ascii="宋体" w:hAnsi="宋体"/>
          <w:color w:val="auto"/>
          <w:sz w:val="28"/>
          <w:szCs w:val="28"/>
          <w:highlight w:val="none"/>
          <w:u w:val="single"/>
          <w:lang w:val="en-US" w:eastAsia="zh-CN"/>
        </w:rPr>
        <w:t>广州城投综合能源投资经营管理有限公司</w:t>
      </w:r>
      <w:r>
        <w:rPr>
          <w:rFonts w:hint="eastAsia" w:ascii="宋体" w:hAnsi="宋体"/>
          <w:color w:val="auto"/>
          <w:sz w:val="28"/>
          <w:szCs w:val="28"/>
          <w:highlight w:val="none"/>
        </w:rPr>
        <w:t>组织的</w:t>
      </w:r>
      <w:r>
        <w:rPr>
          <w:rFonts w:hint="eastAsia" w:ascii="宋体" w:hAnsi="宋体"/>
          <w:color w:val="auto"/>
          <w:sz w:val="28"/>
          <w:szCs w:val="28"/>
          <w:highlight w:val="none"/>
          <w:u w:val="single"/>
        </w:rPr>
        <w:t>“</w:t>
      </w:r>
      <w:r>
        <w:rPr>
          <w:rFonts w:hint="eastAsia" w:ascii="宋体" w:hAnsi="宋体" w:cstheme="minorBidi"/>
          <w:color w:val="auto"/>
          <w:sz w:val="28"/>
          <w:szCs w:val="28"/>
          <w:highlight w:val="none"/>
          <w:u w:val="single"/>
          <w:lang w:eastAsia="zh-CN"/>
        </w:rPr>
        <w:t>广州大学城杂用水厂水处理药剂采购</w:t>
      </w:r>
      <w:r>
        <w:rPr>
          <w:rFonts w:hint="eastAsia" w:ascii="宋体" w:hAnsi="宋体"/>
          <w:color w:val="auto"/>
          <w:sz w:val="28"/>
          <w:szCs w:val="28"/>
          <w:highlight w:val="none"/>
          <w:u w:val="single"/>
        </w:rPr>
        <w:t>”项目的</w:t>
      </w:r>
      <w:r>
        <w:rPr>
          <w:rFonts w:hint="eastAsia" w:ascii="宋体" w:hAnsi="宋体"/>
          <w:color w:val="auto"/>
          <w:sz w:val="28"/>
          <w:szCs w:val="28"/>
          <w:highlight w:val="none"/>
        </w:rPr>
        <w:t>投标和合同执行，以我方的名义处理一切与之有关的事宜。</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lang w:val="en-GB"/>
        </w:rPr>
        <w:t>本</w:t>
      </w:r>
      <w:r>
        <w:rPr>
          <w:rFonts w:hint="eastAsia" w:ascii="宋体" w:hAnsi="宋体"/>
          <w:color w:val="auto"/>
          <w:sz w:val="28"/>
          <w:szCs w:val="28"/>
          <w:highlight w:val="none"/>
        </w:rPr>
        <w:t>授权证明书有效日期</w:t>
      </w:r>
      <w:r>
        <w:rPr>
          <w:rFonts w:ascii="宋体" w:hAnsi="宋体"/>
          <w:color w:val="auto"/>
          <w:sz w:val="28"/>
          <w:szCs w:val="28"/>
          <w:highlight w:val="none"/>
        </w:rPr>
        <w:t>:</w:t>
      </w:r>
      <w:r>
        <w:rPr>
          <w:rFonts w:hint="eastAsia" w:ascii="宋体" w:hAnsi="宋体"/>
          <w:color w:val="auto"/>
          <w:sz w:val="28"/>
          <w:szCs w:val="28"/>
          <w:highlight w:val="none"/>
          <w:lang w:val="en-GB"/>
        </w:rPr>
        <w:t>自签发之日起至</w:t>
      </w:r>
      <w:r>
        <w:rPr>
          <w:rFonts w:ascii="宋体" w:hAnsi="宋体"/>
          <w:color w:val="auto"/>
          <w:sz w:val="28"/>
          <w:szCs w:val="28"/>
          <w:highlight w:val="none"/>
          <w:lang w:val="en-GB"/>
        </w:rPr>
        <w:t>20</w:t>
      </w:r>
      <w:r>
        <w:rPr>
          <w:rFonts w:hint="eastAsia" w:ascii="宋体" w:hAnsi="宋体"/>
          <w:color w:val="auto"/>
          <w:sz w:val="28"/>
          <w:szCs w:val="28"/>
          <w:highlight w:val="none"/>
          <w:lang w:val="en-US" w:eastAsia="zh-CN"/>
        </w:rPr>
        <w:t>25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r>
        <w:rPr>
          <w:rFonts w:ascii="宋体" w:hAnsi="宋体"/>
          <w:color w:val="auto"/>
          <w:sz w:val="28"/>
          <w:szCs w:val="28"/>
          <w:highlight w:val="none"/>
        </w:rPr>
        <w:t>.</w:t>
      </w:r>
    </w:p>
    <w:p>
      <w:pPr>
        <w:widowControl/>
        <w:ind w:firstLine="560" w:firstLineChars="200"/>
        <w:jc w:val="left"/>
        <w:rPr>
          <w:rFonts w:ascii="宋体" w:hAnsi="宋体"/>
          <w:bCs/>
          <w:color w:val="auto"/>
          <w:sz w:val="28"/>
          <w:szCs w:val="28"/>
          <w:highlight w:val="none"/>
        </w:rPr>
      </w:pPr>
      <w:r>
        <w:rPr>
          <w:rFonts w:hint="eastAsia" w:ascii="宋体" w:hAnsi="宋体"/>
          <w:color w:val="auto"/>
          <w:sz w:val="28"/>
          <w:szCs w:val="28"/>
          <w:highlight w:val="none"/>
          <w:lang w:val="en-GB"/>
        </w:rPr>
        <w:t>特此证明。</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附：代理人性别：年龄：职务：</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身份证号码：</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（营业执照等）注册号码：</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企业类型：</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经营范围：</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法定代表人（签字或盖章）：</w:t>
      </w:r>
    </w:p>
    <w:p>
      <w:pPr>
        <w:widowControl/>
        <w:jc w:val="left"/>
        <w:rPr>
          <w:rFonts w:ascii="宋体" w:hAnsi="宋体"/>
          <w:color w:val="auto"/>
          <w:sz w:val="28"/>
          <w:szCs w:val="28"/>
          <w:highlight w:val="none"/>
        </w:rPr>
      </w:pPr>
      <w:r>
        <w:rPr>
          <w:rFonts w:hint="eastAsia" w:ascii="宋体" w:hAnsi="宋体"/>
          <w:color w:val="auto"/>
          <w:sz w:val="28"/>
          <w:szCs w:val="28"/>
          <w:highlight w:val="none"/>
        </w:rPr>
        <w:t>被授权人（签字或盖章）：</w:t>
      </w:r>
    </w:p>
    <w:p>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p>
    <w:p>
      <w:pPr>
        <w:widowControl/>
        <w:jc w:val="left"/>
        <w:rPr>
          <w:rFonts w:ascii="宋体" w:hAnsi="宋体"/>
          <w:color w:val="auto"/>
          <w:sz w:val="28"/>
          <w:szCs w:val="28"/>
          <w:highlight w:val="none"/>
        </w:rPr>
      </w:pPr>
      <w:r>
        <w:rPr>
          <w:rFonts w:hint="eastAsia" w:ascii="宋体" w:hAnsi="宋体"/>
          <w:color w:val="auto"/>
          <w:sz w:val="28"/>
          <w:szCs w:val="28"/>
          <w:highlight w:val="none"/>
        </w:rPr>
        <w:t>附：授权代理人有效身份证正反面或其他身份证明材料复印</w:t>
      </w:r>
      <w:r>
        <w:rPr>
          <w:rFonts w:ascii="宋体" w:hAnsi="宋体"/>
          <w:color w:val="auto"/>
          <w:sz w:val="28"/>
          <w:szCs w:val="28"/>
          <w:highlight w:val="none"/>
        </w:rPr>
        <w:t>(加盖公章)</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说明：法定代表人亲自办理投标事宜的，无需提交本证明书。</w:t>
      </w:r>
    </w:p>
    <w:p>
      <w:pPr>
        <w:rPr>
          <w:rFonts w:hint="default" w:ascii="仿宋" w:hAnsi="仿宋" w:cs="仿宋" w:eastAsiaTheme="minorEastAsia"/>
          <w:szCs w:val="21"/>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7</w:t>
      </w:r>
    </w:p>
    <w:p>
      <w:pPr>
        <w:pStyle w:val="6"/>
        <w:ind w:firstLine="3213" w:firstLineChars="1000"/>
        <w:jc w:val="both"/>
        <w:rPr>
          <w:rFonts w:ascii="宋体" w:hAnsi="宋体" w:cs="仿宋"/>
          <w:b/>
          <w:sz w:val="32"/>
          <w:szCs w:val="28"/>
        </w:rPr>
      </w:pPr>
      <w:r>
        <w:rPr>
          <w:rFonts w:hint="eastAsia" w:cs="仿宋"/>
          <w:b/>
          <w:sz w:val="32"/>
          <w:szCs w:val="28"/>
          <w:lang w:val="en-US" w:eastAsia="zh-CN"/>
        </w:rPr>
        <w:t>投标人</w:t>
      </w:r>
      <w:r>
        <w:rPr>
          <w:rFonts w:hint="eastAsia" w:ascii="宋体" w:hAnsi="宋体" w:cs="仿宋"/>
          <w:b/>
          <w:sz w:val="32"/>
          <w:szCs w:val="28"/>
        </w:rPr>
        <w:t>声明函</w:t>
      </w:r>
    </w:p>
    <w:p>
      <w:pPr>
        <w:rPr>
          <w:rFonts w:hint="eastAsia" w:ascii="宋体" w:hAnsi="宋体" w:cs="仿宋"/>
          <w:b/>
          <w:sz w:val="22"/>
          <w:szCs w:val="21"/>
        </w:rPr>
      </w:pPr>
    </w:p>
    <w:p>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color w:val="000000"/>
          <w:sz w:val="24"/>
          <w:u w:val="single"/>
          <w:lang w:val="en-US" w:eastAsia="zh-CN"/>
        </w:rPr>
        <w:t>广州城投综合能源投资经营管理有限公司</w:t>
      </w:r>
      <w:r>
        <w:rPr>
          <w:rFonts w:ascii="宋体" w:hAnsi="宋体" w:cs="仿宋"/>
          <w:color w:val="000000"/>
          <w:sz w:val="24"/>
          <w:u w:val="single"/>
        </w:rPr>
        <w:t xml:space="preserve"> </w:t>
      </w:r>
      <w:r>
        <w:rPr>
          <w:rFonts w:hint="eastAsia" w:ascii="宋体" w:hAnsi="宋体" w:cs="仿宋"/>
          <w:b/>
          <w:sz w:val="24"/>
        </w:rPr>
        <w:t>：</w:t>
      </w:r>
    </w:p>
    <w:p>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lang w:eastAsia="zh-CN"/>
        </w:rPr>
        <w:t>广州大学城杂用水厂水处理药剂采购</w:t>
      </w:r>
      <w:r>
        <w:rPr>
          <w:rFonts w:hint="eastAsia" w:ascii="宋体" w:hAnsi="宋体" w:cs="仿宋"/>
          <w:color w:val="000000"/>
          <w:sz w:val="24"/>
          <w:u w:val="single"/>
        </w:rPr>
        <w:t>项目</w:t>
      </w:r>
      <w:r>
        <w:rPr>
          <w:rFonts w:hint="eastAsia" w:ascii="宋体" w:hAnsi="宋体" w:cs="仿宋"/>
          <w:color w:val="000000"/>
          <w:sz w:val="24"/>
        </w:rPr>
        <w:t>，我公司（企业）愿意参加竞选，并声明：</w:t>
      </w:r>
    </w:p>
    <w:p>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pPr>
        <w:spacing w:line="360" w:lineRule="auto"/>
        <w:ind w:firstLine="420"/>
        <w:rPr>
          <w:rFonts w:hint="eastAsia" w:ascii="宋体" w:hAnsi="宋体" w:cs="仿宋"/>
          <w:sz w:val="24"/>
        </w:rPr>
      </w:pPr>
    </w:p>
    <w:p>
      <w:pPr>
        <w:spacing w:line="360" w:lineRule="auto"/>
        <w:ind w:firstLine="420"/>
        <w:rPr>
          <w:rFonts w:hint="eastAsia" w:ascii="宋体" w:hAnsi="宋体" w:cs="仿宋"/>
          <w:sz w:val="24"/>
        </w:rPr>
      </w:pPr>
    </w:p>
    <w:p>
      <w:pPr>
        <w:spacing w:line="360" w:lineRule="auto"/>
        <w:ind w:firstLine="420"/>
        <w:rPr>
          <w:rFonts w:hint="eastAsia" w:ascii="宋体" w:hAnsi="宋体" w:cs="仿宋"/>
          <w:sz w:val="24"/>
        </w:rPr>
      </w:pPr>
    </w:p>
    <w:p>
      <w:pPr>
        <w:spacing w:line="360" w:lineRule="auto"/>
        <w:ind w:firstLine="420"/>
        <w:rPr>
          <w:rFonts w:hint="eastAsia" w:ascii="宋体" w:hAnsi="宋体" w:cs="仿宋"/>
          <w:sz w:val="24"/>
        </w:rPr>
      </w:pPr>
    </w:p>
    <w:p>
      <w:pPr>
        <w:spacing w:line="360" w:lineRule="auto"/>
        <w:rPr>
          <w:rFonts w:hint="eastAsia" w:ascii="宋体" w:hAnsi="宋体" w:cs="仿宋"/>
          <w:color w:val="000000"/>
          <w:sz w:val="24"/>
        </w:rPr>
      </w:pPr>
      <w:r>
        <w:rPr>
          <w:rFonts w:hint="eastAsia" w:ascii="宋体" w:hAnsi="宋体" w:cs="仿宋"/>
          <w:color w:val="000000"/>
          <w:sz w:val="24"/>
        </w:rPr>
        <w:t>投标人名称（盖公章）：</w:t>
      </w:r>
    </w:p>
    <w:p>
      <w:pPr>
        <w:rPr>
          <w:rFonts w:hint="eastAsia" w:ascii="宋体" w:hAnsi="宋体" w:cs="仿宋"/>
          <w:color w:val="000000"/>
          <w:sz w:val="24"/>
        </w:rPr>
      </w:pPr>
      <w:r>
        <w:rPr>
          <w:rFonts w:hint="eastAsia" w:ascii="宋体" w:hAnsi="宋体" w:cs="仿宋"/>
          <w:color w:val="000000"/>
          <w:sz w:val="24"/>
        </w:rPr>
        <w:t>日期：</w:t>
      </w:r>
    </w:p>
    <w:p>
      <w:pPr>
        <w:rPr>
          <w:rFonts w:hint="eastAsia" w:ascii="宋体" w:hAnsi="宋体" w:cs="仿宋"/>
          <w:color w:val="000000"/>
          <w:sz w:val="24"/>
        </w:rPr>
      </w:pPr>
    </w:p>
    <w:p>
      <w:pPr>
        <w:widowControl/>
        <w:jc w:val="left"/>
        <w:rPr>
          <w:rFonts w:hint="eastAsia" w:ascii="宋体" w:hAnsi="宋体"/>
          <w:b/>
          <w:sz w:val="32"/>
          <w:lang w:val="en-US" w:eastAsia="zh-CN"/>
        </w:rPr>
      </w:pPr>
      <w:r>
        <w:rPr>
          <w:rFonts w:hint="eastAsia" w:ascii="宋体" w:hAnsi="宋体"/>
          <w:b/>
          <w:sz w:val="32"/>
          <w:lang w:val="en-US" w:eastAsia="zh-CN"/>
        </w:rPr>
        <w:br w:type="page"/>
      </w:r>
    </w:p>
    <w:p>
      <w:pPr>
        <w:rPr>
          <w:rFonts w:hint="default" w:ascii="仿宋" w:hAnsi="仿宋" w:cs="仿宋" w:eastAsiaTheme="minorEastAsia"/>
          <w:szCs w:val="21"/>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8</w:t>
      </w:r>
    </w:p>
    <w:p>
      <w:pPr>
        <w:pStyle w:val="6"/>
        <w:ind w:firstLine="3012" w:firstLineChars="1000"/>
        <w:jc w:val="both"/>
        <w:rPr>
          <w:rFonts w:hint="eastAsia" w:ascii="宋体" w:hAnsi="宋体" w:cs="仿宋"/>
          <w:b/>
          <w:sz w:val="30"/>
          <w:szCs w:val="30"/>
          <w:highlight w:val="none"/>
        </w:rPr>
      </w:pPr>
      <w:r>
        <w:rPr>
          <w:rFonts w:hint="eastAsia" w:cs="仿宋"/>
          <w:b/>
          <w:sz w:val="30"/>
          <w:szCs w:val="30"/>
          <w:highlight w:val="none"/>
          <w:lang w:val="en-US" w:eastAsia="zh-CN"/>
        </w:rPr>
        <w:t>投标人承诺</w:t>
      </w:r>
      <w:r>
        <w:rPr>
          <w:rFonts w:hint="eastAsia" w:ascii="宋体" w:hAnsi="宋体" w:cs="仿宋"/>
          <w:b/>
          <w:sz w:val="30"/>
          <w:szCs w:val="30"/>
          <w:highlight w:val="none"/>
        </w:rPr>
        <w:t>函</w:t>
      </w:r>
    </w:p>
    <w:p>
      <w:pPr>
        <w:rPr>
          <w:rFonts w:hint="eastAsia" w:ascii="宋体" w:hAnsi="宋体" w:cs="仿宋"/>
          <w:b/>
          <w:sz w:val="24"/>
          <w:highlight w:val="none"/>
        </w:rPr>
      </w:pPr>
      <w:r>
        <w:rPr>
          <w:rFonts w:hint="eastAsia" w:ascii="宋体" w:hAnsi="宋体" w:cs="仿宋"/>
          <w:color w:val="000000"/>
          <w:sz w:val="24"/>
          <w:highlight w:val="none"/>
          <w:u w:val="single"/>
          <w:lang w:val="en-US" w:eastAsia="zh-CN"/>
        </w:rPr>
        <w:t>广州城投综合能源投资经营管理有限公司</w:t>
      </w:r>
      <w:r>
        <w:rPr>
          <w:rFonts w:ascii="宋体" w:hAnsi="宋体" w:cs="仿宋"/>
          <w:color w:val="000000"/>
          <w:sz w:val="24"/>
          <w:highlight w:val="none"/>
          <w:u w:val="single"/>
        </w:rPr>
        <w:t xml:space="preserve"> </w:t>
      </w:r>
      <w:r>
        <w:rPr>
          <w:rFonts w:hint="eastAsia" w:ascii="宋体" w:hAnsi="宋体" w:cs="仿宋"/>
          <w:b/>
          <w:sz w:val="24"/>
          <w:highlight w:val="none"/>
        </w:rPr>
        <w:t>：</w:t>
      </w:r>
    </w:p>
    <w:p>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lang w:eastAsia="zh-CN"/>
        </w:rPr>
        <w:t>广州大学城杂用水厂水处理药剂采购</w:t>
      </w:r>
      <w:r>
        <w:rPr>
          <w:rFonts w:hint="eastAsia" w:ascii="宋体" w:hAnsi="宋体" w:cs="仿宋"/>
          <w:color w:val="000000"/>
          <w:sz w:val="24"/>
          <w:u w:val="single"/>
        </w:rPr>
        <w:t>项目</w:t>
      </w:r>
      <w:r>
        <w:rPr>
          <w:rFonts w:hint="eastAsia" w:ascii="宋体" w:hAnsi="宋体" w:cs="仿宋"/>
          <w:color w:val="000000"/>
          <w:sz w:val="24"/>
        </w:rPr>
        <w:t>，我公司（企业）愿意参加竞选，并</w:t>
      </w:r>
      <w:r>
        <w:rPr>
          <w:rFonts w:hint="eastAsia" w:ascii="宋体" w:hAnsi="宋体" w:cs="仿宋"/>
          <w:color w:val="000000"/>
          <w:sz w:val="24"/>
          <w:lang w:val="en-US" w:eastAsia="zh-CN"/>
        </w:rPr>
        <w:t>承诺</w:t>
      </w:r>
      <w:r>
        <w:rPr>
          <w:rFonts w:hint="eastAsia" w:ascii="宋体" w:hAnsi="宋体" w:cs="仿宋"/>
          <w:color w:val="000000"/>
          <w:sz w:val="24"/>
        </w:rPr>
        <w:t>：</w:t>
      </w:r>
    </w:p>
    <w:p>
      <w:pPr>
        <w:numPr>
          <w:ilvl w:val="-1"/>
          <w:numId w:val="0"/>
        </w:numPr>
        <w:spacing w:line="500" w:lineRule="exact"/>
        <w:ind w:left="0" w:firstLine="420" w:firstLineChars="200"/>
        <w:rPr>
          <w:rFonts w:ascii="宋体" w:hAnsi="宋体" w:eastAsia="宋体"/>
          <w:szCs w:val="21"/>
        </w:rPr>
      </w:pPr>
      <w:r>
        <w:rPr>
          <w:rFonts w:hint="eastAsia" w:ascii="宋体" w:hAnsi="宋体" w:eastAsia="宋体"/>
          <w:szCs w:val="21"/>
          <w:lang w:val="en-US" w:eastAsia="zh-CN"/>
        </w:rPr>
        <w:t>能全年每天24小时响应采购人的供货需求，正常情况接到采购人供货需求在3天内保质保量到货，应急情况下接到采购人供货需求12小时内货到现场。</w:t>
      </w:r>
    </w:p>
    <w:p>
      <w:pPr>
        <w:pStyle w:val="2"/>
        <w:rPr>
          <w:rFonts w:hint="eastAsia" w:ascii="Times New Roman" w:hAnsi="Times New Roman" w:eastAsia="宋体" w:cs="宋体"/>
          <w:szCs w:val="21"/>
        </w:rPr>
      </w:pPr>
    </w:p>
    <w:p>
      <w:pPr>
        <w:spacing w:line="360" w:lineRule="auto"/>
        <w:ind w:firstLine="5040" w:firstLineChars="2100"/>
        <w:rPr>
          <w:rFonts w:hint="eastAsia" w:ascii="宋体" w:hAnsi="宋体" w:cs="仿宋"/>
          <w:color w:val="000000"/>
          <w:sz w:val="24"/>
        </w:rPr>
      </w:pPr>
      <w:r>
        <w:rPr>
          <w:rFonts w:hint="eastAsia" w:ascii="宋体" w:hAnsi="宋体" w:cs="仿宋"/>
          <w:color w:val="000000"/>
          <w:sz w:val="24"/>
        </w:rPr>
        <w:t>投标人名称（盖公章）：</w:t>
      </w:r>
    </w:p>
    <w:p>
      <w:pPr>
        <w:ind w:firstLine="5520" w:firstLineChars="2300"/>
        <w:rPr>
          <w:rFonts w:hint="eastAsia" w:ascii="宋体" w:hAnsi="宋体" w:cs="仿宋"/>
          <w:color w:val="000000"/>
          <w:sz w:val="24"/>
        </w:rPr>
      </w:pPr>
      <w:r>
        <w:rPr>
          <w:rFonts w:hint="eastAsia" w:ascii="宋体" w:hAnsi="宋体" w:cs="仿宋"/>
          <w:color w:val="000000"/>
          <w:sz w:val="24"/>
        </w:rPr>
        <w:t>日期：</w:t>
      </w:r>
    </w:p>
    <w:p>
      <w:pPr>
        <w:pStyle w:val="2"/>
        <w:jc w:val="right"/>
        <w:rPr>
          <w:rFonts w:hint="eastAsia" w:ascii="Times New Roman" w:hAnsi="Times New Roman" w:eastAsia="宋体" w:cs="宋体"/>
          <w:szCs w:val="21"/>
        </w:rPr>
      </w:pPr>
    </w:p>
    <w:p>
      <w:pPr>
        <w:pStyle w:val="2"/>
        <w:jc w:val="both"/>
        <w:rPr>
          <w:rFonts w:hint="eastAsia" w:ascii="Times New Roman" w:hAnsi="Times New Roman" w:eastAsia="宋体" w:cs="宋体"/>
          <w:szCs w:val="21"/>
          <w:lang w:val="en-US" w:eastAsia="zh-CN"/>
        </w:rPr>
      </w:pPr>
    </w:p>
    <w:p>
      <w:pPr>
        <w:pStyle w:val="2"/>
        <w:rPr>
          <w:rFonts w:hint="eastAsia"/>
        </w:rPr>
      </w:pPr>
    </w:p>
    <w:p>
      <w:pPr>
        <w:ind w:firstLine="3213" w:firstLineChars="1000"/>
        <w:jc w:val="both"/>
        <w:rPr>
          <w:rFonts w:hint="eastAsia" w:ascii="宋体" w:hAnsi="宋体" w:cs="仿宋"/>
          <w:b/>
          <w:sz w:val="32"/>
          <w:szCs w:val="28"/>
        </w:rPr>
      </w:pPr>
      <w:r>
        <w:rPr>
          <w:rFonts w:hint="eastAsia" w:ascii="宋体" w:hAnsi="宋体" w:cs="仿宋"/>
          <w:b/>
          <w:sz w:val="32"/>
          <w:szCs w:val="28"/>
        </w:rPr>
        <w:br w:type="page"/>
      </w:r>
    </w:p>
    <w:p>
      <w:pPr>
        <w:pStyle w:val="6"/>
        <w:ind w:firstLine="3213" w:firstLineChars="1000"/>
        <w:jc w:val="both"/>
        <w:rPr>
          <w:rFonts w:hint="eastAsia" w:ascii="宋体" w:hAnsi="宋体" w:cs="仿宋"/>
          <w:b/>
          <w:sz w:val="32"/>
          <w:szCs w:val="28"/>
        </w:rPr>
      </w:pPr>
    </w:p>
    <w:p>
      <w:pPr>
        <w:widowControl/>
        <w:jc w:val="left"/>
        <w:rPr>
          <w:rFonts w:hint="eastAsia" w:ascii="宋体" w:hAnsi="宋体"/>
          <w:b/>
          <w:sz w:val="32"/>
          <w:lang w:val="en-US" w:eastAsia="zh-CN"/>
        </w:rPr>
      </w:pPr>
      <w:r>
        <w:rPr>
          <w:rFonts w:hint="eastAsia" w:ascii="宋体" w:hAnsi="宋体"/>
          <w:b/>
          <w:sz w:val="32"/>
          <w:lang w:val="en-US" w:eastAsia="zh-CN"/>
        </w:rPr>
        <w:t>附件9</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left="0" w:leftChars="0" w:firstLine="0" w:firstLineChars="0"/>
        <w:rPr>
          <w:rFonts w:hint="eastAsia" w:ascii="宋体" w:hAnsi="宋体" w:eastAsiaTheme="minorEastAsia"/>
          <w:lang w:eastAsia="zh-CN"/>
        </w:rPr>
      </w:pPr>
      <w:r>
        <w:rPr>
          <w:rFonts w:hint="eastAsia" w:ascii="宋体" w:hAnsi="宋体"/>
        </w:rPr>
        <w:t>项目名称：</w:t>
      </w:r>
      <w:r>
        <w:rPr>
          <w:rFonts w:hint="eastAsia" w:ascii="宋体" w:hAnsi="宋体"/>
          <w:lang w:eastAsia="zh-CN"/>
        </w:rPr>
        <w:t>广州大学城杂用水厂水处理药剂采购</w:t>
      </w:r>
    </w:p>
    <w:tbl>
      <w:tblPr>
        <w:tblStyle w:val="19"/>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sz w:val="18"/>
                <w:szCs w:val="18"/>
                <w:highlight w:val="none"/>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sz w:val="18"/>
                <w:szCs w:val="18"/>
                <w:highlight w:val="none"/>
              </w:rPr>
              <w:t>投标单位必须是具有独立承担民事责任能力的在中华人民共和国境内注册的法人或其他组织，提供营业执照或法人证书的盖章扫描件证明</w:t>
            </w:r>
            <w:r>
              <w:rPr>
                <w:rFonts w:hint="eastAsia" w:ascii="宋体" w:hAnsi="宋体"/>
                <w:sz w:val="18"/>
                <w:szCs w:val="18"/>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eastAsia="宋体" w:cs="宋体"/>
                <w:color w:val="000000"/>
                <w:kern w:val="0"/>
                <w:sz w:val="18"/>
                <w:szCs w:val="18"/>
                <w:highlight w:val="none"/>
              </w:rPr>
              <w:t>投标人</w:t>
            </w:r>
            <w:r>
              <w:rPr>
                <w:rFonts w:hint="eastAsia" w:ascii="宋体" w:hAnsi="宋体" w:eastAsia="宋体" w:cs="宋体"/>
                <w:color w:val="000000"/>
                <w:kern w:val="0"/>
                <w:sz w:val="18"/>
                <w:szCs w:val="18"/>
                <w:highlight w:val="none"/>
                <w:lang w:val="en-US" w:eastAsia="zh-CN"/>
              </w:rPr>
              <w:t>未</w:t>
            </w:r>
            <w:r>
              <w:rPr>
                <w:rFonts w:hint="eastAsia" w:ascii="宋体" w:hAnsi="宋体" w:eastAsia="宋体" w:cs="宋体"/>
                <w:color w:val="000000"/>
                <w:kern w:val="0"/>
                <w:sz w:val="18"/>
                <w:szCs w:val="18"/>
                <w:highlight w:val="none"/>
              </w:rPr>
              <w:t>被列入“信用中国”网站（www.creditchina.gov.cn）记录失信被执行人当事人名单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提供“信用中国”网站的信用记录查询结果截图</w:t>
            </w:r>
            <w:r>
              <w:rPr>
                <w:rFonts w:hint="eastAsia" w:ascii="宋体" w:hAnsi="宋体" w:eastAsia="宋体" w:cs="宋体"/>
                <w:color w:val="000000"/>
                <w:kern w:val="0"/>
                <w:sz w:val="18"/>
                <w:szCs w:val="18"/>
                <w:highlight w:val="none"/>
                <w:lang w:val="en-US" w:eastAsia="zh-CN"/>
              </w:rPr>
              <w:t>或信用报告</w:t>
            </w:r>
            <w:r>
              <w:rPr>
                <w:rFonts w:hint="eastAsia" w:ascii="宋体" w:hAnsi="宋体" w:eastAsia="宋体" w:cs="宋体"/>
                <w:color w:val="000000"/>
                <w:kern w:val="0"/>
                <w:sz w:val="18"/>
                <w:szCs w:val="18"/>
                <w:highlight w:val="none"/>
              </w:rPr>
              <w:t>并打印页面加盖公章</w:t>
            </w:r>
            <w:r>
              <w:rPr>
                <w:rFonts w:hint="eastAsia" w:ascii="宋体" w:hAnsi="宋体" w:eastAsia="宋体" w:cs="宋体"/>
                <w:color w:val="000000"/>
                <w:kern w:val="0"/>
                <w:sz w:val="18"/>
                <w:szCs w:val="18"/>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b/>
                <w:bCs/>
                <w:color w:val="000000"/>
                <w:kern w:val="0"/>
                <w:sz w:val="18"/>
                <w:szCs w:val="18"/>
              </w:rPr>
              <w:t>附投标声明函</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宋体" w:hAnsi="宋体"/>
                <w:color w:val="auto"/>
                <w:kern w:val="0"/>
                <w:sz w:val="18"/>
                <w:szCs w:val="18"/>
                <w:highlight w:val="none"/>
                <w:lang w:val="en-US" w:eastAsia="zh-CN"/>
              </w:rPr>
            </w:pPr>
            <w:r>
              <w:rPr>
                <w:rFonts w:hint="eastAsia" w:ascii="宋体" w:hAnsi="宋体"/>
                <w:b/>
                <w:bCs/>
                <w:color w:val="auto"/>
                <w:kern w:val="0"/>
                <w:sz w:val="18"/>
                <w:szCs w:val="18"/>
                <w:highlight w:val="none"/>
                <w:lang w:val="en-US" w:eastAsia="zh-CN"/>
              </w:rPr>
              <w:t>投标人有提供投标人承诺函（见附件7）；</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color w:val="auto"/>
                <w:kern w:val="0"/>
                <w:highlight w:val="none"/>
                <w:lang w:val="en-US" w:eastAsia="zh-CN"/>
              </w:rPr>
            </w:pPr>
            <w:r>
              <w:rPr>
                <w:rFonts w:hint="eastAsia" w:ascii="宋体" w:hAnsi="宋体"/>
                <w:color w:val="auto"/>
                <w:kern w:val="0"/>
                <w:highlight w:val="none"/>
                <w:lang w:val="en-US" w:eastAsia="zh-CN"/>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投标人必须</w:t>
            </w:r>
            <w:r>
              <w:rPr>
                <w:rFonts w:hint="eastAsia" w:ascii="宋体" w:hAnsi="宋体" w:eastAsia="宋体" w:cs="宋体"/>
                <w:color w:val="000000"/>
                <w:kern w:val="0"/>
                <w:sz w:val="18"/>
                <w:szCs w:val="18"/>
                <w:highlight w:val="none"/>
                <w:lang w:val="en-US" w:eastAsia="zh-CN"/>
              </w:rPr>
              <w:t>具备危化品生产或经营销售</w:t>
            </w:r>
            <w:r>
              <w:rPr>
                <w:rFonts w:hint="eastAsia" w:ascii="宋体" w:hAnsi="宋体" w:eastAsia="宋体" w:cs="宋体"/>
                <w:b/>
                <w:bCs/>
                <w:color w:val="000000"/>
                <w:kern w:val="0"/>
                <w:sz w:val="18"/>
                <w:szCs w:val="18"/>
                <w:highlight w:val="none"/>
                <w:lang w:val="en-US" w:eastAsia="zh-CN"/>
              </w:rPr>
              <w:t>许可证</w:t>
            </w:r>
            <w:r>
              <w:rPr>
                <w:rFonts w:hint="eastAsia" w:ascii="宋体" w:hAnsi="宋体" w:eastAsia="宋体" w:cs="宋体"/>
                <w:color w:val="000000"/>
                <w:kern w:val="0"/>
                <w:sz w:val="18"/>
                <w:szCs w:val="18"/>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eastAsia="zh-CN"/>
              </w:rPr>
              <w:t>投标人必须</w:t>
            </w:r>
            <w:r>
              <w:rPr>
                <w:rFonts w:hint="eastAsia" w:ascii="宋体" w:hAnsi="宋体" w:eastAsia="宋体" w:cs="宋体"/>
                <w:color w:val="000000"/>
                <w:kern w:val="0"/>
                <w:sz w:val="18"/>
                <w:szCs w:val="18"/>
                <w:highlight w:val="none"/>
                <w:lang w:val="en-US" w:eastAsia="zh-CN"/>
              </w:rPr>
              <w:t>提供</w:t>
            </w:r>
            <w:r>
              <w:rPr>
                <w:rFonts w:hint="eastAsia" w:ascii="宋体" w:hAnsi="宋体" w:eastAsia="宋体" w:cs="宋体"/>
                <w:b/>
                <w:bCs/>
                <w:color w:val="000000"/>
                <w:kern w:val="0"/>
                <w:sz w:val="18"/>
                <w:szCs w:val="18"/>
                <w:highlight w:val="none"/>
                <w:lang w:val="en-US" w:eastAsia="zh-CN"/>
              </w:rPr>
              <w:t>投标报价产品质量检测报告</w:t>
            </w:r>
            <w:r>
              <w:rPr>
                <w:rFonts w:hint="eastAsia" w:ascii="宋体" w:hAnsi="宋体" w:eastAsia="宋体" w:cs="宋体"/>
                <w:color w:val="000000"/>
                <w:kern w:val="0"/>
                <w:sz w:val="18"/>
                <w:szCs w:val="18"/>
                <w:highlight w:val="none"/>
                <w:lang w:val="en-US" w:eastAsia="zh-CN"/>
              </w:rPr>
              <w:t>；且提供</w:t>
            </w:r>
            <w:r>
              <w:rPr>
                <w:rFonts w:hint="eastAsia" w:ascii="宋体" w:hAnsi="宋体" w:eastAsia="宋体" w:cs="宋体"/>
                <w:b/>
                <w:bCs/>
                <w:color w:val="000000"/>
                <w:kern w:val="0"/>
                <w:sz w:val="18"/>
                <w:szCs w:val="18"/>
                <w:highlight w:val="none"/>
                <w:lang w:val="en-US" w:eastAsia="zh-CN"/>
              </w:rPr>
              <w:t>次氯酸钠涉水卫生许可批件</w:t>
            </w:r>
            <w:r>
              <w:rPr>
                <w:rFonts w:hint="eastAsia" w:ascii="宋体" w:hAnsi="宋体" w:eastAsia="宋体" w:cs="宋体"/>
                <w:color w:val="000000"/>
                <w:kern w:val="0"/>
                <w:sz w:val="18"/>
                <w:szCs w:val="18"/>
                <w:highlight w:val="none"/>
                <w:lang w:val="en-US"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10</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投标人近3年内(2022年1月1日至今)具有类似与供水企业供货业绩，提供合同关键页复印件，包括但不限于项目名称、金额及实施内容、合同盖章、签订日期，加盖单位公章</w:t>
            </w:r>
            <w:r>
              <w:rPr>
                <w:rFonts w:hint="eastAsia" w:ascii="宋体" w:hAnsi="宋体" w:eastAsia="宋体" w:cs="宋体"/>
                <w:color w:val="000000"/>
                <w:kern w:val="0"/>
                <w:sz w:val="18"/>
                <w:szCs w:val="18"/>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lang w:val="en-US" w:eastAsia="zh-CN"/>
              </w:rPr>
            </w:pPr>
            <w:r>
              <w:rPr>
                <w:rFonts w:hint="eastAsia" w:ascii="宋体" w:hAnsi="宋体"/>
                <w:kern w:val="0"/>
                <w:lang w:val="en-US" w:eastAsia="zh-CN"/>
              </w:rPr>
              <w:t>11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没有采购</w:t>
            </w:r>
            <w:r>
              <w:rPr>
                <w:rFonts w:hint="eastAsia" w:ascii="宋体" w:hAnsi="宋体"/>
                <w:kern w:val="0"/>
                <w:sz w:val="18"/>
                <w:szCs w:val="18"/>
                <w:highlight w:val="none"/>
              </w:rPr>
              <w:t>人不能接受的条件；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lang w:val="en-US" w:eastAsia="zh-CN"/>
              </w:rPr>
            </w:pPr>
            <w:r>
              <w:rPr>
                <w:rFonts w:hint="eastAsia" w:ascii="宋体" w:hAnsi="宋体"/>
                <w:kern w:val="0"/>
                <w:lang w:val="en-US" w:eastAsia="zh-CN"/>
              </w:rPr>
              <w:t>12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lang w:val="en-US" w:eastAsia="zh-CN"/>
              </w:rPr>
            </w:pPr>
            <w:r>
              <w:rPr>
                <w:rFonts w:hint="eastAsia" w:ascii="宋体" w:hAnsi="宋体"/>
                <w:kern w:val="0"/>
                <w:lang w:val="en-US" w:eastAsia="zh-CN"/>
              </w:rPr>
              <w:t>13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27"/>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pPr>
        <w:numPr>
          <w:ilvl w:val="0"/>
          <w:numId w:val="27"/>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27"/>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27"/>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before="93"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pPr>
        <w:widowControl/>
        <w:jc w:val="cente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9A374"/>
    <w:multiLevelType w:val="singleLevel"/>
    <w:tmpl w:val="DC69A374"/>
    <w:lvl w:ilvl="0" w:tentative="0">
      <w:start w:val="1"/>
      <w:numFmt w:val="decimal"/>
      <w:suff w:val="nothing"/>
      <w:lvlText w:val="%1、"/>
      <w:lvlJc w:val="left"/>
    </w:lvl>
  </w:abstractNum>
  <w:abstractNum w:abstractNumId="1">
    <w:nsid w:val="EE720864"/>
    <w:multiLevelType w:val="singleLevel"/>
    <w:tmpl w:val="EE720864"/>
    <w:lvl w:ilvl="0" w:tentative="0">
      <w:start w:val="1"/>
      <w:numFmt w:val="decimal"/>
      <w:suff w:val="nothing"/>
      <w:lvlText w:val="（%1）"/>
      <w:lvlJc w:val="left"/>
    </w:lvl>
  </w:abstractNum>
  <w:abstractNum w:abstractNumId="2">
    <w:nsid w:val="FCE75B86"/>
    <w:multiLevelType w:val="multilevel"/>
    <w:tmpl w:val="FCE75B8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0004EE0E"/>
    <w:multiLevelType w:val="singleLevel"/>
    <w:tmpl w:val="0004EE0E"/>
    <w:lvl w:ilvl="0" w:tentative="0">
      <w:start w:val="1"/>
      <w:numFmt w:val="decimal"/>
      <w:suff w:val="nothing"/>
      <w:lvlText w:val="%1、"/>
      <w:lvlJc w:val="left"/>
    </w:lvl>
  </w:abstractNum>
  <w:abstractNum w:abstractNumId="4">
    <w:nsid w:val="01ACBC5B"/>
    <w:multiLevelType w:val="singleLevel"/>
    <w:tmpl w:val="01ACBC5B"/>
    <w:lvl w:ilvl="0" w:tentative="0">
      <w:start w:val="1"/>
      <w:numFmt w:val="chineseCounting"/>
      <w:suff w:val="nothing"/>
      <w:lvlText w:val="%1、"/>
      <w:lvlJc w:val="left"/>
      <w:rPr>
        <w:rFonts w:hint="eastAsia"/>
      </w:rPr>
    </w:lvl>
  </w:abstractNum>
  <w:abstractNum w:abstractNumId="5">
    <w:nsid w:val="07335016"/>
    <w:multiLevelType w:val="singleLevel"/>
    <w:tmpl w:val="07335016"/>
    <w:lvl w:ilvl="0" w:tentative="0">
      <w:start w:val="1"/>
      <w:numFmt w:val="chineseCounting"/>
      <w:suff w:val="nothing"/>
      <w:lvlText w:val="%1、"/>
      <w:lvlJc w:val="left"/>
      <w:pPr>
        <w:ind w:left="0" w:firstLine="420"/>
      </w:pPr>
      <w:rPr>
        <w:rFonts w:hint="eastAsia"/>
      </w:rPr>
    </w:lvl>
  </w:abstractNum>
  <w:abstractNum w:abstractNumId="6">
    <w:nsid w:val="07993A66"/>
    <w:multiLevelType w:val="singleLevel"/>
    <w:tmpl w:val="07993A66"/>
    <w:lvl w:ilvl="0" w:tentative="0">
      <w:start w:val="1"/>
      <w:numFmt w:val="chineseCounting"/>
      <w:suff w:val="nothing"/>
      <w:lvlText w:val="（%1）"/>
      <w:lvlJc w:val="left"/>
      <w:pPr>
        <w:ind w:left="-136" w:firstLine="420"/>
      </w:pPr>
      <w:rPr>
        <w:rFonts w:hint="eastAsia"/>
        <w:lang w:val="en-US"/>
      </w:rPr>
    </w:lvl>
  </w:abstractNum>
  <w:abstractNum w:abstractNumId="7">
    <w:nsid w:val="07C8B22C"/>
    <w:multiLevelType w:val="multilevel"/>
    <w:tmpl w:val="07C8B22C"/>
    <w:lvl w:ilvl="0" w:tentative="0">
      <w:start w:val="1"/>
      <w:numFmt w:val="decimal"/>
      <w:suff w:val="nothing"/>
      <w:lvlText w:val="%1、"/>
      <w:lvlJc w:val="left"/>
      <w:pPr>
        <w:ind w:left="0" w:firstLine="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08956441"/>
    <w:multiLevelType w:val="singleLevel"/>
    <w:tmpl w:val="08956441"/>
    <w:lvl w:ilvl="0" w:tentative="0">
      <w:start w:val="1"/>
      <w:numFmt w:val="decimal"/>
      <w:suff w:val="nothing"/>
      <w:lvlText w:val="%1．"/>
      <w:lvlJc w:val="left"/>
      <w:pPr>
        <w:ind w:left="0" w:firstLine="400"/>
      </w:pPr>
      <w:rPr>
        <w:rFonts w:hint="default"/>
      </w:rPr>
    </w:lvl>
  </w:abstractNum>
  <w:abstractNum w:abstractNumId="9">
    <w:nsid w:val="0B671896"/>
    <w:multiLevelType w:val="singleLevel"/>
    <w:tmpl w:val="0B671896"/>
    <w:lvl w:ilvl="0" w:tentative="0">
      <w:start w:val="1"/>
      <w:numFmt w:val="decimal"/>
      <w:suff w:val="nothing"/>
      <w:lvlText w:val="%1．"/>
      <w:lvlJc w:val="left"/>
      <w:pPr>
        <w:ind w:left="0" w:firstLine="400"/>
      </w:pPr>
      <w:rPr>
        <w:rFonts w:hint="default"/>
      </w:rPr>
    </w:lvl>
  </w:abstractNum>
  <w:abstractNum w:abstractNumId="10">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3">
    <w:nsid w:val="28742218"/>
    <w:multiLevelType w:val="singleLevel"/>
    <w:tmpl w:val="28742218"/>
    <w:lvl w:ilvl="0" w:tentative="0">
      <w:start w:val="1"/>
      <w:numFmt w:val="decimal"/>
      <w:suff w:val="nothing"/>
      <w:lvlText w:val="%1．"/>
      <w:lvlJc w:val="left"/>
      <w:pPr>
        <w:ind w:left="26" w:firstLine="400"/>
      </w:pPr>
      <w:rPr>
        <w:rFonts w:hint="default"/>
      </w:rPr>
    </w:lvl>
  </w:abstractNum>
  <w:abstractNum w:abstractNumId="1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5">
    <w:nsid w:val="2E88931B"/>
    <w:multiLevelType w:val="singleLevel"/>
    <w:tmpl w:val="2E88931B"/>
    <w:lvl w:ilvl="0" w:tentative="0">
      <w:start w:val="1"/>
      <w:numFmt w:val="chineseCounting"/>
      <w:suff w:val="nothing"/>
      <w:lvlText w:val="（%1）"/>
      <w:lvlJc w:val="left"/>
      <w:rPr>
        <w:rFonts w:hint="eastAsia"/>
      </w:rPr>
    </w:lvl>
  </w:abstractNum>
  <w:abstractNum w:abstractNumId="16">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4B18894F"/>
    <w:multiLevelType w:val="singleLevel"/>
    <w:tmpl w:val="4B18894F"/>
    <w:lvl w:ilvl="0" w:tentative="0">
      <w:start w:val="1"/>
      <w:numFmt w:val="chineseCounting"/>
      <w:suff w:val="nothing"/>
      <w:lvlText w:val="（%1）"/>
      <w:lvlJc w:val="left"/>
      <w:rPr>
        <w:rFonts w:hint="eastAsia"/>
      </w:rPr>
    </w:lvl>
  </w:abstractNum>
  <w:abstractNum w:abstractNumId="18">
    <w:nsid w:val="4C5F0BA7"/>
    <w:multiLevelType w:val="singleLevel"/>
    <w:tmpl w:val="4C5F0BA7"/>
    <w:lvl w:ilvl="0" w:tentative="0">
      <w:start w:val="1"/>
      <w:numFmt w:val="decimal"/>
      <w:suff w:val="nothing"/>
      <w:lvlText w:val="%1、"/>
      <w:lvlJc w:val="left"/>
    </w:lvl>
  </w:abstractNum>
  <w:abstractNum w:abstractNumId="19">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1">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D901B77"/>
    <w:multiLevelType w:val="singleLevel"/>
    <w:tmpl w:val="5D901B77"/>
    <w:lvl w:ilvl="0" w:tentative="0">
      <w:start w:val="1"/>
      <w:numFmt w:val="chineseCounting"/>
      <w:suff w:val="nothing"/>
      <w:lvlText w:val="（%1）"/>
      <w:lvlJc w:val="left"/>
      <w:pPr>
        <w:ind w:left="0" w:firstLine="420"/>
      </w:pPr>
      <w:rPr>
        <w:rFonts w:hint="eastAsia"/>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704302FC"/>
    <w:multiLevelType w:val="singleLevel"/>
    <w:tmpl w:val="704302FC"/>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81C1DDD"/>
    <w:multiLevelType w:val="singleLevel"/>
    <w:tmpl w:val="781C1DDD"/>
    <w:lvl w:ilvl="0" w:tentative="0">
      <w:start w:val="1"/>
      <w:numFmt w:val="decimal"/>
      <w:suff w:val="nothing"/>
      <w:lvlText w:val="%1．"/>
      <w:lvlJc w:val="left"/>
      <w:pPr>
        <w:ind w:left="0" w:firstLine="400"/>
      </w:pPr>
      <w:rPr>
        <w:rFonts w:hint="default"/>
      </w:rPr>
    </w:lvl>
  </w:abstractNum>
  <w:num w:numId="1">
    <w:abstractNumId w:val="23"/>
  </w:num>
  <w:num w:numId="2">
    <w:abstractNumId w:val="20"/>
  </w:num>
  <w:num w:numId="3">
    <w:abstractNumId w:val="11"/>
  </w:num>
  <w:num w:numId="4">
    <w:abstractNumId w:val="16"/>
  </w:num>
  <w:num w:numId="5">
    <w:abstractNumId w:val="18"/>
  </w:num>
  <w:num w:numId="6">
    <w:abstractNumId w:val="25"/>
  </w:num>
  <w:num w:numId="7">
    <w:abstractNumId w:val="14"/>
  </w:num>
  <w:num w:numId="8">
    <w:abstractNumId w:val="10"/>
  </w:num>
  <w:num w:numId="9">
    <w:abstractNumId w:val="12"/>
  </w:num>
  <w:num w:numId="10">
    <w:abstractNumId w:val="5"/>
  </w:num>
  <w:num w:numId="11">
    <w:abstractNumId w:val="15"/>
  </w:num>
  <w:num w:numId="12">
    <w:abstractNumId w:val="6"/>
  </w:num>
  <w:num w:numId="13">
    <w:abstractNumId w:val="24"/>
  </w:num>
  <w:num w:numId="14">
    <w:abstractNumId w:val="13"/>
  </w:num>
  <w:num w:numId="15">
    <w:abstractNumId w:val="8"/>
  </w:num>
  <w:num w:numId="16">
    <w:abstractNumId w:val="9"/>
  </w:num>
  <w:num w:numId="17">
    <w:abstractNumId w:val="22"/>
  </w:num>
  <w:num w:numId="18">
    <w:abstractNumId w:val="26"/>
  </w:num>
  <w:num w:numId="19">
    <w:abstractNumId w:val="4"/>
  </w:num>
  <w:num w:numId="20">
    <w:abstractNumId w:val="17"/>
  </w:num>
  <w:num w:numId="21">
    <w:abstractNumId w:val="3"/>
  </w:num>
  <w:num w:numId="22">
    <w:abstractNumId w:val="0"/>
  </w:num>
  <w:num w:numId="23">
    <w:abstractNumId w:val="1"/>
  </w:num>
  <w:num w:numId="24">
    <w:abstractNumId w:val="7"/>
  </w:num>
  <w:num w:numId="25">
    <w:abstractNumId w:val="2"/>
  </w:num>
  <w:num w:numId="26">
    <w:abstractNumId w:val="21"/>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詹映静">
    <w15:presenceInfo w15:providerId="None" w15:userId="詹映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E6"/>
    <w:rsid w:val="00055462"/>
    <w:rsid w:val="00066EB5"/>
    <w:rsid w:val="000704AC"/>
    <w:rsid w:val="000775B8"/>
    <w:rsid w:val="00077870"/>
    <w:rsid w:val="0008426A"/>
    <w:rsid w:val="00084FC8"/>
    <w:rsid w:val="00092026"/>
    <w:rsid w:val="000E1D77"/>
    <w:rsid w:val="00121884"/>
    <w:rsid w:val="001252F0"/>
    <w:rsid w:val="00131D18"/>
    <w:rsid w:val="001360AA"/>
    <w:rsid w:val="00151472"/>
    <w:rsid w:val="00155E93"/>
    <w:rsid w:val="00160670"/>
    <w:rsid w:val="0016226C"/>
    <w:rsid w:val="00167995"/>
    <w:rsid w:val="00172A27"/>
    <w:rsid w:val="00177DB2"/>
    <w:rsid w:val="00184B6A"/>
    <w:rsid w:val="0019317C"/>
    <w:rsid w:val="001D06F3"/>
    <w:rsid w:val="001F3443"/>
    <w:rsid w:val="001F3FA4"/>
    <w:rsid w:val="001F6730"/>
    <w:rsid w:val="00204CDD"/>
    <w:rsid w:val="00211957"/>
    <w:rsid w:val="00212346"/>
    <w:rsid w:val="00213918"/>
    <w:rsid w:val="002266D2"/>
    <w:rsid w:val="002560DB"/>
    <w:rsid w:val="00282C8D"/>
    <w:rsid w:val="00286B34"/>
    <w:rsid w:val="002A03FC"/>
    <w:rsid w:val="002B7918"/>
    <w:rsid w:val="002C14E6"/>
    <w:rsid w:val="002E6ABB"/>
    <w:rsid w:val="002F4FBD"/>
    <w:rsid w:val="002F518B"/>
    <w:rsid w:val="002F5659"/>
    <w:rsid w:val="00304259"/>
    <w:rsid w:val="00304742"/>
    <w:rsid w:val="0032748F"/>
    <w:rsid w:val="0032772B"/>
    <w:rsid w:val="00330308"/>
    <w:rsid w:val="00372405"/>
    <w:rsid w:val="003D691C"/>
    <w:rsid w:val="003E4F57"/>
    <w:rsid w:val="003E7E90"/>
    <w:rsid w:val="00402245"/>
    <w:rsid w:val="004048A2"/>
    <w:rsid w:val="00406C52"/>
    <w:rsid w:val="0041263D"/>
    <w:rsid w:val="004169BF"/>
    <w:rsid w:val="00443DDA"/>
    <w:rsid w:val="00466D47"/>
    <w:rsid w:val="00470BC1"/>
    <w:rsid w:val="00470DDE"/>
    <w:rsid w:val="0047190A"/>
    <w:rsid w:val="00474B2B"/>
    <w:rsid w:val="00475E8E"/>
    <w:rsid w:val="00476C0F"/>
    <w:rsid w:val="00484174"/>
    <w:rsid w:val="00493C7F"/>
    <w:rsid w:val="004A7756"/>
    <w:rsid w:val="004B11D7"/>
    <w:rsid w:val="004C14CD"/>
    <w:rsid w:val="004E5FDB"/>
    <w:rsid w:val="004F2909"/>
    <w:rsid w:val="004F36BB"/>
    <w:rsid w:val="004F45E1"/>
    <w:rsid w:val="00501A8A"/>
    <w:rsid w:val="005033BB"/>
    <w:rsid w:val="0052081A"/>
    <w:rsid w:val="00527BD6"/>
    <w:rsid w:val="005311B9"/>
    <w:rsid w:val="00535149"/>
    <w:rsid w:val="0054253B"/>
    <w:rsid w:val="005475E5"/>
    <w:rsid w:val="00562A90"/>
    <w:rsid w:val="00574762"/>
    <w:rsid w:val="005859B1"/>
    <w:rsid w:val="0059690E"/>
    <w:rsid w:val="005A2B85"/>
    <w:rsid w:val="005C005C"/>
    <w:rsid w:val="005C3E7E"/>
    <w:rsid w:val="005C500C"/>
    <w:rsid w:val="005C626C"/>
    <w:rsid w:val="005D5C00"/>
    <w:rsid w:val="00603F0D"/>
    <w:rsid w:val="006133C3"/>
    <w:rsid w:val="006157FE"/>
    <w:rsid w:val="00620929"/>
    <w:rsid w:val="006210A7"/>
    <w:rsid w:val="006326E3"/>
    <w:rsid w:val="00643C6C"/>
    <w:rsid w:val="00650D96"/>
    <w:rsid w:val="00671D4B"/>
    <w:rsid w:val="0068111A"/>
    <w:rsid w:val="006814C2"/>
    <w:rsid w:val="00682622"/>
    <w:rsid w:val="006A3BB3"/>
    <w:rsid w:val="006A4371"/>
    <w:rsid w:val="006A5CC4"/>
    <w:rsid w:val="006B71ED"/>
    <w:rsid w:val="006D6938"/>
    <w:rsid w:val="006D7FA1"/>
    <w:rsid w:val="006F4560"/>
    <w:rsid w:val="007029DA"/>
    <w:rsid w:val="00705503"/>
    <w:rsid w:val="00714007"/>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6ECE"/>
    <w:rsid w:val="007D2560"/>
    <w:rsid w:val="007E2195"/>
    <w:rsid w:val="007E3247"/>
    <w:rsid w:val="007F201B"/>
    <w:rsid w:val="00804AB7"/>
    <w:rsid w:val="00807B8B"/>
    <w:rsid w:val="008203A0"/>
    <w:rsid w:val="008233B6"/>
    <w:rsid w:val="008433A6"/>
    <w:rsid w:val="00856C32"/>
    <w:rsid w:val="00865633"/>
    <w:rsid w:val="00883690"/>
    <w:rsid w:val="008A600E"/>
    <w:rsid w:val="008D3C13"/>
    <w:rsid w:val="008D7E50"/>
    <w:rsid w:val="008E45E8"/>
    <w:rsid w:val="00910331"/>
    <w:rsid w:val="00920579"/>
    <w:rsid w:val="009325E3"/>
    <w:rsid w:val="00936314"/>
    <w:rsid w:val="0093768E"/>
    <w:rsid w:val="00947D4B"/>
    <w:rsid w:val="00950B98"/>
    <w:rsid w:val="00954F62"/>
    <w:rsid w:val="00961F75"/>
    <w:rsid w:val="00972CF1"/>
    <w:rsid w:val="009B252A"/>
    <w:rsid w:val="009B63A8"/>
    <w:rsid w:val="009D20F5"/>
    <w:rsid w:val="009D4CB5"/>
    <w:rsid w:val="009D62F1"/>
    <w:rsid w:val="009E0F94"/>
    <w:rsid w:val="00A1326C"/>
    <w:rsid w:val="00A23778"/>
    <w:rsid w:val="00A23A51"/>
    <w:rsid w:val="00A26562"/>
    <w:rsid w:val="00A26AAD"/>
    <w:rsid w:val="00A30091"/>
    <w:rsid w:val="00A44B54"/>
    <w:rsid w:val="00A47F45"/>
    <w:rsid w:val="00A86102"/>
    <w:rsid w:val="00A8655B"/>
    <w:rsid w:val="00A9110E"/>
    <w:rsid w:val="00A93C1E"/>
    <w:rsid w:val="00AD0A84"/>
    <w:rsid w:val="00AE07C4"/>
    <w:rsid w:val="00AE7619"/>
    <w:rsid w:val="00AF6418"/>
    <w:rsid w:val="00B11C01"/>
    <w:rsid w:val="00B25413"/>
    <w:rsid w:val="00B3439E"/>
    <w:rsid w:val="00B35BF8"/>
    <w:rsid w:val="00B40C3B"/>
    <w:rsid w:val="00B46A1A"/>
    <w:rsid w:val="00B473E4"/>
    <w:rsid w:val="00B92D92"/>
    <w:rsid w:val="00BC18DB"/>
    <w:rsid w:val="00BC1D8F"/>
    <w:rsid w:val="00BC35D2"/>
    <w:rsid w:val="00BD137E"/>
    <w:rsid w:val="00BD6859"/>
    <w:rsid w:val="00C00FB8"/>
    <w:rsid w:val="00C02D4F"/>
    <w:rsid w:val="00C21B6F"/>
    <w:rsid w:val="00C24901"/>
    <w:rsid w:val="00C25A28"/>
    <w:rsid w:val="00C31D3F"/>
    <w:rsid w:val="00C34E86"/>
    <w:rsid w:val="00C35BE0"/>
    <w:rsid w:val="00CB3548"/>
    <w:rsid w:val="00CB6A7F"/>
    <w:rsid w:val="00CB6FFA"/>
    <w:rsid w:val="00CB7D96"/>
    <w:rsid w:val="00CD49B7"/>
    <w:rsid w:val="00CD5BBA"/>
    <w:rsid w:val="00CD6C03"/>
    <w:rsid w:val="00CE6AE9"/>
    <w:rsid w:val="00CF212B"/>
    <w:rsid w:val="00D05844"/>
    <w:rsid w:val="00D11328"/>
    <w:rsid w:val="00D21EBE"/>
    <w:rsid w:val="00D4050C"/>
    <w:rsid w:val="00D50238"/>
    <w:rsid w:val="00D56296"/>
    <w:rsid w:val="00D62037"/>
    <w:rsid w:val="00D64649"/>
    <w:rsid w:val="00D66802"/>
    <w:rsid w:val="00D771A6"/>
    <w:rsid w:val="00D81CDB"/>
    <w:rsid w:val="00D96975"/>
    <w:rsid w:val="00DA1824"/>
    <w:rsid w:val="00DA2AA1"/>
    <w:rsid w:val="00DC4492"/>
    <w:rsid w:val="00DC67D9"/>
    <w:rsid w:val="00DD349E"/>
    <w:rsid w:val="00DD7A36"/>
    <w:rsid w:val="00DF3E7F"/>
    <w:rsid w:val="00E312F0"/>
    <w:rsid w:val="00E31860"/>
    <w:rsid w:val="00E467F5"/>
    <w:rsid w:val="00E474FB"/>
    <w:rsid w:val="00E560B1"/>
    <w:rsid w:val="00E8151C"/>
    <w:rsid w:val="00E933A8"/>
    <w:rsid w:val="00EC4D1E"/>
    <w:rsid w:val="00EC4ED2"/>
    <w:rsid w:val="00EC63AD"/>
    <w:rsid w:val="00ED5BEE"/>
    <w:rsid w:val="00ED5E29"/>
    <w:rsid w:val="00EE01B2"/>
    <w:rsid w:val="00F1390E"/>
    <w:rsid w:val="00F16E25"/>
    <w:rsid w:val="00F36482"/>
    <w:rsid w:val="00F5422B"/>
    <w:rsid w:val="00F56CDD"/>
    <w:rsid w:val="00F67C31"/>
    <w:rsid w:val="00F96BC0"/>
    <w:rsid w:val="00FA1E8E"/>
    <w:rsid w:val="00FE22F7"/>
    <w:rsid w:val="00FF6134"/>
    <w:rsid w:val="0296642E"/>
    <w:rsid w:val="037C77FA"/>
    <w:rsid w:val="05121D2F"/>
    <w:rsid w:val="05E46730"/>
    <w:rsid w:val="05E72E70"/>
    <w:rsid w:val="061B104E"/>
    <w:rsid w:val="083A5693"/>
    <w:rsid w:val="08ED728A"/>
    <w:rsid w:val="0AE34D38"/>
    <w:rsid w:val="0D4B22A8"/>
    <w:rsid w:val="13FA52B2"/>
    <w:rsid w:val="14C81627"/>
    <w:rsid w:val="14EF1373"/>
    <w:rsid w:val="19502EA7"/>
    <w:rsid w:val="1BB80C20"/>
    <w:rsid w:val="1BDC59C1"/>
    <w:rsid w:val="1C4C7999"/>
    <w:rsid w:val="1CDF3813"/>
    <w:rsid w:val="1D486867"/>
    <w:rsid w:val="1ED73CEA"/>
    <w:rsid w:val="1F79028D"/>
    <w:rsid w:val="218D2D34"/>
    <w:rsid w:val="237D7A54"/>
    <w:rsid w:val="24A74AA5"/>
    <w:rsid w:val="24C37BD9"/>
    <w:rsid w:val="24E1746D"/>
    <w:rsid w:val="28E84500"/>
    <w:rsid w:val="2A282DF1"/>
    <w:rsid w:val="2A8D6911"/>
    <w:rsid w:val="2B3A1378"/>
    <w:rsid w:val="2FAD4259"/>
    <w:rsid w:val="2FF65767"/>
    <w:rsid w:val="310F5753"/>
    <w:rsid w:val="318105E6"/>
    <w:rsid w:val="31C16837"/>
    <w:rsid w:val="351902B6"/>
    <w:rsid w:val="35D066B0"/>
    <w:rsid w:val="369A2BB9"/>
    <w:rsid w:val="381F18FB"/>
    <w:rsid w:val="39202A39"/>
    <w:rsid w:val="3B066538"/>
    <w:rsid w:val="3B4320D1"/>
    <w:rsid w:val="3C862F44"/>
    <w:rsid w:val="3CE63B38"/>
    <w:rsid w:val="3E126EF8"/>
    <w:rsid w:val="3EEE2C36"/>
    <w:rsid w:val="3F48499B"/>
    <w:rsid w:val="460F638C"/>
    <w:rsid w:val="48AC1DB7"/>
    <w:rsid w:val="49B33F51"/>
    <w:rsid w:val="4BD60CD2"/>
    <w:rsid w:val="515D054B"/>
    <w:rsid w:val="518202A7"/>
    <w:rsid w:val="538A488E"/>
    <w:rsid w:val="53C25510"/>
    <w:rsid w:val="53E02240"/>
    <w:rsid w:val="55BC644E"/>
    <w:rsid w:val="56AD58CE"/>
    <w:rsid w:val="57DA0961"/>
    <w:rsid w:val="57F53D78"/>
    <w:rsid w:val="5A6A6339"/>
    <w:rsid w:val="5F03690F"/>
    <w:rsid w:val="5FDB63F0"/>
    <w:rsid w:val="60A015C1"/>
    <w:rsid w:val="60F636F3"/>
    <w:rsid w:val="63584245"/>
    <w:rsid w:val="63664AD4"/>
    <w:rsid w:val="64287193"/>
    <w:rsid w:val="64662191"/>
    <w:rsid w:val="64A70281"/>
    <w:rsid w:val="664637B7"/>
    <w:rsid w:val="680A7DC1"/>
    <w:rsid w:val="6D535020"/>
    <w:rsid w:val="6EA26F29"/>
    <w:rsid w:val="6F136E1D"/>
    <w:rsid w:val="7256702C"/>
    <w:rsid w:val="76414366"/>
    <w:rsid w:val="764F1E1A"/>
    <w:rsid w:val="788E4090"/>
    <w:rsid w:val="78E45BDC"/>
    <w:rsid w:val="79465765"/>
    <w:rsid w:val="79A542F5"/>
    <w:rsid w:val="7B4C6E19"/>
    <w:rsid w:val="7C204001"/>
    <w:rsid w:val="7CCC57EF"/>
    <w:rsid w:val="7DA31039"/>
    <w:rsid w:val="7EC94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6">
    <w:name w:val="Normal Indent"/>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8">
    <w:name w:val="Balloon Text"/>
    <w:basedOn w:val="1"/>
    <w:link w:val="25"/>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Normal (Web)"/>
    <w:basedOn w:val="1"/>
    <w:qFormat/>
    <w:uiPriority w:val="0"/>
    <w:pPr>
      <w:keepNext w:val="0"/>
      <w:keepLines w:val="0"/>
      <w:widowControl w:val="0"/>
      <w:suppressLineNumbers w:val="0"/>
      <w:adjustRightInd w:val="0"/>
      <w:snapToGrid w:val="0"/>
      <w:spacing w:before="0" w:beforeAutospacing="1" w:after="0" w:afterAutospacing="1" w:line="360" w:lineRule="auto"/>
      <w:ind w:left="0" w:right="0" w:firstLine="560" w:firstLineChars="200"/>
      <w:jc w:val="left"/>
    </w:pPr>
    <w:rPr>
      <w:rFonts w:hint="default" w:ascii="Times New Roman" w:hAnsi="Times New Roman" w:eastAsia="宋体" w:cs="Times New Roman"/>
      <w:snapToGrid/>
      <w:kern w:val="0"/>
      <w:sz w:val="24"/>
      <w:szCs w:val="24"/>
      <w:lang w:val="en-US" w:eastAsia="zh-CN" w:bidi="ar"/>
    </w:r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semiHidden/>
    <w:unhideWhenUsed/>
    <w:qFormat/>
    <w:uiPriority w:val="0"/>
    <w:rPr>
      <w:color w:val="2490F8"/>
      <w:u w:val="none"/>
    </w:rPr>
  </w:style>
  <w:style w:type="character" w:styleId="17">
    <w:name w:val="Emphasis"/>
    <w:basedOn w:val="13"/>
    <w:qFormat/>
    <w:uiPriority w:val="0"/>
  </w:style>
  <w:style w:type="character" w:styleId="18">
    <w:name w:val="Hyperlink"/>
    <w:basedOn w:val="13"/>
    <w:unhideWhenUsed/>
    <w:qFormat/>
    <w:uiPriority w:val="99"/>
    <w:rPr>
      <w:color w:val="2490F8"/>
      <w:u w:val="none"/>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出段落1"/>
    <w:basedOn w:val="1"/>
    <w:unhideWhenUsed/>
    <w:qFormat/>
    <w:uiPriority w:val="34"/>
    <w:pPr>
      <w:ind w:firstLine="420" w:firstLineChars="200"/>
    </w:pPr>
  </w:style>
  <w:style w:type="paragraph" w:customStyle="1" w:styleId="22">
    <w:name w:val="_Style 3"/>
    <w:basedOn w:val="1"/>
    <w:unhideWhenUsed/>
    <w:qFormat/>
    <w:uiPriority w:val="99"/>
    <w:pPr>
      <w:ind w:firstLine="420" w:firstLineChars="200"/>
    </w:pPr>
    <w:rPr>
      <w:rFonts w:ascii="Times New Roman" w:hAnsi="Times New Roman"/>
    </w:rPr>
  </w:style>
  <w:style w:type="paragraph" w:customStyle="1" w:styleId="23">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24">
    <w:name w:val="List Paragraph"/>
    <w:basedOn w:val="1"/>
    <w:unhideWhenUsed/>
    <w:qFormat/>
    <w:uiPriority w:val="34"/>
    <w:pPr>
      <w:ind w:firstLine="420" w:firstLineChars="200"/>
    </w:pPr>
  </w:style>
  <w:style w:type="character" w:customStyle="1" w:styleId="25">
    <w:name w:val="批注框文本 字符"/>
    <w:basedOn w:val="13"/>
    <w:link w:val="8"/>
    <w:qFormat/>
    <w:uiPriority w:val="0"/>
    <w:rPr>
      <w:rFonts w:asciiTheme="minorHAnsi" w:hAnsiTheme="minorHAnsi" w:eastAsiaTheme="minorEastAsia" w:cstheme="minorBidi"/>
      <w:kern w:val="2"/>
      <w:sz w:val="18"/>
      <w:szCs w:val="18"/>
    </w:rPr>
  </w:style>
  <w:style w:type="character" w:customStyle="1" w:styleId="26">
    <w:name w:val="页眉 字符"/>
    <w:basedOn w:val="13"/>
    <w:link w:val="10"/>
    <w:qFormat/>
    <w:uiPriority w:val="0"/>
    <w:rPr>
      <w:rFonts w:asciiTheme="minorHAnsi" w:hAnsiTheme="minorHAnsi" w:eastAsiaTheme="minorEastAsia" w:cstheme="minorBidi"/>
      <w:kern w:val="2"/>
      <w:sz w:val="18"/>
      <w:szCs w:val="18"/>
    </w:rPr>
  </w:style>
  <w:style w:type="character" w:customStyle="1" w:styleId="27">
    <w:name w:val="xdrichtextbox2"/>
    <w:basedOn w:val="13"/>
    <w:qFormat/>
    <w:uiPriority w:val="0"/>
    <w:rPr>
      <w:color w:val="0000FF"/>
      <w:sz w:val="18"/>
      <w:szCs w:val="18"/>
      <w:u w:val="none"/>
      <w:bdr w:val="single" w:color="DCDCDC" w:sz="8" w:space="0"/>
      <w:shd w:val="clear" w:color="auto" w:fill="FFFFFF"/>
    </w:rPr>
  </w:style>
  <w:style w:type="paragraph" w:customStyle="1" w:styleId="2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9">
    <w:name w:val="after"/>
    <w:basedOn w:val="13"/>
    <w:qFormat/>
    <w:uiPriority w:val="0"/>
    <w:rPr>
      <w:sz w:val="0"/>
      <w:szCs w:val="0"/>
    </w:rPr>
  </w:style>
  <w:style w:type="character" w:customStyle="1" w:styleId="30">
    <w:name w:val="hilite6"/>
    <w:basedOn w:val="13"/>
    <w:qFormat/>
    <w:uiPriority w:val="0"/>
    <w:rPr>
      <w:color w:val="FFFFFF"/>
      <w:shd w:val="clear" w:fill="666666"/>
    </w:rPr>
  </w:style>
  <w:style w:type="character" w:customStyle="1" w:styleId="31">
    <w:name w:val="button"/>
    <w:basedOn w:val="13"/>
    <w:qFormat/>
    <w:uiPriority w:val="0"/>
  </w:style>
  <w:style w:type="character" w:customStyle="1" w:styleId="32">
    <w:name w:val="icontext1"/>
    <w:basedOn w:val="13"/>
    <w:qFormat/>
    <w:uiPriority w:val="0"/>
  </w:style>
  <w:style w:type="character" w:customStyle="1" w:styleId="33">
    <w:name w:val="icontext11"/>
    <w:basedOn w:val="13"/>
    <w:qFormat/>
    <w:uiPriority w:val="0"/>
  </w:style>
  <w:style w:type="character" w:customStyle="1" w:styleId="34">
    <w:name w:val="icontext12"/>
    <w:basedOn w:val="13"/>
    <w:qFormat/>
    <w:uiPriority w:val="0"/>
  </w:style>
  <w:style w:type="character" w:customStyle="1" w:styleId="35">
    <w:name w:val="w32"/>
    <w:basedOn w:val="13"/>
    <w:qFormat/>
    <w:uiPriority w:val="0"/>
  </w:style>
  <w:style w:type="character" w:customStyle="1" w:styleId="36">
    <w:name w:val="cdropright"/>
    <w:basedOn w:val="13"/>
    <w:qFormat/>
    <w:uiPriority w:val="0"/>
  </w:style>
  <w:style w:type="character" w:customStyle="1" w:styleId="37">
    <w:name w:val="tmpztreemove_arrow"/>
    <w:basedOn w:val="13"/>
    <w:qFormat/>
    <w:uiPriority w:val="0"/>
  </w:style>
  <w:style w:type="character" w:customStyle="1" w:styleId="38">
    <w:name w:val="drapbtn"/>
    <w:basedOn w:val="13"/>
    <w:qFormat/>
    <w:uiPriority w:val="0"/>
  </w:style>
  <w:style w:type="character" w:customStyle="1" w:styleId="39">
    <w:name w:val="cdropleft"/>
    <w:basedOn w:val="13"/>
    <w:qFormat/>
    <w:uiPriority w:val="0"/>
  </w:style>
  <w:style w:type="character" w:customStyle="1" w:styleId="40">
    <w:name w:val="pagechatarealistclose_box"/>
    <w:basedOn w:val="13"/>
    <w:qFormat/>
    <w:uiPriority w:val="0"/>
  </w:style>
  <w:style w:type="character" w:customStyle="1" w:styleId="41">
    <w:name w:val="pagechatarealistclose_box1"/>
    <w:basedOn w:val="13"/>
    <w:qFormat/>
    <w:uiPriority w:val="0"/>
  </w:style>
  <w:style w:type="character" w:customStyle="1" w:styleId="42">
    <w:name w:val="icontext2"/>
    <w:basedOn w:val="13"/>
    <w:qFormat/>
    <w:uiPriority w:val="0"/>
  </w:style>
  <w:style w:type="character" w:customStyle="1" w:styleId="43">
    <w:name w:val="icontext3"/>
    <w:basedOn w:val="13"/>
    <w:qFormat/>
    <w:uiPriority w:val="0"/>
  </w:style>
  <w:style w:type="character" w:customStyle="1" w:styleId="44">
    <w:name w:val="iconline2"/>
    <w:basedOn w:val="13"/>
    <w:qFormat/>
    <w:uiPriority w:val="0"/>
  </w:style>
  <w:style w:type="character" w:customStyle="1" w:styleId="45">
    <w:name w:val="iconline21"/>
    <w:basedOn w:val="13"/>
    <w:qFormat/>
    <w:uiPriority w:val="0"/>
  </w:style>
  <w:style w:type="character" w:customStyle="1" w:styleId="46">
    <w:name w:val="ico1654"/>
    <w:basedOn w:val="13"/>
    <w:qFormat/>
    <w:uiPriority w:val="0"/>
  </w:style>
  <w:style w:type="character" w:customStyle="1" w:styleId="47">
    <w:name w:val="ico1655"/>
    <w:basedOn w:val="13"/>
    <w:qFormat/>
    <w:uiPriority w:val="0"/>
  </w:style>
  <w:style w:type="character" w:customStyle="1" w:styleId="48">
    <w:name w:val="associateddata"/>
    <w:basedOn w:val="13"/>
    <w:qFormat/>
    <w:uiPriority w:val="0"/>
    <w:rPr>
      <w:shd w:val="clear" w:fill="50A6F9"/>
    </w:rPr>
  </w:style>
  <w:style w:type="character" w:customStyle="1" w:styleId="49">
    <w:name w:val="cy"/>
    <w:basedOn w:val="13"/>
    <w:qFormat/>
    <w:uiPriority w:val="0"/>
  </w:style>
  <w:style w:type="character" w:customStyle="1" w:styleId="50">
    <w:name w:val="active8"/>
    <w:basedOn w:val="13"/>
    <w:qFormat/>
    <w:uiPriority w:val="0"/>
    <w:rPr>
      <w:color w:val="00FF00"/>
      <w:shd w:val="clear" w:fill="111111"/>
    </w:rPr>
  </w:style>
  <w:style w:type="character" w:customStyle="1" w:styleId="51">
    <w:name w:val="layui-layer-tabnow"/>
    <w:basedOn w:val="13"/>
    <w:qFormat/>
    <w:uiPriority w:val="0"/>
    <w:rPr>
      <w:bdr w:val="single" w:color="CCCCCC" w:sz="6" w:space="0"/>
      <w:shd w:val="clear" w:fill="FFFFFF"/>
    </w:rPr>
  </w:style>
  <w:style w:type="character" w:customStyle="1" w:styleId="52">
    <w:name w:val="first-child"/>
    <w:basedOn w:val="13"/>
    <w:qFormat/>
    <w:uiPriority w:val="0"/>
  </w:style>
  <w:style w:type="character" w:customStyle="1" w:styleId="53">
    <w:name w:val="choose-status"/>
    <w:basedOn w:val="13"/>
    <w:qFormat/>
    <w:uiPriority w:val="0"/>
    <w:rPr>
      <w:color w:val="1F85EC"/>
      <w:shd w:val="clear" w:fill="FFFFFF"/>
    </w:rPr>
  </w:style>
  <w:style w:type="character" w:customStyle="1" w:styleId="54">
    <w:name w:val="selectable-text"/>
    <w:basedOn w:val="13"/>
    <w:qFormat/>
    <w:uiPriority w:val="0"/>
  </w:style>
  <w:style w:type="paragraph" w:customStyle="1" w:styleId="55">
    <w:name w:val="msolistparagraph"/>
    <w:basedOn w:val="1"/>
    <w:qFormat/>
    <w:uiPriority w:val="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pPr>
    <w:rPr>
      <w:rFonts w:hint="default" w:ascii="Calibri" w:hAnsi="Calibri" w:eastAsia="宋体" w:cs="Times New Roman"/>
      <w:snapToGrid/>
      <w:kern w:val="2"/>
      <w:sz w:val="28"/>
      <w:szCs w:val="24"/>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DCC01-2EE9-4E76-AD22-630C697772D5}">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14</Pages>
  <Words>1112</Words>
  <Characters>6342</Characters>
  <Lines>52</Lines>
  <Paragraphs>14</Paragraphs>
  <TotalTime>10</TotalTime>
  <ScaleCrop>false</ScaleCrop>
  <LinksUpToDate>false</LinksUpToDate>
  <CharactersWithSpaces>7440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2025-08-14T03:35:06Z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