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广州城投综合能源投资经营管理有限公司</w:t>
      </w:r>
    </w:p>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城投能源公司消防系统维护保养项目</w:t>
      </w:r>
    </w:p>
    <w:p>
      <w:pPr>
        <w:tabs>
          <w:tab w:val="left" w:pos="720"/>
        </w:tabs>
        <w:spacing w:line="360" w:lineRule="auto"/>
        <w:jc w:val="center"/>
        <w:rPr>
          <w:b/>
          <w:color w:val="auto"/>
          <w:sz w:val="36"/>
          <w:szCs w:val="36"/>
          <w:highlight w:val="none"/>
        </w:rPr>
      </w:pPr>
      <w:r>
        <w:rPr>
          <w:rFonts w:hint="eastAsia"/>
          <w:b/>
          <w:color w:val="auto"/>
          <w:sz w:val="36"/>
          <w:szCs w:val="36"/>
          <w:highlight w:val="none"/>
        </w:rPr>
        <w:t>竞选文件</w:t>
      </w:r>
    </w:p>
    <w:p>
      <w:pPr>
        <w:tabs>
          <w:tab w:val="left" w:pos="540"/>
          <w:tab w:val="left" w:pos="720"/>
        </w:tabs>
        <w:spacing w:line="560" w:lineRule="exact"/>
        <w:ind w:firstLine="562" w:firstLineChars="200"/>
        <w:rPr>
          <w:b/>
          <w:color w:val="auto"/>
          <w:sz w:val="28"/>
          <w:szCs w:val="28"/>
          <w:highlight w:val="none"/>
        </w:rPr>
      </w:pPr>
    </w:p>
    <w:p>
      <w:pPr>
        <w:tabs>
          <w:tab w:val="left" w:pos="54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一、项目基本情况</w:t>
      </w:r>
    </w:p>
    <w:p>
      <w:pPr>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（一）项目名称：</w:t>
      </w:r>
      <w:r>
        <w:rPr>
          <w:rFonts w:hint="eastAsia"/>
          <w:color w:val="auto"/>
          <w:sz w:val="28"/>
          <w:szCs w:val="28"/>
          <w:highlight w:val="none"/>
          <w:lang w:eastAsia="zh-CN"/>
        </w:rPr>
        <w:t>城投能源公司消防系统维护保养项目</w:t>
      </w:r>
    </w:p>
    <w:p>
      <w:pPr>
        <w:spacing w:line="520" w:lineRule="exact"/>
        <w:ind w:firstLine="560" w:firstLineChars="200"/>
        <w:rPr>
          <w:color w:val="auto"/>
          <w:sz w:val="28"/>
          <w:szCs w:val="28"/>
          <w:highlight w:val="yellow"/>
        </w:rPr>
      </w:pPr>
      <w:r>
        <w:rPr>
          <w:rFonts w:hint="eastAsia"/>
          <w:color w:val="auto"/>
          <w:sz w:val="28"/>
          <w:szCs w:val="28"/>
          <w:highlight w:val="none"/>
        </w:rPr>
        <w:t>（二）项目地点：广州大学城</w:t>
      </w:r>
    </w:p>
    <w:p>
      <w:pPr>
        <w:spacing w:line="520" w:lineRule="exact"/>
        <w:ind w:firstLine="560" w:firstLineChars="200"/>
        <w:rPr>
          <w:color w:val="auto"/>
          <w:sz w:val="28"/>
          <w:szCs w:val="28"/>
          <w:highlight w:val="none"/>
        </w:rPr>
      </w:pPr>
      <w:r>
        <w:rPr>
          <w:rFonts w:hint="eastAsia"/>
          <w:color w:val="auto"/>
          <w:sz w:val="28"/>
          <w:szCs w:val="28"/>
          <w:highlight w:val="none"/>
        </w:rPr>
        <w:t>（三）采购限价</w:t>
      </w:r>
      <w:r>
        <w:rPr>
          <w:rFonts w:hint="eastAsia"/>
          <w:color w:val="auto"/>
          <w:sz w:val="28"/>
          <w:szCs w:val="28"/>
          <w:highlight w:val="none"/>
          <w:lang w:eastAsia="zh-CN"/>
        </w:rPr>
        <w:t>（</w:t>
      </w:r>
      <w:r>
        <w:rPr>
          <w:rFonts w:hint="eastAsia"/>
          <w:color w:val="auto"/>
          <w:sz w:val="28"/>
          <w:szCs w:val="28"/>
          <w:highlight w:val="none"/>
          <w:lang w:val="en-US" w:eastAsia="zh-CN"/>
        </w:rPr>
        <w:t>人民币</w:t>
      </w:r>
      <w:r>
        <w:rPr>
          <w:rFonts w:hint="eastAsia"/>
          <w:color w:val="auto"/>
          <w:sz w:val="28"/>
          <w:szCs w:val="28"/>
          <w:highlight w:val="none"/>
          <w:lang w:eastAsia="zh-CN"/>
        </w:rPr>
        <w:t>）</w:t>
      </w:r>
      <w:r>
        <w:rPr>
          <w:rFonts w:hint="eastAsia"/>
          <w:color w:val="auto"/>
          <w:sz w:val="28"/>
          <w:szCs w:val="28"/>
          <w:highlight w:val="none"/>
        </w:rPr>
        <w:t>：</w:t>
      </w:r>
      <w:r>
        <w:rPr>
          <w:rFonts w:hint="eastAsia" w:asciiTheme="minorEastAsia" w:hAnsiTheme="minorEastAsia"/>
          <w:color w:val="auto"/>
          <w:sz w:val="28"/>
          <w:szCs w:val="28"/>
          <w:highlight w:val="none"/>
          <w:lang w:val="en-US" w:eastAsia="zh-CN"/>
        </w:rPr>
        <w:t>28.5万元</w:t>
      </w:r>
    </w:p>
    <w:p>
      <w:pPr>
        <w:spacing w:line="520" w:lineRule="exact"/>
        <w:ind w:firstLine="560" w:firstLineChars="200"/>
        <w:rPr>
          <w:color w:val="auto"/>
          <w:sz w:val="28"/>
          <w:szCs w:val="28"/>
          <w:highlight w:val="none"/>
        </w:rPr>
      </w:pPr>
      <w:r>
        <w:rPr>
          <w:rFonts w:hint="eastAsia"/>
          <w:color w:val="auto"/>
          <w:sz w:val="28"/>
          <w:szCs w:val="28"/>
          <w:highlight w:val="none"/>
        </w:rPr>
        <w:t>（四）项目概况</w:t>
      </w:r>
    </w:p>
    <w:p>
      <w:pPr>
        <w:tabs>
          <w:tab w:val="left" w:pos="0"/>
          <w:tab w:val="left" w:pos="720"/>
        </w:tabs>
        <w:spacing w:line="520" w:lineRule="exact"/>
        <w:ind w:firstLine="560" w:firstLineChars="200"/>
        <w:rPr>
          <w:rFonts w:hint="eastAsia"/>
          <w:color w:val="auto"/>
          <w:sz w:val="28"/>
          <w:szCs w:val="28"/>
          <w:highlight w:val="none"/>
        </w:rPr>
      </w:pPr>
      <w:r>
        <w:rPr>
          <w:rFonts w:hint="eastAsia"/>
          <w:color w:val="auto"/>
          <w:sz w:val="28"/>
          <w:szCs w:val="28"/>
          <w:highlight w:val="none"/>
        </w:rPr>
        <w:t>为保障广州大学城供冷站（2号站、3号站、4号站）的消防系统、广州大学城内的大学城信息枢纽楼消防、广州大学城内的综合管沟消防、广州大学城内的过江隧道</w:t>
      </w:r>
      <w:r>
        <w:rPr>
          <w:color w:val="auto"/>
          <w:sz w:val="28"/>
          <w:szCs w:val="28"/>
          <w:highlight w:val="none"/>
        </w:rPr>
        <w:t>消防系统安全稳定运行</w:t>
      </w:r>
      <w:r>
        <w:rPr>
          <w:rFonts w:hint="eastAsia"/>
          <w:color w:val="auto"/>
          <w:sz w:val="28"/>
          <w:szCs w:val="28"/>
          <w:highlight w:val="none"/>
        </w:rPr>
        <w:t>，</w:t>
      </w:r>
      <w:r>
        <w:rPr>
          <w:color w:val="auto"/>
          <w:sz w:val="28"/>
          <w:szCs w:val="28"/>
          <w:highlight w:val="none"/>
        </w:rPr>
        <w:t>现拟委托具备专业资质的单位对其进行年度维护保养</w:t>
      </w:r>
      <w:r>
        <w:rPr>
          <w:rFonts w:hint="eastAsia"/>
          <w:color w:val="auto"/>
          <w:sz w:val="28"/>
          <w:szCs w:val="28"/>
          <w:highlight w:val="none"/>
        </w:rPr>
        <w:t>。</w:t>
      </w:r>
    </w:p>
    <w:p>
      <w:pPr>
        <w:tabs>
          <w:tab w:val="left" w:pos="0"/>
          <w:tab w:val="left" w:pos="720"/>
        </w:tabs>
        <w:spacing w:line="520" w:lineRule="exact"/>
        <w:ind w:firstLine="560" w:firstLineChars="200"/>
        <w:rPr>
          <w:rFonts w:hint="default" w:eastAsia="宋体"/>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五</w:t>
      </w:r>
      <w:r>
        <w:rPr>
          <w:rFonts w:hint="eastAsia"/>
          <w:color w:val="auto"/>
          <w:sz w:val="28"/>
          <w:szCs w:val="28"/>
          <w:highlight w:val="none"/>
          <w:lang w:eastAsia="zh-CN"/>
        </w:rPr>
        <w:t>）</w:t>
      </w:r>
      <w:r>
        <w:rPr>
          <w:rFonts w:hint="eastAsia"/>
          <w:color w:val="auto"/>
          <w:sz w:val="28"/>
          <w:szCs w:val="28"/>
          <w:highlight w:val="none"/>
          <w:lang w:val="en-US" w:eastAsia="zh-CN"/>
        </w:rPr>
        <w:t>服务期限：2年</w:t>
      </w:r>
    </w:p>
    <w:p>
      <w:pPr>
        <w:tabs>
          <w:tab w:val="left" w:pos="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二、合格投标人资格要求</w:t>
      </w:r>
    </w:p>
    <w:p>
      <w:pPr>
        <w:pStyle w:val="29"/>
        <w:numPr>
          <w:ilvl w:val="0"/>
          <w:numId w:val="1"/>
        </w:numPr>
        <w:tabs>
          <w:tab w:val="left" w:pos="709"/>
          <w:tab w:val="left" w:pos="851"/>
        </w:tabs>
        <w:spacing w:line="360" w:lineRule="auto"/>
        <w:ind w:left="0" w:firstLine="560" w:firstLineChars="0"/>
        <w:rPr>
          <w:rFonts w:asciiTheme="minorEastAsia" w:hAnsiTheme="minorEastAsia"/>
          <w:color w:val="auto"/>
          <w:sz w:val="28"/>
          <w:szCs w:val="28"/>
        </w:rPr>
      </w:pPr>
      <w:r>
        <w:rPr>
          <w:rFonts w:cs="Arial" w:asciiTheme="minorEastAsia" w:hAnsiTheme="minorEastAsia"/>
          <w:color w:val="auto"/>
          <w:sz w:val="28"/>
          <w:szCs w:val="28"/>
        </w:rPr>
        <w:t>必须是具有独立承担民事责任能力的在中华人民共和国境内注册的法人</w:t>
      </w:r>
      <w:r>
        <w:rPr>
          <w:rFonts w:hint="eastAsia" w:cs="Arial" w:asciiTheme="minorEastAsia" w:hAnsiTheme="minorEastAsia"/>
          <w:color w:val="auto"/>
          <w:sz w:val="28"/>
          <w:szCs w:val="28"/>
        </w:rPr>
        <w:t>或其他组织，提供营业执照或法人证书或民办非企业单位登记证书的盖章扫描件证明。</w:t>
      </w:r>
      <w:r>
        <w:rPr>
          <w:rFonts w:asciiTheme="minorEastAsia" w:hAnsiTheme="minorEastAsia"/>
          <w:color w:val="auto"/>
          <w:sz w:val="28"/>
          <w:szCs w:val="28"/>
        </w:rPr>
        <w:t xml:space="preserve"> </w:t>
      </w:r>
    </w:p>
    <w:p>
      <w:pPr>
        <w:pStyle w:val="29"/>
        <w:numPr>
          <w:ilvl w:val="0"/>
          <w:numId w:val="1"/>
        </w:numPr>
        <w:tabs>
          <w:tab w:val="left" w:pos="709"/>
          <w:tab w:val="left" w:pos="851"/>
        </w:tabs>
        <w:spacing w:line="360" w:lineRule="auto"/>
        <w:ind w:left="0" w:firstLine="560" w:firstLineChars="0"/>
        <w:rPr>
          <w:rFonts w:cs="Arial" w:asciiTheme="minorEastAsia" w:hAnsiTheme="minorEastAsia"/>
          <w:color w:val="auto"/>
          <w:sz w:val="28"/>
          <w:szCs w:val="28"/>
        </w:rPr>
      </w:pPr>
      <w:r>
        <w:rPr>
          <w:rFonts w:hint="eastAsia" w:cs="Arial" w:asciiTheme="minorEastAsia" w:hAnsiTheme="minorEastAsia"/>
          <w:color w:val="auto"/>
          <w:sz w:val="28"/>
          <w:szCs w:val="28"/>
        </w:rPr>
        <w:t>投标人未被列入“信用中国”网站(www.creditchina.gov.cn)记录失信被执行人名单,须提供“信用中国”网站(www.creditchina.gov.cn)的信用记录查询结果截图或信用信息报告并打印页面加盖公章</w:t>
      </w:r>
      <w:r>
        <w:rPr>
          <w:rFonts w:cs="Arial" w:asciiTheme="minorEastAsia" w:hAnsiTheme="minorEastAsia"/>
          <w:color w:val="auto"/>
          <w:sz w:val="28"/>
          <w:szCs w:val="28"/>
        </w:rPr>
        <w:t>。</w:t>
      </w:r>
    </w:p>
    <w:p>
      <w:pPr>
        <w:pStyle w:val="29"/>
        <w:numPr>
          <w:ilvl w:val="0"/>
          <w:numId w:val="1"/>
        </w:numPr>
        <w:tabs>
          <w:tab w:val="left" w:pos="709"/>
          <w:tab w:val="left" w:pos="851"/>
        </w:tabs>
        <w:spacing w:line="360" w:lineRule="auto"/>
        <w:ind w:left="0" w:firstLine="560" w:firstLineChars="0"/>
        <w:rPr>
          <w:rFonts w:cs="Arial" w:asciiTheme="minorEastAsia" w:hAnsiTheme="minorEastAsia"/>
          <w:color w:val="auto"/>
          <w:sz w:val="28"/>
          <w:szCs w:val="28"/>
        </w:rPr>
      </w:pPr>
      <w:r>
        <w:rPr>
          <w:rFonts w:hint="eastAsia" w:cs="Arial" w:asciiTheme="minorEastAsia" w:hAnsiTheme="minorEastAsia"/>
          <w:color w:val="auto"/>
          <w:sz w:val="28"/>
          <w:szCs w:val="28"/>
        </w:rPr>
        <w:t>投标人没有处于被责令停业或破产状态，且资产未被重组、接管和冻结，声明在投标活动中</w:t>
      </w:r>
      <w:r>
        <w:rPr>
          <w:rFonts w:cs="Arial" w:asciiTheme="minorEastAsia" w:hAnsiTheme="minorEastAsia"/>
          <w:color w:val="auto"/>
          <w:sz w:val="28"/>
          <w:szCs w:val="28"/>
        </w:rPr>
        <w:t>3年内没有重大违法活动和涉嫌违规行为。（</w:t>
      </w:r>
      <w:r>
        <w:rPr>
          <w:rFonts w:hint="eastAsia" w:cs="Arial" w:asciiTheme="minorEastAsia" w:hAnsiTheme="minorEastAsia"/>
          <w:color w:val="auto"/>
          <w:sz w:val="28"/>
          <w:szCs w:val="28"/>
          <w:lang w:val="en-US" w:eastAsia="zh-CN"/>
        </w:rPr>
        <w:t>附投标声明函</w:t>
      </w:r>
      <w:r>
        <w:rPr>
          <w:rFonts w:cs="Arial" w:asciiTheme="minorEastAsia" w:hAnsiTheme="minorEastAsia"/>
          <w:color w:val="auto"/>
          <w:sz w:val="28"/>
          <w:szCs w:val="28"/>
        </w:rPr>
        <w:t>）</w:t>
      </w:r>
    </w:p>
    <w:p>
      <w:pPr>
        <w:pStyle w:val="29"/>
        <w:numPr>
          <w:ilvl w:val="0"/>
          <w:numId w:val="1"/>
        </w:numPr>
        <w:spacing w:line="360" w:lineRule="auto"/>
        <w:ind w:left="0" w:firstLine="560" w:firstLineChars="0"/>
        <w:rPr>
          <w:rFonts w:asciiTheme="minorEastAsia" w:hAnsiTheme="minorEastAsia"/>
          <w:color w:val="auto"/>
          <w:sz w:val="28"/>
          <w:szCs w:val="28"/>
          <w:highlight w:val="none"/>
        </w:rPr>
      </w:pPr>
      <w:r>
        <w:rPr>
          <w:rFonts w:hint="eastAsia" w:asciiTheme="minorEastAsia" w:hAnsiTheme="minorEastAsia"/>
          <w:color w:val="auto"/>
          <w:sz w:val="28"/>
          <w:szCs w:val="28"/>
          <w:lang w:val="en-US" w:eastAsia="zh-CN"/>
        </w:rPr>
        <w:t>投标人应在社会消防技术服务信息系统(网址:https://shhxf.119.gov.cn/)登记备案（提供证明，加盖公章）。</w:t>
      </w:r>
    </w:p>
    <w:p>
      <w:pPr>
        <w:pStyle w:val="29"/>
        <w:numPr>
          <w:ilvl w:val="0"/>
          <w:numId w:val="1"/>
        </w:numPr>
        <w:spacing w:line="360" w:lineRule="auto"/>
        <w:ind w:left="0" w:firstLine="560" w:firstLineChars="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投标人近3年内(20</w:t>
      </w:r>
      <w:r>
        <w:rPr>
          <w:rFonts w:hint="eastAsia" w:asciiTheme="minorEastAsia" w:hAnsiTheme="minorEastAsia"/>
          <w:color w:val="auto"/>
          <w:sz w:val="28"/>
          <w:szCs w:val="28"/>
          <w:highlight w:val="none"/>
          <w:lang w:val="en-US" w:eastAsia="zh-CN"/>
        </w:rPr>
        <w:t>22</w:t>
      </w:r>
      <w:r>
        <w:rPr>
          <w:rFonts w:hint="eastAsia" w:asciiTheme="minorEastAsia" w:hAnsiTheme="minorEastAsia"/>
          <w:color w:val="auto"/>
          <w:sz w:val="28"/>
          <w:szCs w:val="28"/>
          <w:highlight w:val="none"/>
        </w:rPr>
        <w:t>年1月1日至今)具有</w:t>
      </w:r>
      <w:r>
        <w:rPr>
          <w:rFonts w:hint="eastAsia" w:asciiTheme="minorEastAsia" w:hAnsiTheme="minorEastAsia"/>
          <w:color w:val="auto"/>
          <w:sz w:val="28"/>
          <w:szCs w:val="28"/>
          <w:highlight w:val="none"/>
          <w:lang w:val="en-US" w:eastAsia="zh-CN"/>
        </w:rPr>
        <w:t>类似消防维保业绩</w:t>
      </w:r>
      <w:r>
        <w:rPr>
          <w:rFonts w:hint="eastAsia" w:asciiTheme="minorEastAsia" w:hAnsiTheme="minorEastAsia"/>
          <w:color w:val="auto"/>
          <w:sz w:val="28"/>
          <w:szCs w:val="28"/>
          <w:highlight w:val="none"/>
        </w:rPr>
        <w:t>，提供合同关键页复印件，包括但不限于项目名称、金额及实施内容、合同盖章、签订日期，加盖单位公章。</w:t>
      </w:r>
    </w:p>
    <w:p>
      <w:pPr>
        <w:pStyle w:val="29"/>
        <w:numPr>
          <w:ilvl w:val="0"/>
          <w:numId w:val="1"/>
        </w:numPr>
        <w:spacing w:line="360" w:lineRule="auto"/>
        <w:ind w:left="0" w:firstLine="560" w:firstLineChars="0"/>
        <w:rPr>
          <w:rFonts w:asciiTheme="minorEastAsia" w:hAnsiTheme="minorEastAsia"/>
          <w:sz w:val="28"/>
          <w:szCs w:val="28"/>
        </w:rPr>
      </w:pPr>
      <w:r>
        <w:rPr>
          <w:rFonts w:hint="eastAsia" w:asciiTheme="minorEastAsia" w:hAnsiTheme="minorEastAsia"/>
          <w:sz w:val="28"/>
          <w:szCs w:val="28"/>
        </w:rPr>
        <w:t>本项目不接受联合体报价。</w:t>
      </w:r>
    </w:p>
    <w:p>
      <w:pPr>
        <w:tabs>
          <w:tab w:val="left" w:pos="0"/>
          <w:tab w:val="left" w:pos="720"/>
        </w:tabs>
        <w:spacing w:line="520" w:lineRule="exact"/>
        <w:ind w:firstLine="562" w:firstLineChars="200"/>
        <w:rPr>
          <w:rFonts w:asciiTheme="minorEastAsia" w:hAnsiTheme="minorEastAsia" w:eastAsiaTheme="minorEastAsia"/>
          <w:b/>
          <w:color w:val="auto"/>
          <w:sz w:val="28"/>
          <w:szCs w:val="28"/>
          <w:highlight w:val="none"/>
        </w:rPr>
      </w:pPr>
      <w:r>
        <w:rPr>
          <w:rFonts w:hint="eastAsia" w:ascii="宋体" w:hAnsi="宋体"/>
          <w:b/>
          <w:color w:val="auto"/>
          <w:sz w:val="28"/>
          <w:szCs w:val="28"/>
          <w:highlight w:val="none"/>
        </w:rPr>
        <w:t>三</w:t>
      </w:r>
      <w:r>
        <w:rPr>
          <w:rFonts w:hint="eastAsia" w:asciiTheme="minorEastAsia" w:hAnsiTheme="minorEastAsia" w:eastAsiaTheme="minorEastAsia"/>
          <w:b/>
          <w:color w:val="auto"/>
          <w:sz w:val="28"/>
          <w:szCs w:val="28"/>
          <w:highlight w:val="none"/>
        </w:rPr>
        <w:t>、项目技术要求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（一）2#、3#、4#</w:t>
      </w:r>
      <w:r>
        <w:rPr>
          <w:rFonts w:asciiTheme="minorEastAsia" w:hAnsiTheme="minorEastAsia" w:eastAsiaTheme="minorEastAsia"/>
          <w:b/>
          <w:color w:val="auto"/>
          <w:sz w:val="28"/>
          <w:szCs w:val="28"/>
          <w:highlight w:val="none"/>
        </w:rPr>
        <w:t>冷站消防维保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投标人负责对广州大学城供冷站（</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号站）的消防系统（火灾自动报警系统、联动控制系统、消火栓系统）的所有设备、管网、路线等进行检查、测试、维护、维修、更换、急修。</w:t>
      </w:r>
    </w:p>
    <w:p>
      <w:pPr>
        <w:numPr>
          <w:ilvl w:val="0"/>
          <w:numId w:val="2"/>
        </w:num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广州大学城供冷站之</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（1）消火栓系统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栓箱配置是否完整齐全，包括检查每个消防栓口的静压是否符合设计或规范要求，检查栓口橡胶是否老化、龟裂或脱落，检查水带是否霉烂、穿孔，检查卷盘胶管是否老化、龟裂，检查破玻按钮是否破碎，并进行必要的清洁工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b</w:t>
      </w:r>
      <w:r>
        <w:rPr>
          <w:rFonts w:hint="eastAsia" w:asciiTheme="minorEastAsia" w:hAnsiTheme="minorEastAsia" w:eastAsiaTheme="minorEastAsia"/>
          <w:color w:val="auto"/>
          <w:sz w:val="28"/>
          <w:szCs w:val="28"/>
          <w:highlight w:val="none"/>
        </w:rPr>
        <w:t>、检查测试消防栓破玻系统，试验破玻按钮，警铃是否鸣响、消防水泵是否启动、消防中心是否有报警信号及消防水泵状态显示；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c、检查消火栓系统的管道、水泵接合器及阀门。检查阀门是否易操作或有否渗漏滴水，对阀门定期加油润滑，对生锈、腐蚀、脱漆部位进行清理；</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d</w:t>
      </w:r>
      <w:r>
        <w:rPr>
          <w:rFonts w:hint="eastAsia" w:asciiTheme="minorEastAsia" w:hAnsiTheme="minorEastAsia" w:eastAsiaTheme="minorEastAsia"/>
          <w:color w:val="auto"/>
          <w:sz w:val="28"/>
          <w:szCs w:val="28"/>
          <w:highlight w:val="none"/>
        </w:rPr>
        <w:t>、定期试验消防栓，检查其喷水充实水柱是否达到规范或设计要求；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水泵房的消防设备，测试消防水泵运行情况，检查水泵控制柜的运行状态，定期试验安全泄压阀是否灵敏、可靠，检查水锤吸纳器工作是否有效；检查水泵房各阀门是否处于正常工作状态，是否完好不渗漏，对生锈脱落部位进行清理，检查阀门是否易操作，对消防水泵和阀门定期加油润滑；</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f、检查消防水池的储水情况，检查止回阀启闭是否灵活、有效；</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g、定期对消防栓系统管网进行全面检查。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、消防栓箱内配置齐全，各项配件完好，消防栓口静压符合设计或规范要求；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b、试验消防栓破玻按钮，消防栓水泵启动正常，各项联动设施运作良好，消防中心有报警信号和消防水泵状态显示；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c、各阀门处于正常的开或关状态，且有明显标志，阀体完好、不漏水；</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d、消防栓系统水泵接口器外观完</w:t>
      </w:r>
      <w:r>
        <w:rPr>
          <w:rFonts w:hint="eastAsia" w:asciiTheme="minorEastAsia" w:hAnsiTheme="minorEastAsia" w:eastAsiaTheme="minorEastAsia"/>
          <w:color w:val="auto"/>
          <w:sz w:val="28"/>
          <w:szCs w:val="28"/>
          <w:highlight w:val="none"/>
          <w:lang w:val="en-US" w:eastAsia="zh-CN"/>
        </w:rPr>
        <w:t>好</w:t>
      </w:r>
      <w:r>
        <w:rPr>
          <w:rFonts w:hint="eastAsia" w:asciiTheme="minorEastAsia" w:hAnsiTheme="minorEastAsia" w:eastAsiaTheme="minorEastAsia"/>
          <w:color w:val="auto"/>
          <w:sz w:val="28"/>
          <w:szCs w:val="28"/>
          <w:highlight w:val="none"/>
        </w:rPr>
        <w:t>，配置齐全，</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变形、无渗漏、</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缺损；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e、消防栓喷射时，其充水柱达到设计或规范要求；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f、安全泄压阀和水锤吸纳器外观完好，工作灵敏、可靠、有效；</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、减压阀和过滤器外观完好，减压阀工作稳定、可靠，且减压比例准确，过滤器内</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杂物，水流畅通；</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h、阀门开关灵活、有效，无锈蚀、渗漏；</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i、止回阀启闭灵活、有效，无水回流，外观完好；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j、消防栓系统管网外观完好，无变形、无锈蚀、脱漆和渗漏。</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（2）火灾报警系统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、检查烟、温感探测器、警铃、破玻按钮、模块的外部是否有遮挡物，设备是否松动，各探头、模块的工作状态是否正常，警铃蜂鸣是否鸣响；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b、检查主控控屏、充电器、打印机的工作状态是否正常，有否故障报警；</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c、试报手报按钮报警，本层及其上、下各一层警铃是否动作鸣响，消防中心显示报警区域是否准确；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d、检查所有控制线、线管、线槽和各控制盘的线脱；</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e、检查系统设备所有接线端子是否松动、破损和脱落；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f、定期对备用电源进行</w:t>
      </w:r>
      <w:r>
        <w:rPr>
          <w:rFonts w:asciiTheme="minorEastAsia" w:hAnsiTheme="minorEastAsia" w:eastAsiaTheme="minorEastAsia"/>
          <w:color w:val="auto"/>
          <w:sz w:val="28"/>
          <w:szCs w:val="28"/>
          <w:highlight w:val="none"/>
        </w:rPr>
        <w:t>1-3</w:t>
      </w:r>
      <w:r>
        <w:rPr>
          <w:rFonts w:hint="eastAsia" w:asciiTheme="minorEastAsia" w:hAnsiTheme="minorEastAsia" w:eastAsiaTheme="minorEastAsia"/>
          <w:color w:val="auto"/>
          <w:sz w:val="28"/>
          <w:szCs w:val="28"/>
          <w:highlight w:val="none"/>
        </w:rPr>
        <w:t>次主和备用电源自动切换试验；</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、检查工作电池组、充电器的工作状态，备用电池的连续状态；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h、对主控屏、充电器的内部进行全面清洁；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i、对该系统的烟、温感探头进行外观清洁；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j、对监视模块、控制模块、反馈模块检查；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k、根据</w:t>
      </w:r>
      <w:r>
        <w:rPr>
          <w:rFonts w:hint="eastAsia" w:asciiTheme="minorEastAsia" w:hAnsiTheme="minorEastAsia" w:eastAsiaTheme="minorEastAsia"/>
          <w:color w:val="auto"/>
          <w:sz w:val="28"/>
          <w:szCs w:val="28"/>
          <w:highlight w:val="none"/>
          <w:lang w:val="en-US" w:eastAsia="zh-CN"/>
        </w:rPr>
        <w:t>采购人</w:t>
      </w:r>
      <w:r>
        <w:rPr>
          <w:rFonts w:hint="eastAsia" w:asciiTheme="minorEastAsia" w:hAnsiTheme="minorEastAsia" w:eastAsiaTheme="minorEastAsia"/>
          <w:color w:val="auto"/>
          <w:sz w:val="28"/>
          <w:szCs w:val="28"/>
          <w:highlight w:val="none"/>
        </w:rPr>
        <w:t>要求对现有烟、温感探测器、警铃、破玻按钮进行</w:t>
      </w:r>
      <w:r>
        <w:rPr>
          <w:rFonts w:hint="eastAsia" w:asciiTheme="minorEastAsia" w:hAnsiTheme="minorEastAsia" w:eastAsiaTheme="minorEastAsia"/>
          <w:color w:val="auto"/>
          <w:sz w:val="28"/>
          <w:szCs w:val="28"/>
          <w:highlight w:val="none"/>
          <w:lang w:val="en-US" w:eastAsia="zh-CN"/>
        </w:rPr>
        <w:t>个别</w:t>
      </w:r>
      <w:r>
        <w:rPr>
          <w:rFonts w:hint="eastAsia" w:asciiTheme="minorEastAsia" w:hAnsiTheme="minorEastAsia" w:eastAsiaTheme="minorEastAsia"/>
          <w:color w:val="auto"/>
          <w:sz w:val="28"/>
          <w:szCs w:val="28"/>
          <w:highlight w:val="none"/>
        </w:rPr>
        <w:t>调整以满足现场生产需要；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l</w:t>
      </w:r>
      <w:r>
        <w:rPr>
          <w:rFonts w:hint="eastAsia" w:asciiTheme="minorEastAsia" w:hAnsiTheme="minorEastAsia" w:eastAsiaTheme="minorEastAsia"/>
          <w:color w:val="auto"/>
          <w:sz w:val="28"/>
          <w:szCs w:val="28"/>
          <w:highlight w:val="none"/>
        </w:rPr>
        <w:t>、根据烟、温感探测器、警铃、破玻按钮、等模块的现场位置和编号以及提供的原设计图纸，进行图纸核对并在维保初期</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个月内提交核对后的图纸。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、探测器动作灵敏，报警准确；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b、主控屏工作正常，正常显示报警区域和输出联动信号；</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c、手报按钮动作灵敏，报警准确，联动功能正常；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d、主控屏和联动控制屏外观完好、清洁，各输入、输出显示功能正常；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e、界面（模块）各项参数正常，与外围设备的通信、控制信号正常；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f、电池组的电压及其他参数正常，供电稳定、可靠；</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、系统设备所有接线牢固，无松动、破损</w:t>
      </w:r>
      <w:r>
        <w:rPr>
          <w:rFonts w:hint="eastAsia" w:asciiTheme="minorEastAsia" w:hAnsiTheme="minorEastAsia" w:eastAsiaTheme="minorEastAsia"/>
          <w:color w:val="auto"/>
          <w:sz w:val="28"/>
          <w:szCs w:val="28"/>
          <w:highlight w:val="none"/>
          <w:lang w:val="en-US" w:eastAsia="zh-CN"/>
        </w:rPr>
        <w:t>或</w:t>
      </w:r>
      <w:r>
        <w:rPr>
          <w:rFonts w:hint="eastAsia" w:asciiTheme="minorEastAsia" w:hAnsiTheme="minorEastAsia" w:eastAsiaTheme="minorEastAsia"/>
          <w:color w:val="auto"/>
          <w:sz w:val="28"/>
          <w:szCs w:val="28"/>
          <w:highlight w:val="none"/>
        </w:rPr>
        <w:t>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h、主、备电源自动切换功能正常；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i、探测器外观完好，内部清洁，功能正常；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j、报警主机控制程序正常，各项功能正常。</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（3）消防联动控制系统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、检查消防水泵的联动控制及显示情况；</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b、检测消防广播系统；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c、检测消防电话系统；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d、重点培训冷站运行操作人员对于联动控制的操作原理和操作要领。</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、消防水泵的联动控制正常；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b、联动控制柜的内部线路的检测正常，程序正确；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c、消防广播系统工作正常；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d、消防电话系统工作正常。</w:t>
      </w:r>
    </w:p>
    <w:p>
      <w:pPr>
        <w:spacing w:line="560" w:lineRule="exact"/>
        <w:ind w:firstLine="562" w:firstLineChars="200"/>
        <w:rPr>
          <w:rFonts w:cs="宋体"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4、消防</w:t>
      </w:r>
      <w:r>
        <w:rPr>
          <w:rFonts w:hint="eastAsia" w:cs="宋体" w:asciiTheme="minorEastAsia" w:hAnsiTheme="minorEastAsia" w:eastAsiaTheme="minorEastAsia"/>
          <w:b/>
          <w:color w:val="auto"/>
          <w:sz w:val="28"/>
          <w:szCs w:val="28"/>
          <w:highlight w:val="none"/>
        </w:rPr>
        <w:t>系统</w:t>
      </w:r>
      <w:r>
        <w:rPr>
          <w:rFonts w:hint="eastAsia" w:cs="宋体" w:asciiTheme="minorEastAsia" w:hAnsiTheme="minorEastAsia" w:eastAsiaTheme="minorEastAsia"/>
          <w:b/>
          <w:color w:val="auto"/>
          <w:sz w:val="28"/>
          <w:szCs w:val="28"/>
          <w:highlight w:val="none"/>
          <w:lang w:eastAsia="zh-CN"/>
        </w:rPr>
        <w:t>、</w:t>
      </w:r>
      <w:r>
        <w:rPr>
          <w:rFonts w:hint="eastAsia" w:cs="宋体" w:asciiTheme="minorEastAsia" w:hAnsiTheme="minorEastAsia" w:eastAsiaTheme="minorEastAsia"/>
          <w:b/>
          <w:color w:val="auto"/>
          <w:sz w:val="28"/>
          <w:szCs w:val="28"/>
          <w:highlight w:val="none"/>
        </w:rPr>
        <w:t>设备维修保养日常要求</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安排人员定期对广州大学供冷站的消防系统进行巡检，巡查周期分为例行巡检、月检查、季度测试，供应商每两周安排技术人员到现场进行巡查，每季度对系统做一次全面检查测试，并做好巡检记录。节假日前后应对系统进行重点检查，及时掌握系统的运行状况，消除系统隐患。设备维修保养如下表</w:t>
      </w:r>
      <w:r>
        <w:rPr>
          <w:rFonts w:hint="eastAsia" w:asciiTheme="minorEastAsia" w:hAnsiTheme="minorEastAsia" w:eastAsiaTheme="minorEastAsia"/>
          <w:color w:val="auto"/>
          <w:sz w:val="28"/>
          <w:szCs w:val="28"/>
          <w:highlight w:val="none"/>
          <w:lang w:val="en-US" w:eastAsia="zh-CN"/>
        </w:rPr>
        <w:t>：</w:t>
      </w:r>
    </w:p>
    <w:tbl>
      <w:tblPr>
        <w:tblStyle w:val="17"/>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96"/>
        <w:gridCol w:w="422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b/>
                <w:sz w:val="24"/>
              </w:rPr>
            </w:pPr>
            <w:r>
              <w:rPr>
                <w:rFonts w:hint="eastAsia" w:ascii="仿宋_GB2312" w:eastAsia="仿宋_GB2312" w:hAnsiTheme="minorEastAsia"/>
                <w:b/>
                <w:sz w:val="24"/>
              </w:rPr>
              <w:t>项目</w:t>
            </w:r>
          </w:p>
        </w:tc>
        <w:tc>
          <w:tcPr>
            <w:tcW w:w="4224" w:type="dxa"/>
            <w:vAlign w:val="center"/>
          </w:tcPr>
          <w:p>
            <w:pPr>
              <w:adjustRightInd w:val="0"/>
              <w:snapToGrid w:val="0"/>
              <w:spacing w:line="360" w:lineRule="auto"/>
              <w:jc w:val="left"/>
              <w:rPr>
                <w:rFonts w:ascii="仿宋_GB2312" w:eastAsia="仿宋_GB2312" w:hAnsiTheme="minorEastAsia"/>
                <w:b/>
                <w:sz w:val="24"/>
              </w:rPr>
            </w:pPr>
            <w:r>
              <w:rPr>
                <w:rFonts w:hint="eastAsia" w:ascii="仿宋_GB2312" w:eastAsia="仿宋_GB2312" w:hAnsiTheme="minorEastAsia"/>
                <w:b/>
                <w:sz w:val="24"/>
              </w:rPr>
              <w:t>内容</w:t>
            </w:r>
          </w:p>
        </w:tc>
        <w:tc>
          <w:tcPr>
            <w:tcW w:w="1147" w:type="dxa"/>
            <w:vAlign w:val="center"/>
          </w:tcPr>
          <w:p>
            <w:pPr>
              <w:adjustRightInd w:val="0"/>
              <w:snapToGrid w:val="0"/>
              <w:spacing w:line="360" w:lineRule="auto"/>
              <w:jc w:val="left"/>
              <w:rPr>
                <w:rFonts w:ascii="仿宋_GB2312" w:eastAsia="仿宋_GB2312" w:hAnsiTheme="minorEastAsia"/>
                <w:b/>
                <w:sz w:val="24"/>
              </w:rPr>
            </w:pPr>
            <w:r>
              <w:rPr>
                <w:rFonts w:hint="eastAsia" w:ascii="仿宋_GB2312" w:eastAsia="仿宋_GB2312" w:hAnsiTheme="minorEastAsia"/>
                <w:b/>
                <w:sz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消防供电备电</w:t>
            </w: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消防配电</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主、备电切换功能</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36" w:type="dxa"/>
            <w:vMerge w:val="restart"/>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火灾报警系统</w:t>
            </w:r>
          </w:p>
        </w:tc>
        <w:tc>
          <w:tcPr>
            <w:tcW w:w="2496" w:type="dxa"/>
            <w:vAlign w:val="center"/>
          </w:tcPr>
          <w:p>
            <w:pPr>
              <w:adjustRightInd w:val="0"/>
              <w:snapToGrid w:val="0"/>
              <w:spacing w:line="360" w:lineRule="auto"/>
              <w:ind w:firstLine="120" w:firstLineChars="50"/>
              <w:jc w:val="left"/>
              <w:rPr>
                <w:rFonts w:ascii="仿宋_GB2312" w:eastAsia="仿宋_GB2312" w:hAnsiTheme="minorEastAsia"/>
                <w:sz w:val="24"/>
              </w:rPr>
            </w:pPr>
            <w:r>
              <w:rPr>
                <w:rFonts w:hint="eastAsia" w:ascii="仿宋_GB2312" w:eastAsia="仿宋_GB2312" w:hAnsiTheme="minorEastAsia"/>
                <w:sz w:val="24"/>
              </w:rPr>
              <w:t>烟、温感探测器</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报警功能、故障报警功能、火警优先功能、打印机打印功能、火灾显示屏显示功能、CRT显示器显示功能</w:t>
            </w:r>
          </w:p>
        </w:tc>
        <w:tc>
          <w:tcPr>
            <w:tcW w:w="1147" w:type="dxa"/>
            <w:vAlign w:val="center"/>
          </w:tcPr>
          <w:p>
            <w:pPr>
              <w:widowControl/>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报警装置</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报警功能及外观</w:t>
            </w:r>
          </w:p>
        </w:tc>
        <w:tc>
          <w:tcPr>
            <w:tcW w:w="1147" w:type="dxa"/>
            <w:vAlign w:val="center"/>
          </w:tcPr>
          <w:p>
            <w:pPr>
              <w:widowControl/>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手动报警按钮</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报警功能及外观</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36" w:type="dxa"/>
            <w:vMerge w:val="continue"/>
            <w:vAlign w:val="center"/>
          </w:tcPr>
          <w:p>
            <w:pPr>
              <w:adjustRightInd w:val="0"/>
              <w:snapToGrid w:val="0"/>
              <w:spacing w:line="360" w:lineRule="auto"/>
              <w:ind w:firstLine="120" w:firstLineChars="50"/>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火灾报警探测器</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各类烟感和光感报警功能</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adjustRightInd w:val="0"/>
              <w:snapToGrid w:val="0"/>
              <w:spacing w:line="360" w:lineRule="auto"/>
              <w:ind w:left="120" w:hanging="120" w:hangingChars="50"/>
              <w:jc w:val="left"/>
              <w:rPr>
                <w:rFonts w:ascii="仿宋_GB2312" w:eastAsia="仿宋_GB2312" w:hAnsiTheme="minorEastAsia"/>
                <w:sz w:val="24"/>
              </w:rPr>
            </w:pPr>
            <w:r>
              <w:rPr>
                <w:rFonts w:hint="eastAsia" w:ascii="仿宋_GB2312" w:eastAsia="仿宋_GB2312" w:hAnsiTheme="minorEastAsia"/>
                <w:sz w:val="24"/>
              </w:rPr>
              <w:t>消防栓系统</w:t>
            </w: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室内消防栓</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出水及静压状况</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室外消防栓</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出水及静压状况</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启泵按钮</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远距离启泵功能</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应急照明</w:t>
            </w: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消防应急灯</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断电时供电及照度状况</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消防应急广播系统</w:t>
            </w: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扩音器</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联动启动和强制切换功能</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adjustRightInd w:val="0"/>
              <w:snapToGrid w:val="0"/>
              <w:spacing w:line="360" w:lineRule="auto"/>
              <w:jc w:val="left"/>
              <w:rPr>
                <w:rFonts w:ascii="仿宋_GB2312" w:eastAsia="仿宋_GB2312" w:hAnsiTheme="minorEastAsia"/>
                <w:sz w:val="24"/>
              </w:rPr>
            </w:pPr>
          </w:p>
        </w:tc>
        <w:tc>
          <w:tcPr>
            <w:tcW w:w="2496"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扬声器及对讲话筒</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音质和音量</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消防专用电话</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通话质量</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其它</w:t>
            </w:r>
          </w:p>
        </w:tc>
        <w:tc>
          <w:tcPr>
            <w:tcW w:w="4224"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维护系统正常，达到指定效果</w:t>
            </w:r>
          </w:p>
        </w:tc>
        <w:tc>
          <w:tcPr>
            <w:tcW w:w="1147" w:type="dxa"/>
            <w:vAlign w:val="center"/>
          </w:tcPr>
          <w:p>
            <w:pPr>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每季度</w:t>
            </w:r>
          </w:p>
        </w:tc>
      </w:tr>
    </w:tbl>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（二）广州大学城信息枢纽楼消防维保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内的大学城综合信息枢纽楼消防项目位于广州大学城内的大学城综合信息枢纽楼，大楼主楼建筑面积约4万平方米，副楼4000多平方米，消防报警系统按一类高层一级保护对象设计，大楼设一个消防控制中心，负责监控大楼及副楼内所有消防设备及联动控制。</w:t>
      </w:r>
    </w:p>
    <w:p>
      <w:pPr>
        <w:spacing w:line="560" w:lineRule="exact"/>
        <w:ind w:firstLine="560"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color w:val="auto"/>
          <w:sz w:val="28"/>
          <w:szCs w:val="28"/>
          <w:highlight w:val="none"/>
        </w:rPr>
        <w:t>信息枢纽楼消防系统维保内容：包括火灾自动报警系统、联动控制系统、消防广播系统、消防对讲系统、消防水系统（包括自动水喷淋）、通风系统、防火卷帘等等所有设备、管网、路线等进行检查、测试、维护、维修、更换、急修。</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rPr>
        <w:t>广州大学城信息枢纽楼</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（1）消防维保公</w:t>
      </w:r>
      <w:r>
        <w:rPr>
          <w:rFonts w:hint="eastAsia" w:ascii="宋体" w:hAnsi="宋体" w:eastAsia="宋体" w:cs="宋体"/>
          <w:color w:val="auto"/>
          <w:sz w:val="28"/>
          <w:szCs w:val="28"/>
          <w:highlight w:val="none"/>
        </w:rPr>
        <w:t>司</w:t>
      </w:r>
      <w:r>
        <w:rPr>
          <w:rFonts w:hint="eastAsia" w:ascii="宋体" w:hAnsi="宋体" w:eastAsia="宋体" w:cs="宋体"/>
          <w:sz w:val="28"/>
          <w:szCs w:val="28"/>
        </w:rPr>
        <w:t>按要求对消防系统进行检测，检测项目包括：设备性能、联动功能、回路电压和电阻、水压、风压、气压、时间、烟感、手报、广播等是否达到规范要求，对各设备的质量和运行状况给予评价，每月对设备抽查率不少于10%，每年覆盖一次</w:t>
      </w:r>
      <w:r>
        <w:rPr>
          <w:rFonts w:hint="eastAsia" w:ascii="宋体" w:hAnsi="宋体" w:eastAsia="宋体" w:cs="宋体"/>
          <w:color w:val="auto"/>
          <w:sz w:val="28"/>
          <w:szCs w:val="28"/>
          <w:highlight w:val="none"/>
        </w:rPr>
        <w:t>。</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（2）各系统消防维保服务内容见下表，消防维保公司对各系统进行检测并出具检测报告。</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①火灾自动报警系统</w:t>
      </w:r>
    </w:p>
    <w:tbl>
      <w:tblPr>
        <w:tblStyle w:val="17"/>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0"/>
        <w:gridCol w:w="567"/>
        <w:gridCol w:w="63"/>
        <w:gridCol w:w="1335"/>
        <w:gridCol w:w="2835"/>
        <w:gridCol w:w="63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4233"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660" w:type="dxa"/>
            <w:gridSpan w:val="3"/>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检查火灾报警主机、图文显示、消防联动控制台</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660" w:type="dxa"/>
            <w:gridSpan w:val="3"/>
            <w:vMerge w:val="continue"/>
            <w:vAlign w:val="center"/>
          </w:tcPr>
          <w:p>
            <w:pPr>
              <w:adjustRightInd w:val="0"/>
              <w:snapToGrid w:val="0"/>
              <w:jc w:val="left"/>
              <w:rPr>
                <w:rFonts w:hint="eastAsia" w:ascii="仿宋_GB2312" w:eastAsia="仿宋_GB2312"/>
                <w:sz w:val="24"/>
              </w:rPr>
            </w:pP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烟感探测器、温感探测器、手动报警按钮、警铃、模块等设施的完好状态</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有响应、无损坏、无腐蚀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660" w:type="dxa"/>
            <w:gridSpan w:val="3"/>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功能检测</w:t>
            </w: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探测器</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探测器报警正常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手动报警按钮</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警铃</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警铃报警正常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火灾报警主机</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进行自检、故障、、报警、消音、复位、火警优先、报警记忆、备用电池、打印等功能测试，每月进行一次全样检测。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主机报警正常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7</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显示功能检查</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报警主机及图文显示检查</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报警主机及图文显示正常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8</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线路回路</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进行回路电压、回路工作电阻、回路对地电阻测试，每季度进行一次全样检查</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回路测试正常，报警状态每一回路工作电流≤200MA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9</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备用电池</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对备用电源进行1-2次充放电实验，1-3次主电源和备用电源自动切换实验</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能正常切换，并保证备用电连续供电不少于24小时。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Cs w:val="21"/>
              </w:rPr>
              <w:t>10</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消防软件</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对消防主机和图文中心的软件进行功能性检测。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报警后能自动显示或自动切换到报警区域的点位图，自动记录系统故障和火灾报警信息的功能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04" w:type="dxa"/>
            <w:vAlign w:val="center"/>
          </w:tcPr>
          <w:p>
            <w:pPr>
              <w:adjustRightInd w:val="0"/>
              <w:snapToGrid w:val="0"/>
              <w:jc w:val="left"/>
              <w:rPr>
                <w:rFonts w:hint="eastAsia" w:ascii="仿宋_GB2312" w:eastAsia="仿宋_GB2312"/>
                <w:szCs w:val="21"/>
              </w:rPr>
            </w:pPr>
            <w:r>
              <w:rPr>
                <w:rFonts w:hint="eastAsia" w:ascii="仿宋_GB2312" w:eastAsia="仿宋_GB2312"/>
                <w:szCs w:val="21"/>
              </w:rPr>
              <w:t>11</w:t>
            </w:r>
          </w:p>
        </w:tc>
        <w:tc>
          <w:tcPr>
            <w:tcW w:w="66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每季度对内部各接线端子和信号（电源）线进行维保</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hint="eastAsia" w:ascii="仿宋_GB2312" w:eastAsia="仿宋_GB2312"/>
                <w:szCs w:val="21"/>
              </w:rPr>
            </w:pPr>
            <w:r>
              <w:rPr>
                <w:rFonts w:hint="eastAsia" w:ascii="仿宋_GB2312" w:eastAsia="仿宋_GB2312"/>
                <w:szCs w:val="21"/>
              </w:rPr>
              <w:t>12</w:t>
            </w:r>
          </w:p>
        </w:tc>
        <w:tc>
          <w:tcPr>
            <w:tcW w:w="66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内部除尘</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对报警控制器内部进行除尘</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②消防广播系统</w:t>
      </w:r>
    </w:p>
    <w:tbl>
      <w:tblPr>
        <w:tblStyle w:val="1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57"/>
        <w:gridCol w:w="1507"/>
        <w:gridCol w:w="3702"/>
        <w:gridCol w:w="448"/>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757"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5209"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75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5209"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每月检查广播主机、DVD机、功能、双卡座录音机、调谐器、前置放大器、监听器、广播切换器、扬声器、话筒的完好状态</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757" w:type="dxa"/>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功能测试</w:t>
            </w:r>
          </w:p>
        </w:tc>
        <w:tc>
          <w:tcPr>
            <w:tcW w:w="150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各切换器、控制器等</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通电试验</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转换工作正常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757" w:type="dxa"/>
            <w:vMerge w:val="continue"/>
            <w:vAlign w:val="center"/>
          </w:tcPr>
          <w:p>
            <w:pPr>
              <w:adjustRightInd w:val="0"/>
              <w:snapToGrid w:val="0"/>
              <w:jc w:val="left"/>
              <w:rPr>
                <w:rFonts w:hint="eastAsia" w:ascii="仿宋_GB2312" w:eastAsia="仿宋_GB2312"/>
                <w:sz w:val="24"/>
              </w:rPr>
            </w:pPr>
          </w:p>
        </w:tc>
        <w:tc>
          <w:tcPr>
            <w:tcW w:w="150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各放大器</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放音试听音质，音量</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音质、音量良好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757" w:type="dxa"/>
            <w:vMerge w:val="continue"/>
            <w:vAlign w:val="center"/>
          </w:tcPr>
          <w:p>
            <w:pPr>
              <w:adjustRightInd w:val="0"/>
              <w:snapToGrid w:val="0"/>
              <w:jc w:val="left"/>
              <w:rPr>
                <w:rFonts w:hint="eastAsia" w:ascii="仿宋_GB2312" w:eastAsia="仿宋_GB2312"/>
                <w:sz w:val="24"/>
              </w:rPr>
            </w:pPr>
          </w:p>
        </w:tc>
        <w:tc>
          <w:tcPr>
            <w:tcW w:w="150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广播主机</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能自动切换到消防广播状态</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757" w:type="dxa"/>
            <w:vMerge w:val="continue"/>
            <w:vAlign w:val="center"/>
          </w:tcPr>
          <w:p>
            <w:pPr>
              <w:adjustRightInd w:val="0"/>
              <w:snapToGrid w:val="0"/>
              <w:jc w:val="left"/>
              <w:rPr>
                <w:rFonts w:hint="eastAsia" w:ascii="仿宋_GB2312" w:eastAsia="仿宋_GB2312"/>
                <w:sz w:val="24"/>
              </w:rPr>
            </w:pPr>
          </w:p>
        </w:tc>
        <w:tc>
          <w:tcPr>
            <w:tcW w:w="150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广播</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每月按安装数量的30%试验选层（或选区）广播，检查广播音质，音量：每季覆盖一次</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扬声器音量清晰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757" w:type="dxa"/>
            <w:vMerge w:val="continue"/>
            <w:vAlign w:val="center"/>
          </w:tcPr>
          <w:p>
            <w:pPr>
              <w:adjustRightInd w:val="0"/>
              <w:snapToGrid w:val="0"/>
              <w:jc w:val="left"/>
              <w:rPr>
                <w:rFonts w:hint="eastAsia" w:ascii="仿宋_GB2312" w:eastAsia="仿宋_GB2312"/>
                <w:sz w:val="24"/>
              </w:rPr>
            </w:pPr>
          </w:p>
        </w:tc>
        <w:tc>
          <w:tcPr>
            <w:tcW w:w="1507" w:type="dxa"/>
            <w:vAlign w:val="center"/>
          </w:tcPr>
          <w:p>
            <w:pPr>
              <w:adjustRightInd w:val="0"/>
              <w:snapToGrid w:val="0"/>
              <w:jc w:val="left"/>
              <w:rPr>
                <w:rFonts w:hint="eastAsia" w:ascii="仿宋_GB2312" w:eastAsia="仿宋_GB2312"/>
                <w:sz w:val="24"/>
              </w:rPr>
            </w:pPr>
            <w:r>
              <w:rPr>
                <w:rFonts w:hint="eastAsia" w:ascii="仿宋_GB2312" w:eastAsia="仿宋_GB2312"/>
                <w:sz w:val="24"/>
              </w:rPr>
              <w:t>信号回路</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进行回路电压、回路工作电阻、回路对地电阻测试，每季度进行一次全样检测。</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7</w:t>
            </w:r>
          </w:p>
        </w:tc>
        <w:tc>
          <w:tcPr>
            <w:tcW w:w="2264"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每季度对内部各接线端子和信号（电源）线进行检查维护</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adjustRightInd w:val="0"/>
              <w:snapToGrid w:val="0"/>
              <w:jc w:val="left"/>
              <w:rPr>
                <w:rFonts w:hint="eastAsia" w:ascii="仿宋_GB2312" w:eastAsia="仿宋_GB2312"/>
                <w:sz w:val="24"/>
              </w:rPr>
            </w:pPr>
            <w:r>
              <w:rPr>
                <w:rFonts w:hint="eastAsia" w:ascii="仿宋_GB2312" w:eastAsia="仿宋_GB2312"/>
                <w:sz w:val="24"/>
              </w:rPr>
              <w:t>8</w:t>
            </w:r>
          </w:p>
        </w:tc>
        <w:tc>
          <w:tcPr>
            <w:tcW w:w="2264"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内部除尘</w:t>
            </w:r>
          </w:p>
        </w:tc>
        <w:tc>
          <w:tcPr>
            <w:tcW w:w="3702"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每月对主机柜内各设备内部进行除尘</w:t>
            </w:r>
          </w:p>
        </w:tc>
        <w:tc>
          <w:tcPr>
            <w:tcW w:w="448"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346"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③消防对讲系统</w:t>
      </w: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40"/>
        <w:gridCol w:w="15"/>
        <w:gridCol w:w="1125"/>
        <w:gridCol w:w="3733"/>
        <w:gridCol w:w="56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114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4873"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114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4873"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每月检查电话插孔、机房等主要场所的对讲电话完好状态</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1155" w:type="dxa"/>
            <w:gridSpan w:val="2"/>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w:t>
            </w:r>
          </w:p>
          <w:p>
            <w:pPr>
              <w:adjustRightInd w:val="0"/>
              <w:snapToGrid w:val="0"/>
              <w:jc w:val="left"/>
              <w:rPr>
                <w:rFonts w:hint="eastAsia" w:ascii="仿宋_GB2312" w:eastAsia="仿宋_GB2312"/>
                <w:sz w:val="24"/>
              </w:rPr>
            </w:pPr>
            <w:r>
              <w:rPr>
                <w:rFonts w:hint="eastAsia" w:ascii="仿宋_GB2312" w:eastAsia="仿宋_GB2312"/>
                <w:sz w:val="24"/>
              </w:rPr>
              <w:t>检测</w:t>
            </w:r>
          </w:p>
        </w:tc>
        <w:tc>
          <w:tcPr>
            <w:tcW w:w="11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电话</w:t>
            </w:r>
          </w:p>
        </w:tc>
        <w:tc>
          <w:tcPr>
            <w:tcW w:w="3733"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每月按安装数量的30%试验电话插孔和对讲电话的通话质量，每季度完成一次全样检测。</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电话通话正常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1155" w:type="dxa"/>
            <w:gridSpan w:val="2"/>
            <w:vMerge w:val="continue"/>
          </w:tcPr>
          <w:p>
            <w:pPr>
              <w:adjustRightInd w:val="0"/>
              <w:snapToGrid w:val="0"/>
              <w:jc w:val="left"/>
              <w:rPr>
                <w:rFonts w:hint="eastAsia" w:ascii="仿宋_GB2312" w:eastAsia="仿宋_GB2312"/>
                <w:sz w:val="24"/>
              </w:rPr>
            </w:pPr>
          </w:p>
        </w:tc>
        <w:tc>
          <w:tcPr>
            <w:tcW w:w="11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电话主机</w:t>
            </w:r>
          </w:p>
        </w:tc>
        <w:tc>
          <w:tcPr>
            <w:tcW w:w="3733" w:type="dxa"/>
            <w:vAlign w:val="center"/>
          </w:tcPr>
          <w:p>
            <w:pPr>
              <w:adjustRightInd w:val="0"/>
              <w:snapToGrid w:val="0"/>
              <w:jc w:val="left"/>
              <w:rPr>
                <w:rFonts w:hint="eastAsia" w:ascii="仿宋_GB2312" w:eastAsia="仿宋_GB2312"/>
                <w:sz w:val="24"/>
              </w:rPr>
            </w:pPr>
            <w:r>
              <w:rPr>
                <w:rFonts w:hint="eastAsia" w:ascii="仿宋_GB2312" w:eastAsia="仿宋_GB2312"/>
                <w:sz w:val="24"/>
              </w:rPr>
              <w:t>能顺畅接到电话分机，电话分机来电主机鸣叫</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1155" w:type="dxa"/>
            <w:gridSpan w:val="2"/>
            <w:vMerge w:val="continue"/>
          </w:tcPr>
          <w:p>
            <w:pPr>
              <w:adjustRightInd w:val="0"/>
              <w:snapToGrid w:val="0"/>
              <w:jc w:val="left"/>
              <w:rPr>
                <w:rFonts w:hint="eastAsia" w:ascii="仿宋_GB2312" w:eastAsia="仿宋_GB2312"/>
                <w:sz w:val="24"/>
              </w:rPr>
            </w:pPr>
          </w:p>
        </w:tc>
        <w:tc>
          <w:tcPr>
            <w:tcW w:w="11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信号回路</w:t>
            </w:r>
          </w:p>
        </w:tc>
        <w:tc>
          <w:tcPr>
            <w:tcW w:w="3733"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进行回路电压、回路工作电阻</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228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3733"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每季度对内部各接线端子和信号（电源）线进行检查维护</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228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内部除尘</w:t>
            </w:r>
          </w:p>
        </w:tc>
        <w:tc>
          <w:tcPr>
            <w:tcW w:w="3733"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每月设备内部进行除尘</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1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④消防排烟系统</w:t>
      </w:r>
    </w:p>
    <w:tbl>
      <w:tblPr>
        <w:tblStyle w:val="1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45"/>
        <w:gridCol w:w="1350"/>
        <w:gridCol w:w="3690"/>
        <w:gridCol w:w="4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检查送风阀、防火阀、排烟阀、送风机、排烟机等装置的完好状态</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945" w:type="dxa"/>
            <w:vMerge w:val="restart"/>
            <w:vAlign w:val="center"/>
          </w:tcPr>
          <w:p>
            <w:pPr>
              <w:adjustRightInd w:val="0"/>
              <w:snapToGrid w:val="0"/>
              <w:jc w:val="left"/>
              <w:rPr>
                <w:rFonts w:hint="eastAsia" w:ascii="仿宋_GB2312" w:eastAsia="仿宋_GB2312"/>
              </w:rPr>
            </w:pPr>
            <w:r>
              <w:rPr>
                <w:rFonts w:hint="eastAsia" w:ascii="仿宋_GB2312" w:eastAsia="仿宋_GB2312"/>
              </w:rPr>
              <w:t>功能检测</w:t>
            </w:r>
          </w:p>
        </w:tc>
        <w:tc>
          <w:tcPr>
            <w:tcW w:w="135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风机运行正常，送排风压正常</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风机、风压正常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945" w:type="dxa"/>
            <w:vMerge w:val="continue"/>
            <w:vAlign w:val="center"/>
          </w:tcPr>
          <w:p>
            <w:pPr>
              <w:adjustRightInd w:val="0"/>
              <w:snapToGrid w:val="0"/>
              <w:jc w:val="left"/>
              <w:rPr>
                <w:rFonts w:hint="eastAsia" w:ascii="仿宋_GB2312" w:eastAsia="仿宋_GB2312"/>
              </w:rPr>
            </w:pPr>
          </w:p>
        </w:tc>
        <w:tc>
          <w:tcPr>
            <w:tcW w:w="135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手动/自动检测</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模拟火灾报警后，能联动有关设备，即停止有关部位的空调送风，关闭电动防火阀，接收反馈信号：启动有关部位的排烟阀、送风阀、排烟风机、送风机，接受其反馈信号。并对各楼层排烟阀和前室加压阀连接构件除尘、上油保养</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手动、自动启动正常，信号反馈正常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945" w:type="dxa"/>
            <w:vMerge w:val="continue"/>
            <w:vAlign w:val="center"/>
          </w:tcPr>
          <w:p>
            <w:pPr>
              <w:adjustRightInd w:val="0"/>
              <w:snapToGrid w:val="0"/>
              <w:jc w:val="left"/>
              <w:rPr>
                <w:rFonts w:hint="eastAsia" w:ascii="仿宋_GB2312" w:eastAsia="仿宋_GB2312"/>
              </w:rPr>
            </w:pPr>
          </w:p>
        </w:tc>
        <w:tc>
          <w:tcPr>
            <w:tcW w:w="135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排烟阀微动开关及内部接线端子</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对正压送风阀及排烟阀进行检查</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复位按钮控制无误、排烟窗开启灵活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rPr>
              <w:t>线路维护</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每季度对控制柜内部各电器触点、接线端子及端子排端子、信号（电源）线进行检查维护</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触点完好，端子无烧损或松动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rPr>
              <w:t>内部除尘</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每月设备内部进行除尘</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⑤防火卷帘</w:t>
      </w: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60"/>
        <w:gridCol w:w="1335"/>
        <w:gridCol w:w="3705"/>
        <w:gridCol w:w="4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检查卷帘导轨、卷片、无机布、手动报警按钮外观良好，卷帘包厢无损伤的完好状态</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各设备外观完好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960" w:type="dxa"/>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功能测试</w:t>
            </w: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手动/自动检测</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手动、自动启动卷帘，检查卷帘运转及到位情况，查看有无异常响声，电机运转是否正常，外观无损伤，无刮痕，报警联动卷帘，看动作信号是否反馈到控制中心</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电气部分运转正常，机械运转正常，运动部位加润滑油，运转良好，帘布/片无损伤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960" w:type="dxa"/>
            <w:vMerge w:val="continue"/>
            <w:vAlign w:val="center"/>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转动部份</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对机械部份（齿轮、锋条）、卷帘门门体等进行紧固与上油保养</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无锈损且表面涂有润滑油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每季度对控制柜内部各电器触点、接线端子及端子排端子、信号（电源）线进行检查维护</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触点完好、端子无烧损或松动</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⑥消防水系统</w:t>
      </w: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10"/>
        <w:gridCol w:w="3675"/>
        <w:gridCol w:w="55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喷头</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清理保养区的积尘较多、污染严重的喷头</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半年</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喷头色泽正常、无损坏、无腐蚀、无污染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水流指示器</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检查保养区的信号接点，检查橡胶密封圈</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机械、反馈信号正常，密封良好、密封点无渗水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信号阀</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检查保养区的橡胶密封圈、清除污物、清理锈迹，检查信号</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无泄露、转动灵活、信号输出正常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减压阀、排气阀</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对管网中的减压阀，排气阀进行检修、清洗。</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水泵接合器</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检查保养区的密封件、清除严重污物、锈迹</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整体设置合理，止回阀自动回位，密封性好，外形无污染，标志清晰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报警阀</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检查报警阀接口是否渗漏，是否变形、污垢、杂物等影响密封</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报警正常，无污染、不渗漏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7</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消火栓箱</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检查消火栓垫圈、检查阀门是否有漏水、检查卷盘水龙带等是否损坏，消防水压正常</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消火栓箱无漏水、无变形，水带、卷盘摆放良好，水压正常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8</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管件（网）</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对系统管网进行除锈、上油保养</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管件（网）无锈迹，每年管网（除埋地部分外）全部覆盖一次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9</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管网</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水压试验（重点区域可用其他介质替代）</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试验压力为正常压力的1.4-1.5倍，稳压24小时，压降不超过0.05MPa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10</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喷淋系统功能检测</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打开喷淋末端放水阀，放水自动启动喷淋泵：在现场手动启动喷淋泵，主备泵自动切换测试，观测压力是否正常</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手动、自动启动正常，主备泵切换正常，水泵压力正常，管网无泄露，报警阀报警正常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11</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消火栓系统功能检测</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在现场手自动启动消火栓泵，主备泵自动切换测试，观测压力是否正常</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手自动启动正常，主备泵切换正常，水泵压力正常，管网无泄露。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12</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控制柜检查</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控制柜上电源指示灯及各类开关</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电源指示灯正常，开关处于开关启或自动状态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tcPr>
          <w:p>
            <w:pPr>
              <w:adjustRightInd w:val="0"/>
              <w:snapToGrid w:val="0"/>
              <w:jc w:val="left"/>
              <w:rPr>
                <w:rFonts w:hint="eastAsia" w:ascii="仿宋_GB2312" w:eastAsia="仿宋_GB2312"/>
                <w:sz w:val="24"/>
              </w:rPr>
            </w:pPr>
            <w:r>
              <w:rPr>
                <w:rFonts w:hint="eastAsia" w:ascii="仿宋_GB2312" w:eastAsia="仿宋_GB2312"/>
                <w:sz w:val="24"/>
              </w:rPr>
              <w:t>13</w:t>
            </w:r>
          </w:p>
        </w:tc>
        <w:tc>
          <w:tcPr>
            <w:tcW w:w="20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线路检查</w:t>
            </w:r>
          </w:p>
        </w:tc>
        <w:tc>
          <w:tcPr>
            <w:tcW w:w="367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控制柜内部各电器触点，各电器元件接线端子及端子排端</w:t>
            </w:r>
          </w:p>
        </w:tc>
        <w:tc>
          <w:tcPr>
            <w:tcW w:w="55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4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触点完好，无松动，各端子连接牢固，无烧损</w:t>
            </w:r>
          </w:p>
        </w:tc>
      </w:tr>
    </w:tbl>
    <w:p>
      <w:pPr>
        <w:spacing w:line="560" w:lineRule="exact"/>
        <w:ind w:firstLine="560" w:firstLineChars="200"/>
        <w:rPr>
          <w:rFonts w:hint="eastAsia" w:asciiTheme="minorEastAsia" w:hAnsiTheme="minorEastAsia" w:eastAsiaTheme="minorEastAsia"/>
          <w:color w:val="auto"/>
          <w:sz w:val="28"/>
          <w:szCs w:val="28"/>
          <w:highlight w:val="none"/>
        </w:rPr>
      </w:pP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⑦联动控制系统</w:t>
      </w:r>
    </w:p>
    <w:tbl>
      <w:tblPr>
        <w:tblStyle w:val="1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85"/>
        <w:gridCol w:w="1020"/>
        <w:gridCol w:w="3825"/>
        <w:gridCol w:w="66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885"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484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885" w:type="dxa"/>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控制功能检查</w:t>
            </w: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防火卷帘</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疏散出口，感烟探测器动作后，卷帘进行第一步下放（距地面1.5米-1.8米):感温探测器动作后，卷帘归底，用作防火分隔，迫降到底。感烟、感温探测器的报警信号及防火卷帘的关闭信号应送至消防控制室</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卷帘下降正常，信号显示正常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885" w:type="dxa"/>
            <w:vMerge w:val="continue"/>
            <w:vAlign w:val="center"/>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消防排烟</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1、停止有关部位的空调送风，关闭电动防火阀，并接收其反馈信号2、启动有关部位2的排烟阀、送风阀、排烟风机、送风机等，并接受其反馈信号。</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防排烟动作正常，信号显示正常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885" w:type="dxa"/>
            <w:vMerge w:val="continue"/>
            <w:vAlign w:val="center"/>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气体</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1、检查气体灭火系统防护区的报警、喷放及防火门（帘）、通风空调等设备的状态信号应送至消防控制室</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能实施程序控制，信号显示正常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自动喷淋</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控制系统的启、停，显示消防水泵的工作及故障状态，显示系统控制阀、报警阀及水流指示器的工作状态。</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喷淋控制及信号显示正常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室内消火栓</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控制消防水泵的启、停，显示消防水泵工作、故障状态</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消火栓控制及信号显示正常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疏散指示</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接通火灾事故照明和疏散指示灯</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疏散指示正常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7</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电梯迫降</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发出控制信号强制电梯全部停于首层，并显示其工作状态</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半年</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电梯迫降正常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8</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非消防电源切除</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手动切断有关部位的非消防电源</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非消防电源切除正常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9</w:t>
            </w:r>
          </w:p>
        </w:tc>
        <w:tc>
          <w:tcPr>
            <w:tcW w:w="885" w:type="dxa"/>
            <w:vMerge w:val="continue"/>
          </w:tcPr>
          <w:p>
            <w:pPr>
              <w:adjustRightInd w:val="0"/>
              <w:snapToGrid w:val="0"/>
              <w:jc w:val="left"/>
              <w:rPr>
                <w:rFonts w:hint="eastAsia" w:ascii="仿宋_GB2312" w:eastAsia="仿宋_GB2312"/>
                <w:sz w:val="24"/>
              </w:rPr>
            </w:pPr>
          </w:p>
        </w:tc>
        <w:tc>
          <w:tcPr>
            <w:tcW w:w="102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消防广播</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火警自动切换到消防广播状态</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位置准确、音质、音量正常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10</w:t>
            </w:r>
          </w:p>
        </w:tc>
        <w:tc>
          <w:tcPr>
            <w:tcW w:w="190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检查各电器触点，各电器元件接线端子及端子排端子，各电源信号线</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触点完好，无烧损，各端子连接牢固、无烧损，导线无破损、烧焦现象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11</w:t>
            </w:r>
          </w:p>
        </w:tc>
        <w:tc>
          <w:tcPr>
            <w:tcW w:w="190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内部清洁</w:t>
            </w:r>
          </w:p>
        </w:tc>
        <w:tc>
          <w:tcPr>
            <w:tcW w:w="38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控制台内部除尘</w:t>
            </w:r>
          </w:p>
        </w:tc>
        <w:tc>
          <w:tcPr>
            <w:tcW w:w="66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31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adjustRightInd w:val="0"/>
        <w:snapToGrid w:val="0"/>
        <w:jc w:val="left"/>
        <w:rPr>
          <w:rFonts w:hint="eastAsia" w:asciiTheme="minorEastAsia" w:hAnsiTheme="minorEastAsia" w:eastAsiaTheme="minorEastAsia"/>
          <w:color w:val="auto"/>
          <w:sz w:val="28"/>
          <w:szCs w:val="28"/>
          <w:highlight w:val="none"/>
          <w:lang w:val="en-US" w:eastAsia="zh-CN"/>
        </w:rPr>
      </w:pPr>
    </w:p>
    <w:p>
      <w:pPr>
        <w:adjustRightInd w:val="0"/>
        <w:snapToGrid w:val="0"/>
        <w:spacing w:line="240" w:lineRule="auto"/>
        <w:ind w:firstLine="0" w:firstLineChars="0"/>
        <w:jc w:val="left"/>
        <w:rPr>
          <w:b/>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b/>
          <w:color w:val="auto"/>
          <w:sz w:val="28"/>
          <w:szCs w:val="28"/>
          <w:highlight w:val="none"/>
        </w:rPr>
        <w:t>维修保养工作要求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①设备完好率：不低于99.8%，维修保养满意率达到99%；</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②派固定专人负责本项目的技术及管理工作，相对稳定的持证现场维保工作人员；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③保证全天候24小时（含国家规定的假期）紧急维修服务，接到报修后1小时到达现场。保证提供无限次电话咨询服务，及时解答甲方的消防疑难问题；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大楼装修租户进场装修施工前，维保单位应会签消防装修文件，并由维保单位隔离装修单位内的相关消防系统，使租户在装修期间不影响大楼的消防系统正常运作，租户完成装修后应并入大楼消防系统统一联动管理。另外维保单位应派人到场参加新租户装修后的验收；</w:t>
      </w:r>
    </w:p>
    <w:p>
      <w:pPr>
        <w:spacing w:line="560" w:lineRule="exact"/>
        <w:ind w:firstLine="560" w:firstLineChars="200"/>
        <w:rPr>
          <w:color w:val="auto"/>
          <w:sz w:val="28"/>
          <w:szCs w:val="28"/>
          <w:highlight w:val="none"/>
        </w:rPr>
      </w:pPr>
      <w:r>
        <w:rPr>
          <w:rFonts w:hint="eastAsia" w:ascii="宋体" w:hAnsi="宋体" w:eastAsia="宋体" w:cs="宋体"/>
          <w:color w:val="auto"/>
          <w:sz w:val="28"/>
          <w:szCs w:val="28"/>
          <w:highlight w:val="none"/>
        </w:rPr>
        <w:t>⑤</w:t>
      </w:r>
      <w:r>
        <w:rPr>
          <w:rFonts w:hint="eastAsia" w:ascii="宋体" w:hAnsi="宋体" w:cs="宋体"/>
          <w:color w:val="auto"/>
          <w:sz w:val="28"/>
          <w:szCs w:val="28"/>
          <w:highlight w:val="none"/>
          <w:lang w:val="en-US" w:eastAsia="zh-CN"/>
        </w:rPr>
        <w:t>枢纽楼</w:t>
      </w:r>
      <w:r>
        <w:rPr>
          <w:rFonts w:hint="eastAsia"/>
          <w:color w:val="auto"/>
          <w:sz w:val="28"/>
          <w:szCs w:val="28"/>
          <w:highlight w:val="none"/>
        </w:rPr>
        <w:t>若有上级部门来消防检查或举行消防演练，</w:t>
      </w:r>
      <w:r>
        <w:rPr>
          <w:rFonts w:hint="eastAsia" w:ascii="仿宋_GB2312" w:eastAsia="仿宋_GB2312"/>
          <w:sz w:val="28"/>
          <w:szCs w:val="28"/>
          <w:highlight w:val="none"/>
        </w:rPr>
        <w:t>消防维保公司</w:t>
      </w:r>
      <w:r>
        <w:rPr>
          <w:rFonts w:hint="eastAsia"/>
          <w:color w:val="auto"/>
          <w:sz w:val="28"/>
          <w:szCs w:val="28"/>
          <w:highlight w:val="none"/>
        </w:rPr>
        <w:t>应按要求派人配合、协助；</w:t>
      </w:r>
    </w:p>
    <w:p>
      <w:pPr>
        <w:spacing w:line="560" w:lineRule="exact"/>
        <w:ind w:firstLine="560" w:firstLineChars="200"/>
        <w:rPr>
          <w:color w:val="auto"/>
          <w:sz w:val="28"/>
          <w:szCs w:val="28"/>
          <w:highlight w:val="none"/>
        </w:rPr>
      </w:pPr>
      <w:r>
        <w:rPr>
          <w:rFonts w:hint="eastAsia" w:ascii="宋体" w:hAnsi="宋体" w:eastAsia="宋体" w:cs="宋体"/>
          <w:color w:val="auto"/>
          <w:sz w:val="28"/>
          <w:szCs w:val="28"/>
          <w:highlight w:val="none"/>
        </w:rPr>
        <w:t>⑥</w:t>
      </w:r>
      <w:r>
        <w:rPr>
          <w:rFonts w:hint="eastAsia" w:ascii="仿宋_GB2312" w:eastAsia="仿宋_GB2312"/>
          <w:sz w:val="28"/>
          <w:szCs w:val="28"/>
          <w:highlight w:val="none"/>
        </w:rPr>
        <w:t>消防维保公司</w:t>
      </w:r>
      <w:r>
        <w:rPr>
          <w:rFonts w:hint="eastAsia"/>
          <w:color w:val="auto"/>
          <w:sz w:val="28"/>
          <w:szCs w:val="28"/>
          <w:highlight w:val="none"/>
        </w:rPr>
        <w:t>人员每月对设备的巡查维保不少于2次（上、下半月各1次），并在物业管理处签名。</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（4）租户二次装修接入调试</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租户二次装修需要接入消防报警系统时，需要消防维保公司配合接入并调试，此阶段发生的调试费由租户承担，接入调试费用按不高于下表报价向租户收取调试费用：</w:t>
      </w:r>
    </w:p>
    <w:p>
      <w:pPr>
        <w:spacing w:line="560" w:lineRule="exact"/>
        <w:ind w:firstLine="2800" w:firstLineChars="1000"/>
        <w:rPr>
          <w:color w:val="auto"/>
          <w:sz w:val="28"/>
          <w:szCs w:val="28"/>
          <w:highlight w:val="none"/>
        </w:rPr>
      </w:pPr>
      <w:r>
        <w:rPr>
          <w:rFonts w:hint="eastAsia"/>
          <w:color w:val="auto"/>
          <w:sz w:val="28"/>
          <w:szCs w:val="28"/>
          <w:highlight w:val="none"/>
        </w:rPr>
        <w:t>租户二次装修接入调试报价表</w:t>
      </w:r>
    </w:p>
    <w:tbl>
      <w:tblPr>
        <w:tblStyle w:val="17"/>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52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接入点数</w:t>
            </w:r>
          </w:p>
        </w:tc>
        <w:tc>
          <w:tcPr>
            <w:tcW w:w="5250"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作  内  容</w:t>
            </w:r>
          </w:p>
        </w:tc>
        <w:tc>
          <w:tcPr>
            <w:tcW w:w="2445"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接入调试费用（元）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hint="default"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131—200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201—250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251—350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bl>
    <w:p>
      <w:pPr>
        <w:tabs>
          <w:tab w:val="left" w:pos="2721"/>
        </w:tabs>
        <w:adjustRightInd w:val="0"/>
        <w:snapToGrid w:val="0"/>
        <w:spacing w:line="360" w:lineRule="auto"/>
        <w:jc w:val="left"/>
        <w:rPr>
          <w:rFonts w:hint="eastAsia" w:ascii="仿宋_GB2312" w:eastAsia="仿宋_GB2312"/>
          <w:sz w:val="28"/>
          <w:szCs w:val="28"/>
        </w:rPr>
      </w:pPr>
      <w:r>
        <w:rPr>
          <w:rFonts w:hint="eastAsia" w:asciiTheme="minorEastAsia" w:hAnsiTheme="minorEastAsia" w:eastAsiaTheme="minorEastAsia"/>
          <w:color w:val="auto"/>
          <w:sz w:val="28"/>
          <w:szCs w:val="28"/>
          <w:highlight w:val="none"/>
        </w:rPr>
        <w:t>注：1、</w:t>
      </w:r>
      <w:r>
        <w:rPr>
          <w:rFonts w:hint="eastAsia" w:ascii="仿宋_GB2312" w:eastAsia="仿宋_GB2312"/>
          <w:sz w:val="28"/>
          <w:szCs w:val="28"/>
        </w:rPr>
        <w:t>、点数指区域内烟感、温感，破玻按钮、水流指示等需报警显示的消防报警配件个数。</w:t>
      </w:r>
    </w:p>
    <w:p>
      <w:pPr>
        <w:tabs>
          <w:tab w:val="left" w:pos="2721"/>
        </w:tabs>
        <w:adjustRightInd w:val="0"/>
        <w:snapToGrid w:val="0"/>
        <w:spacing w:line="360" w:lineRule="auto"/>
        <w:jc w:val="left"/>
        <w:rPr>
          <w:rFonts w:hint="eastAsia" w:ascii="仿宋_GB2312" w:eastAsia="仿宋_GB2312"/>
          <w:sz w:val="28"/>
          <w:szCs w:val="28"/>
        </w:rPr>
      </w:pPr>
      <w:r>
        <w:rPr>
          <w:rFonts w:hint="eastAsia" w:ascii="仿宋_GB2312" w:eastAsia="仿宋_GB2312"/>
          <w:sz w:val="28"/>
          <w:szCs w:val="28"/>
        </w:rPr>
        <w:t>2、因</w:t>
      </w:r>
      <w:r>
        <w:rPr>
          <w:rFonts w:hint="eastAsia" w:ascii="仿宋_GB2312" w:eastAsia="仿宋_GB2312"/>
          <w:sz w:val="28"/>
          <w:szCs w:val="28"/>
          <w:lang w:val="en-US" w:eastAsia="zh-CN"/>
        </w:rPr>
        <w:t>采购方</w:t>
      </w:r>
      <w:r>
        <w:rPr>
          <w:rFonts w:hint="eastAsia" w:ascii="仿宋_GB2312" w:eastAsia="仿宋_GB2312"/>
          <w:sz w:val="28"/>
          <w:szCs w:val="28"/>
        </w:rPr>
        <w:t>自用办公区需要接入消防系统的，维保单位应免费接入和调试。</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lang w:val="en-US" w:eastAsia="zh-CN"/>
        </w:rPr>
        <w:t>三</w:t>
      </w: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lang w:val="en-US" w:eastAsia="zh-CN"/>
        </w:rPr>
        <w:t>综合管沟、过江隧道</w:t>
      </w:r>
      <w:r>
        <w:rPr>
          <w:rFonts w:hint="eastAsia" w:asciiTheme="minorEastAsia" w:hAnsiTheme="minorEastAsia" w:eastAsiaTheme="minorEastAsia"/>
          <w:b/>
          <w:color w:val="auto"/>
          <w:sz w:val="28"/>
          <w:szCs w:val="28"/>
          <w:highlight w:val="none"/>
        </w:rPr>
        <w:t>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综合管沟全长18公里,分布于大学城中环路以及中心大街北、中一路、中四路、中心大街南、中五路、中八路、北四路、东三路、西五路、南三路。其中中环路为三仓管沟，在小谷围岛中环路中央隔离绿化地下，沿中环路呈环状结构布局，全长10公里，管沟内宽7米，高2.8米，分强电仓、弱电仓和水管仓。综合管沟的消防报警主要依靠感温光纤系统来实现，感温光纤（包含强电仓和弱电仓）总长约28公里。当测温光纤探测到火警时，通过控制中心的报警主机开启相应的防火分区和相邻防火分区的警铃，并联动停止通风机的运行。火灾报警系统设计采用无主再生网络型，系统内每台智能型火灾报警主机均可控制、查询、访问任何一台智能型火灾报警主机的工作报警状态。</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过江隧道全长约800米，敷设有感温电缆，接入到火灾自动消防报警系统，隧道内有卷帘门、风机等设备，电缆隧道内设置防火分区：在电缆隧道腔室内每隔50米设置一道防火隔断，防火隔断墙采用24砖墙，每段防火隔断设置一扇电控防火门（共10扇），防火门在正常情况下开启，保证通风，火灾工况下自动关闭；电缆隧道内设置火灾报警系统：火灾报警系统设置两级报警，当电缆周边温度达到40℃，进行超温报警（一级报警），联动风机开启，隧道内进行通风降温，当周边温度达到105℃，进行火灾报警（二级报警），防火门关闭，风机关闭，通风停止；电缆隧道内每100M即两个防火隔断区域设有12位消防模块箱（共5个），每个模块箱内安装有消防输入模块4个、输入输出模块2个、感温电缆微处理器4个及感温电缆终端盒4个，模块箱共5个；电缆隧道内在防火隔断墙处设的防火卷帘门两侧上方设置有消防应急出口指示灯，共20具；电缆隧道内设置有消防灭火器。</w:t>
      </w:r>
    </w:p>
    <w:p>
      <w:pPr>
        <w:spacing w:line="560" w:lineRule="exact"/>
        <w:ind w:firstLine="560"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color w:val="auto"/>
          <w:sz w:val="28"/>
          <w:szCs w:val="28"/>
          <w:highlight w:val="none"/>
        </w:rPr>
        <w:t>综合管沟、过江隧道消防系统维保内容包括：火灾自动报警系统、排风系统、防火分隔设施、感温光纤控制系统、消防报警控制系统、高压电房七氟丙烷自动灭火系统等所有设备、管网、路线等进行检查、测试、维护、维修、更换、急修。。</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bCs/>
          <w:color w:val="auto"/>
          <w:sz w:val="28"/>
          <w:szCs w:val="28"/>
          <w:highlight w:val="none"/>
        </w:rPr>
        <w:t>项目实施地点</w:t>
      </w:r>
    </w:p>
    <w:p>
      <w:pPr>
        <w:pStyle w:val="33"/>
        <w:adjustRightInd w:val="0"/>
        <w:snapToGrid w:val="0"/>
        <w:spacing w:line="360" w:lineRule="auto"/>
        <w:ind w:firstLineChars="0"/>
        <w:jc w:val="left"/>
        <w:rPr>
          <w:rFonts w:ascii="仿宋_GB2312" w:eastAsia="仿宋_GB2312" w:hAnsiTheme="minorEastAsia"/>
          <w:sz w:val="28"/>
          <w:szCs w:val="28"/>
        </w:rPr>
      </w:pPr>
      <w:r>
        <w:rPr>
          <w:rFonts w:hint="eastAsia" w:ascii="仿宋_GB2312" w:eastAsia="仿宋_GB2312" w:hAnsiTheme="minorEastAsia"/>
          <w:sz w:val="28"/>
          <w:szCs w:val="28"/>
        </w:rPr>
        <w:t>综合管沟、过江隧道</w:t>
      </w:r>
    </w:p>
    <w:p>
      <w:pPr>
        <w:spacing w:line="560" w:lineRule="exact"/>
        <w:ind w:firstLine="562"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numPr>
          <w:ilvl w:val="-1"/>
          <w:numId w:val="0"/>
        </w:numPr>
        <w:adjustRightInd w:val="0"/>
        <w:snapToGrid w:val="0"/>
        <w:spacing w:line="360" w:lineRule="auto"/>
        <w:ind w:left="0" w:firstLine="560" w:firstLineChars="200"/>
        <w:jc w:val="lef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eastAsia="仿宋_GB2312"/>
          <w:sz w:val="28"/>
          <w:szCs w:val="28"/>
        </w:rPr>
        <w:t>消防维保公司按要求对消防系统进行检测，检测项目包括：设备性能、联动功能、回路电压和电阻、风压、气压、时间、手报、等是否达到规范要求，对各设备的质量和运行状况给予评价，每月对设备抽查率不少于10%，每年覆盖一次。</w:t>
      </w:r>
    </w:p>
    <w:p>
      <w:pPr>
        <w:numPr>
          <w:ilvl w:val="-1"/>
          <w:numId w:val="0"/>
        </w:numPr>
        <w:adjustRightInd w:val="0"/>
        <w:snapToGrid w:val="0"/>
        <w:spacing w:line="360" w:lineRule="auto"/>
        <w:ind w:left="0" w:firstLine="560" w:firstLineChars="200"/>
        <w:jc w:val="left"/>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eastAsia="仿宋_GB2312"/>
          <w:sz w:val="28"/>
          <w:szCs w:val="28"/>
        </w:rPr>
        <w:t>各系统消防维保服务内容见下表，消防维保公司对各系统进行检测并出具检测报告。</w:t>
      </w:r>
    </w:p>
    <w:p>
      <w:pPr>
        <w:adjustRightInd w:val="0"/>
        <w:snapToGrid w:val="0"/>
        <w:spacing w:line="360" w:lineRule="auto"/>
        <w:ind w:firstLine="560" w:firstLineChars="200"/>
        <w:jc w:val="left"/>
        <w:rPr>
          <w:rFonts w:hint="eastAsia" w:ascii="仿宋_GB2312" w:eastAsia="仿宋_GB2312"/>
          <w:sz w:val="28"/>
          <w:szCs w:val="28"/>
        </w:rPr>
      </w:pPr>
      <w:r>
        <w:rPr>
          <w:rFonts w:hint="eastAsia" w:asciiTheme="minorEastAsia" w:hAnsiTheme="minorEastAsia" w:eastAsiaTheme="minorEastAsia"/>
          <w:color w:val="auto"/>
          <w:sz w:val="28"/>
          <w:szCs w:val="28"/>
          <w:highlight w:val="none"/>
        </w:rPr>
        <w:t>①</w:t>
      </w:r>
      <w:r>
        <w:rPr>
          <w:rFonts w:hint="eastAsia" w:ascii="仿宋_GB2312" w:eastAsia="仿宋_GB2312"/>
          <w:sz w:val="28"/>
          <w:szCs w:val="28"/>
        </w:rPr>
        <w:t>火灾自动报警系统</w:t>
      </w:r>
    </w:p>
    <w:tbl>
      <w:tblPr>
        <w:tblStyle w:val="17"/>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0"/>
        <w:gridCol w:w="567"/>
        <w:gridCol w:w="63"/>
        <w:gridCol w:w="1335"/>
        <w:gridCol w:w="2835"/>
        <w:gridCol w:w="63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567" w:type="dxa"/>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4233"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660" w:type="dxa"/>
            <w:gridSpan w:val="3"/>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检查火灾报警主机、图文显示、消防联动控制台</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660" w:type="dxa"/>
            <w:gridSpan w:val="3"/>
            <w:vMerge w:val="continue"/>
            <w:vAlign w:val="center"/>
          </w:tcPr>
          <w:p>
            <w:pPr>
              <w:adjustRightInd w:val="0"/>
              <w:snapToGrid w:val="0"/>
              <w:jc w:val="left"/>
              <w:rPr>
                <w:rFonts w:hint="eastAsia" w:ascii="仿宋_GB2312" w:eastAsia="仿宋_GB2312"/>
                <w:sz w:val="24"/>
              </w:rPr>
            </w:pP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烟感探测器、温感探测器、手动报警按钮、警铃、模块等设施的完好状态</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有响应、无损坏、无腐蚀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660" w:type="dxa"/>
            <w:gridSpan w:val="3"/>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功能检测</w:t>
            </w: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探测器</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探测器报警正常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手动报警按钮</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警铃</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进行模拟火灾响应试验抽检。每年完成一次全样检测。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年</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警铃报警正常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6</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火灾报警主机</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进行自检、故障、、报警、消音、复位、火警优先、报警记忆、备用电池、打印等功能测试，每月进行一次全样检测。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主机报警正常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7</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显示功能检查</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报警主机及图文显示检查</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报警主机及图文显示正常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8</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线路回路</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进行回路电压、回路工作电阻、回路对地电阻测试，每季度进行一次全样检查</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回路测试正常，报警状态每一回路工作电流≤200MA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 w:val="24"/>
              </w:rPr>
              <w:t>9</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备用电池</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对备用电源进行1-2次充放电实验，1-3次主电源和备用电源自动切换实验</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能正常切换，并保证备用电连续供电不少于24小时。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hint="eastAsia" w:ascii="仿宋_GB2312" w:eastAsia="仿宋_GB2312"/>
                <w:sz w:val="24"/>
              </w:rPr>
            </w:pPr>
            <w:r>
              <w:rPr>
                <w:rFonts w:hint="eastAsia" w:ascii="仿宋_GB2312" w:eastAsia="仿宋_GB2312"/>
                <w:szCs w:val="21"/>
              </w:rPr>
              <w:t>10</w:t>
            </w:r>
          </w:p>
        </w:tc>
        <w:tc>
          <w:tcPr>
            <w:tcW w:w="660" w:type="dxa"/>
            <w:gridSpan w:val="3"/>
            <w:vMerge w:val="continue"/>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消防软件</w:t>
            </w:r>
          </w:p>
        </w:tc>
        <w:tc>
          <w:tcPr>
            <w:tcW w:w="28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对消防主机和图文中心的软件进行功能性检测。</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报警后能自动显示或自动切换到报警区域的点位图，自动记录系统故障和火灾报警信息的功能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04" w:type="dxa"/>
            <w:vAlign w:val="center"/>
          </w:tcPr>
          <w:p>
            <w:pPr>
              <w:adjustRightInd w:val="0"/>
              <w:snapToGrid w:val="0"/>
              <w:jc w:val="left"/>
              <w:rPr>
                <w:rFonts w:hint="eastAsia" w:ascii="仿宋_GB2312" w:eastAsia="仿宋_GB2312"/>
                <w:szCs w:val="21"/>
              </w:rPr>
            </w:pPr>
            <w:r>
              <w:rPr>
                <w:rFonts w:hint="eastAsia" w:ascii="仿宋_GB2312" w:eastAsia="仿宋_GB2312"/>
                <w:szCs w:val="21"/>
              </w:rPr>
              <w:t>11</w:t>
            </w:r>
          </w:p>
        </w:tc>
        <w:tc>
          <w:tcPr>
            <w:tcW w:w="66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每季度对内部各接线端子和信号（电源）线进行维保</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各端子连接牢固，不松动，导线无破损，无老化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04" w:type="dxa"/>
            <w:vAlign w:val="center"/>
          </w:tcPr>
          <w:p>
            <w:pPr>
              <w:adjustRightInd w:val="0"/>
              <w:snapToGrid w:val="0"/>
              <w:jc w:val="left"/>
              <w:rPr>
                <w:rFonts w:hint="eastAsia" w:ascii="仿宋_GB2312" w:eastAsia="仿宋_GB2312"/>
                <w:szCs w:val="21"/>
              </w:rPr>
            </w:pPr>
            <w:r>
              <w:rPr>
                <w:rFonts w:hint="eastAsia" w:ascii="仿宋_GB2312" w:eastAsia="仿宋_GB2312"/>
                <w:szCs w:val="21"/>
              </w:rPr>
              <w:t>12</w:t>
            </w:r>
          </w:p>
        </w:tc>
        <w:tc>
          <w:tcPr>
            <w:tcW w:w="660" w:type="dxa"/>
            <w:gridSpan w:val="3"/>
            <w:vAlign w:val="center"/>
          </w:tcPr>
          <w:p>
            <w:pPr>
              <w:adjustRightInd w:val="0"/>
              <w:snapToGrid w:val="0"/>
              <w:jc w:val="left"/>
              <w:rPr>
                <w:rFonts w:hint="eastAsia" w:ascii="仿宋_GB2312" w:eastAsia="仿宋_GB2312"/>
                <w:sz w:val="24"/>
              </w:rPr>
            </w:pPr>
            <w:r>
              <w:rPr>
                <w:rFonts w:hint="eastAsia" w:ascii="仿宋_GB2312" w:eastAsia="仿宋_GB2312"/>
                <w:sz w:val="24"/>
              </w:rPr>
              <w:t>内部除尘</w:t>
            </w:r>
          </w:p>
        </w:tc>
        <w:tc>
          <w:tcPr>
            <w:tcW w:w="4170"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对报警控制器内部进行除尘</w:t>
            </w:r>
          </w:p>
        </w:tc>
        <w:tc>
          <w:tcPr>
            <w:tcW w:w="63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322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adjustRightInd w:val="0"/>
        <w:snapToGrid w:val="0"/>
        <w:jc w:val="left"/>
        <w:rPr>
          <w:rFonts w:hint="eastAsia" w:ascii="仿宋_GB2312" w:eastAsia="仿宋_GB2312"/>
          <w:sz w:val="24"/>
        </w:rPr>
      </w:pPr>
    </w:p>
    <w:p>
      <w:pPr>
        <w:adjustRightInd w:val="0"/>
        <w:snapToGrid w:val="0"/>
        <w:jc w:val="left"/>
        <w:rPr>
          <w:rFonts w:hint="eastAsia" w:ascii="仿宋_GB2312" w:eastAsia="仿宋_GB2312"/>
          <w:sz w:val="28"/>
          <w:szCs w:val="28"/>
        </w:rPr>
      </w:pPr>
      <w:r>
        <w:rPr>
          <w:rFonts w:hint="eastAsia" w:asciiTheme="minorEastAsia" w:hAnsiTheme="minorEastAsia" w:eastAsiaTheme="minorEastAsia"/>
          <w:color w:val="auto"/>
          <w:sz w:val="28"/>
          <w:szCs w:val="28"/>
          <w:highlight w:val="none"/>
        </w:rPr>
        <w:t>②</w:t>
      </w:r>
      <w:r>
        <w:rPr>
          <w:rFonts w:hint="eastAsia" w:ascii="仿宋_GB2312" w:eastAsia="仿宋_GB2312" w:hAnsiTheme="minorEastAsia"/>
          <w:sz w:val="28"/>
          <w:szCs w:val="28"/>
        </w:rPr>
        <w:t>排风系统</w:t>
      </w:r>
    </w:p>
    <w:p>
      <w:pPr>
        <w:adjustRightInd w:val="0"/>
        <w:snapToGrid w:val="0"/>
        <w:jc w:val="left"/>
        <w:rPr>
          <w:rFonts w:hint="eastAsia" w:ascii="仿宋_GB2312" w:eastAsia="仿宋_GB2312"/>
          <w:sz w:val="24"/>
        </w:rPr>
      </w:pPr>
    </w:p>
    <w:tbl>
      <w:tblPr>
        <w:tblStyle w:val="17"/>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45"/>
        <w:gridCol w:w="1350"/>
        <w:gridCol w:w="3690"/>
        <w:gridCol w:w="4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检查风机等装置的完好状态</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945" w:type="dxa"/>
            <w:vMerge w:val="restart"/>
            <w:vAlign w:val="center"/>
          </w:tcPr>
          <w:p>
            <w:pPr>
              <w:adjustRightInd w:val="0"/>
              <w:snapToGrid w:val="0"/>
              <w:jc w:val="left"/>
              <w:rPr>
                <w:rFonts w:hint="eastAsia" w:ascii="仿宋_GB2312" w:eastAsia="仿宋_GB2312"/>
              </w:rPr>
            </w:pPr>
            <w:r>
              <w:rPr>
                <w:rFonts w:hint="eastAsia" w:ascii="仿宋_GB2312" w:eastAsia="仿宋_GB2312"/>
              </w:rPr>
              <w:t>功能检测</w:t>
            </w:r>
          </w:p>
        </w:tc>
        <w:tc>
          <w:tcPr>
            <w:tcW w:w="135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风机运行正常，送排风压正常</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风机、风压正常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945" w:type="dxa"/>
            <w:vMerge w:val="continue"/>
            <w:vAlign w:val="center"/>
          </w:tcPr>
          <w:p>
            <w:pPr>
              <w:adjustRightInd w:val="0"/>
              <w:snapToGrid w:val="0"/>
              <w:jc w:val="left"/>
              <w:rPr>
                <w:rFonts w:hint="eastAsia" w:ascii="仿宋_GB2312" w:eastAsia="仿宋_GB2312"/>
              </w:rPr>
            </w:pPr>
          </w:p>
        </w:tc>
        <w:tc>
          <w:tcPr>
            <w:tcW w:w="135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手动/自动检测</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模拟火灾报警后，能联动有关设备，即停止有关部位的空调送风，关闭电动防火阀，接收反馈信号：启动有关部位的排烟阀、送风阀、排烟风机、送风机，接受其反馈信号。并对各楼层排烟阀和前室加压阀连接构件除尘、上油保养</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手动、自动启动正常，信号反馈正常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rPr>
              <w:t>线路维护</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每季度对控制柜内部各电器触点、接线端子及端子排端子、信号（电源）线进行检查维护</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触点完好，端子无烧损或松动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adjustRightInd w:val="0"/>
              <w:snapToGrid w:val="0"/>
              <w:jc w:val="left"/>
              <w:rPr>
                <w:rFonts w:hint="eastAsia" w:ascii="仿宋_GB2312" w:eastAsia="仿宋_GB2312"/>
                <w:sz w:val="24"/>
              </w:rPr>
            </w:pPr>
            <w:r>
              <w:rPr>
                <w:rFonts w:hint="eastAsia" w:ascii="仿宋_GB2312" w:eastAsia="仿宋_GB2312"/>
                <w:sz w:val="24"/>
              </w:rPr>
              <w:t>5</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rPr>
              <w:t>内部除尘</w:t>
            </w:r>
          </w:p>
        </w:tc>
        <w:tc>
          <w:tcPr>
            <w:tcW w:w="369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每月设备内部进行除尘</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2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无尘</w:t>
            </w:r>
          </w:p>
        </w:tc>
      </w:tr>
    </w:tbl>
    <w:p>
      <w:pPr>
        <w:adjustRightInd w:val="0"/>
        <w:snapToGrid w:val="0"/>
        <w:jc w:val="left"/>
        <w:rPr>
          <w:rFonts w:hint="eastAsia" w:ascii="仿宋_GB2312" w:eastAsia="仿宋_GB2312"/>
          <w:sz w:val="24"/>
        </w:rPr>
      </w:pPr>
    </w:p>
    <w:p>
      <w:pPr>
        <w:adjustRightInd w:val="0"/>
        <w:snapToGrid w:val="0"/>
        <w:jc w:val="left"/>
        <w:rPr>
          <w:rFonts w:hint="eastAsia" w:ascii="仿宋_GB2312" w:eastAsia="仿宋_GB2312"/>
          <w:sz w:val="28"/>
          <w:szCs w:val="28"/>
        </w:rPr>
      </w:pPr>
      <w:r>
        <w:rPr>
          <w:rFonts w:hint="eastAsia" w:asciiTheme="minorEastAsia" w:hAnsiTheme="minorEastAsia" w:eastAsiaTheme="minorEastAsia"/>
          <w:color w:val="auto"/>
          <w:sz w:val="28"/>
          <w:szCs w:val="28"/>
          <w:highlight w:val="none"/>
        </w:rPr>
        <w:t>③</w:t>
      </w:r>
      <w:r>
        <w:rPr>
          <w:rFonts w:hint="eastAsia" w:ascii="仿宋_GB2312" w:eastAsia="仿宋_GB2312" w:hAnsiTheme="minorEastAsia"/>
          <w:sz w:val="28"/>
          <w:szCs w:val="28"/>
        </w:rPr>
        <w:t>防火分隔设施</w:t>
      </w:r>
    </w:p>
    <w:p>
      <w:pPr>
        <w:adjustRightInd w:val="0"/>
        <w:snapToGrid w:val="0"/>
        <w:jc w:val="left"/>
        <w:rPr>
          <w:rFonts w:hint="eastAsia" w:ascii="仿宋_GB2312" w:eastAsia="仿宋_GB2312"/>
          <w:sz w:val="24"/>
        </w:rPr>
      </w:pP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60"/>
        <w:gridCol w:w="1335"/>
        <w:gridCol w:w="3705"/>
        <w:gridCol w:w="4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序号</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项目</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工作内容</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周期</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1</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完好性检查</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检查设备外观良好，无损伤的完好状态</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月</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各设备外观完好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2</w:t>
            </w:r>
          </w:p>
        </w:tc>
        <w:tc>
          <w:tcPr>
            <w:tcW w:w="960" w:type="dxa"/>
            <w:vMerge w:val="restart"/>
            <w:vAlign w:val="center"/>
          </w:tcPr>
          <w:p>
            <w:pPr>
              <w:adjustRightInd w:val="0"/>
              <w:snapToGrid w:val="0"/>
              <w:jc w:val="left"/>
              <w:rPr>
                <w:rFonts w:hint="eastAsia" w:ascii="仿宋_GB2312" w:eastAsia="仿宋_GB2312"/>
                <w:sz w:val="24"/>
              </w:rPr>
            </w:pPr>
            <w:r>
              <w:rPr>
                <w:rFonts w:hint="eastAsia" w:ascii="仿宋_GB2312" w:eastAsia="仿宋_GB2312"/>
                <w:sz w:val="24"/>
              </w:rPr>
              <w:t>功能测试</w:t>
            </w: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手动/自动检测</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检查设备运转及到位情况，查看有无异常响声，外观无损伤，无刮痕。</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电气部分运转正常，机械运转正常，运动部位加润滑油，运转良好，帘布/片无损伤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3</w:t>
            </w:r>
          </w:p>
        </w:tc>
        <w:tc>
          <w:tcPr>
            <w:tcW w:w="960" w:type="dxa"/>
            <w:vMerge w:val="continue"/>
            <w:vAlign w:val="center"/>
          </w:tcPr>
          <w:p>
            <w:pPr>
              <w:adjustRightInd w:val="0"/>
              <w:snapToGrid w:val="0"/>
              <w:jc w:val="left"/>
              <w:rPr>
                <w:rFonts w:hint="eastAsia" w:ascii="仿宋_GB2312" w:eastAsia="仿宋_GB2312"/>
                <w:sz w:val="24"/>
              </w:rPr>
            </w:pPr>
          </w:p>
        </w:tc>
        <w:tc>
          <w:tcPr>
            <w:tcW w:w="1335" w:type="dxa"/>
            <w:vAlign w:val="center"/>
          </w:tcPr>
          <w:p>
            <w:pPr>
              <w:adjustRightInd w:val="0"/>
              <w:snapToGrid w:val="0"/>
              <w:jc w:val="left"/>
              <w:rPr>
                <w:rFonts w:hint="eastAsia" w:ascii="仿宋_GB2312" w:eastAsia="仿宋_GB2312"/>
                <w:sz w:val="24"/>
              </w:rPr>
            </w:pPr>
            <w:r>
              <w:rPr>
                <w:rFonts w:hint="eastAsia" w:ascii="仿宋_GB2312" w:eastAsia="仿宋_GB2312"/>
                <w:sz w:val="24"/>
              </w:rPr>
              <w:t>转动部份</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对机械部份门体等进行紧固与上油保养</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无锈损且表面涂有润滑油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 w:type="dxa"/>
            <w:vAlign w:val="center"/>
          </w:tcPr>
          <w:p>
            <w:pPr>
              <w:adjustRightInd w:val="0"/>
              <w:snapToGrid w:val="0"/>
              <w:jc w:val="left"/>
              <w:rPr>
                <w:rFonts w:hint="eastAsia" w:ascii="仿宋_GB2312" w:eastAsia="仿宋_GB2312"/>
                <w:sz w:val="24"/>
              </w:rPr>
            </w:pPr>
            <w:r>
              <w:rPr>
                <w:rFonts w:hint="eastAsia" w:ascii="仿宋_GB2312" w:eastAsia="仿宋_GB2312"/>
                <w:sz w:val="24"/>
              </w:rPr>
              <w:t>4</w:t>
            </w:r>
          </w:p>
        </w:tc>
        <w:tc>
          <w:tcPr>
            <w:tcW w:w="2295" w:type="dxa"/>
            <w:gridSpan w:val="2"/>
            <w:vAlign w:val="center"/>
          </w:tcPr>
          <w:p>
            <w:pPr>
              <w:adjustRightInd w:val="0"/>
              <w:snapToGrid w:val="0"/>
              <w:jc w:val="left"/>
              <w:rPr>
                <w:rFonts w:hint="eastAsia" w:ascii="仿宋_GB2312" w:eastAsia="仿宋_GB2312"/>
                <w:sz w:val="24"/>
              </w:rPr>
            </w:pPr>
            <w:r>
              <w:rPr>
                <w:rFonts w:hint="eastAsia" w:ascii="仿宋_GB2312" w:eastAsia="仿宋_GB2312"/>
                <w:sz w:val="24"/>
              </w:rPr>
              <w:t>线路维护</w:t>
            </w:r>
          </w:p>
        </w:tc>
        <w:tc>
          <w:tcPr>
            <w:tcW w:w="3705" w:type="dxa"/>
            <w:vAlign w:val="center"/>
          </w:tcPr>
          <w:p>
            <w:pPr>
              <w:adjustRightInd w:val="0"/>
              <w:snapToGrid w:val="0"/>
              <w:jc w:val="left"/>
              <w:rPr>
                <w:rFonts w:hint="eastAsia" w:ascii="仿宋_GB2312" w:eastAsia="仿宋_GB2312"/>
                <w:sz w:val="24"/>
              </w:rPr>
            </w:pPr>
            <w:r>
              <w:rPr>
                <w:rFonts w:hint="eastAsia" w:ascii="仿宋_GB2312" w:eastAsia="仿宋_GB2312"/>
                <w:sz w:val="24"/>
              </w:rPr>
              <w:t>每季度对控制柜内部各电器触点、接线端子及端子排端子、信号（电源）线进行检查维护</w:t>
            </w:r>
          </w:p>
        </w:tc>
        <w:tc>
          <w:tcPr>
            <w:tcW w:w="495" w:type="dxa"/>
            <w:vAlign w:val="center"/>
          </w:tcPr>
          <w:p>
            <w:pPr>
              <w:adjustRightInd w:val="0"/>
              <w:snapToGrid w:val="0"/>
              <w:jc w:val="left"/>
              <w:rPr>
                <w:rFonts w:hint="eastAsia" w:ascii="仿宋_GB2312" w:eastAsia="仿宋_GB2312"/>
                <w:sz w:val="24"/>
              </w:rPr>
            </w:pPr>
            <w:r>
              <w:rPr>
                <w:rFonts w:hint="eastAsia" w:ascii="仿宋_GB2312" w:eastAsia="仿宋_GB2312"/>
                <w:sz w:val="24"/>
              </w:rPr>
              <w:t>季</w:t>
            </w:r>
          </w:p>
        </w:tc>
        <w:tc>
          <w:tcPr>
            <w:tcW w:w="2280" w:type="dxa"/>
            <w:vAlign w:val="center"/>
          </w:tcPr>
          <w:p>
            <w:pPr>
              <w:adjustRightInd w:val="0"/>
              <w:snapToGrid w:val="0"/>
              <w:jc w:val="left"/>
              <w:rPr>
                <w:rFonts w:hint="eastAsia" w:ascii="仿宋_GB2312" w:eastAsia="仿宋_GB2312"/>
                <w:sz w:val="24"/>
              </w:rPr>
            </w:pPr>
            <w:r>
              <w:rPr>
                <w:rFonts w:hint="eastAsia" w:ascii="仿宋_GB2312" w:eastAsia="仿宋_GB2312"/>
                <w:sz w:val="24"/>
              </w:rPr>
              <w:t>触点完好、端子无烧损或松动</w:t>
            </w:r>
          </w:p>
        </w:tc>
      </w:tr>
    </w:tbl>
    <w:p>
      <w:pPr>
        <w:adjustRightInd w:val="0"/>
        <w:snapToGrid w:val="0"/>
        <w:jc w:val="left"/>
        <w:rPr>
          <w:rFonts w:hint="eastAsia" w:ascii="仿宋_GB2312" w:eastAsia="仿宋_GB2312"/>
          <w:sz w:val="24"/>
        </w:rPr>
      </w:pPr>
    </w:p>
    <w:p>
      <w:pPr>
        <w:adjustRightInd w:val="0"/>
        <w:snapToGrid w:val="0"/>
        <w:jc w:val="left"/>
        <w:rPr>
          <w:rFonts w:ascii="仿宋_GB2312" w:eastAsia="仿宋_GB2312" w:hAnsiTheme="minorEastAsia"/>
          <w:sz w:val="28"/>
          <w:szCs w:val="28"/>
        </w:rPr>
      </w:pPr>
      <w:r>
        <w:rPr>
          <w:rFonts w:hint="eastAsia" w:asciiTheme="minorEastAsia" w:hAnsiTheme="minorEastAsia" w:eastAsiaTheme="minorEastAsia"/>
          <w:color w:val="auto"/>
          <w:sz w:val="28"/>
          <w:szCs w:val="28"/>
          <w:highlight w:val="none"/>
        </w:rPr>
        <w:t>④</w:t>
      </w:r>
      <w:r>
        <w:rPr>
          <w:rFonts w:hint="eastAsia" w:ascii="仿宋_GB2312" w:eastAsia="仿宋_GB2312"/>
          <w:sz w:val="28"/>
          <w:szCs w:val="28"/>
        </w:rPr>
        <w:t>、</w:t>
      </w:r>
      <w:r>
        <w:rPr>
          <w:rFonts w:hint="eastAsia" w:ascii="仿宋_GB2312" w:eastAsia="仿宋_GB2312" w:hAnsiTheme="minorEastAsia"/>
          <w:sz w:val="28"/>
          <w:szCs w:val="28"/>
        </w:rPr>
        <w:t>感温光纤监控系统、高压电房七氟丙烷自动灭火系统及其它系统</w:t>
      </w:r>
    </w:p>
    <w:p>
      <w:pPr>
        <w:adjustRightInd w:val="0"/>
        <w:snapToGrid w:val="0"/>
        <w:jc w:val="left"/>
        <w:rPr>
          <w:rFonts w:ascii="仿宋_GB2312" w:eastAsia="仿宋_GB2312" w:hAnsiTheme="minorEastAsia"/>
          <w:sz w:val="28"/>
          <w:szCs w:val="28"/>
        </w:rPr>
      </w:pPr>
    </w:p>
    <w:tbl>
      <w:tblPr>
        <w:tblStyle w:val="17"/>
        <w:tblW w:w="9060" w:type="dxa"/>
        <w:tblInd w:w="93" w:type="dxa"/>
        <w:tblLayout w:type="fixed"/>
        <w:tblCellMar>
          <w:top w:w="0" w:type="dxa"/>
          <w:left w:w="108" w:type="dxa"/>
          <w:bottom w:w="0" w:type="dxa"/>
          <w:right w:w="108" w:type="dxa"/>
        </w:tblCellMar>
      </w:tblPr>
      <w:tblGrid>
        <w:gridCol w:w="660"/>
        <w:gridCol w:w="1100"/>
        <w:gridCol w:w="2880"/>
        <w:gridCol w:w="1080"/>
        <w:gridCol w:w="3340"/>
      </w:tblGrid>
      <w:tr>
        <w:tblPrEx>
          <w:tblLayout w:type="fixed"/>
          <w:tblCellMar>
            <w:top w:w="0" w:type="dxa"/>
            <w:left w:w="108" w:type="dxa"/>
            <w:bottom w:w="0" w:type="dxa"/>
            <w:right w:w="108" w:type="dxa"/>
          </w:tblCellMar>
        </w:tblPrEx>
        <w:trPr>
          <w:trHeight w:val="31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项</w:t>
            </w:r>
            <w:r>
              <w:rPr>
                <w:rFonts w:hint="eastAsia" w:ascii="仿宋_GB2312" w:hAnsi="Times New Roman" w:eastAsia="仿宋_GB2312"/>
                <w:color w:val="000000"/>
                <w:kern w:val="0"/>
                <w:sz w:val="24"/>
              </w:rPr>
              <w:t>目</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工作内容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周期</w:t>
            </w:r>
          </w:p>
        </w:tc>
        <w:tc>
          <w:tcPr>
            <w:tcW w:w="3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标</w:t>
            </w:r>
            <w:r>
              <w:rPr>
                <w:rFonts w:hint="eastAsia" w:ascii="仿宋_GB2312" w:hAnsi="Times New Roman" w:eastAsia="仿宋_GB2312"/>
                <w:color w:val="000000"/>
                <w:kern w:val="0"/>
                <w:sz w:val="24"/>
              </w:rPr>
              <w:t>准</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消防监控系统功能检查</w:t>
            </w: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感温光纤控制单元</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专用开关电源</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专用机柜</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感温光纤</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动力配电箱</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电力电缆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尾迁</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8</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感温光纤监控系统管理计算机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9</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感温光纤监控系统管理计算机软件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10</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消防报警控制系统上位机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11</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消防报警控制系统上位机软件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软件工作正常，信号显示正常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消防报警系统联动机箱</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主机通讯模块及通讯接口软件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软件工作正常，信号显示正常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网络交换机</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气体灭火控制器（联动型）</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七氟丙烷气体灭火装置</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氮气启动瓶</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18</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网络通讯线</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19</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联网接口卡</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20</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输入/输出模块</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21</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信号模块</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22</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消防警铃</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23</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光纤跳线盒</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24</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光纤熔接盒</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25</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感温电缆</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26</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风机风阀</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27</w:t>
            </w: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880" w:type="dxa"/>
            <w:tcBorders>
              <w:top w:val="nil"/>
              <w:left w:val="nil"/>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光纤收发器</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设备工作正常，信号显示正常</w:t>
            </w:r>
          </w:p>
        </w:tc>
      </w:tr>
      <w:tr>
        <w:tblPrEx>
          <w:tblLayout w:type="fixed"/>
          <w:tblCellMar>
            <w:top w:w="0" w:type="dxa"/>
            <w:left w:w="108" w:type="dxa"/>
            <w:bottom w:w="0" w:type="dxa"/>
            <w:right w:w="108" w:type="dxa"/>
          </w:tblCellMar>
        </w:tblPrEx>
        <w:trPr>
          <w:trHeight w:val="94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26</w:t>
            </w:r>
          </w:p>
        </w:tc>
        <w:tc>
          <w:tcPr>
            <w:tcW w:w="110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线</w:t>
            </w:r>
            <w:r>
              <w:rPr>
                <w:rFonts w:hint="eastAsia" w:ascii="仿宋_GB2312" w:hAnsi="Times New Roman" w:eastAsia="仿宋_GB2312"/>
                <w:color w:val="000000"/>
                <w:kern w:val="0"/>
                <w:sz w:val="24"/>
              </w:rPr>
              <w:t>路</w:t>
            </w:r>
            <w:r>
              <w:rPr>
                <w:rFonts w:hint="eastAsia" w:ascii="仿宋_GB2312" w:hAnsi="宋体" w:eastAsia="仿宋_GB2312" w:cs="宋体"/>
                <w:color w:val="000000"/>
                <w:kern w:val="0"/>
                <w:sz w:val="24"/>
              </w:rPr>
              <w:t>维护</w:t>
            </w:r>
          </w:p>
        </w:tc>
        <w:tc>
          <w:tcPr>
            <w:tcW w:w="2880" w:type="dxa"/>
            <w:tcBorders>
              <w:top w:val="nil"/>
              <w:left w:val="single" w:color="auto" w:sz="4" w:space="0"/>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检查</w:t>
            </w:r>
            <w:r>
              <w:rPr>
                <w:rFonts w:hint="eastAsia" w:ascii="仿宋_GB2312" w:hAnsi="Times New Roman" w:eastAsia="仿宋_GB2312"/>
                <w:color w:val="000000"/>
                <w:kern w:val="0"/>
                <w:sz w:val="24"/>
              </w:rPr>
              <w:t>各</w:t>
            </w:r>
            <w:r>
              <w:rPr>
                <w:rFonts w:hint="eastAsia" w:ascii="仿宋_GB2312" w:hAnsi="宋体" w:eastAsia="仿宋_GB2312" w:cs="宋体"/>
                <w:color w:val="000000"/>
                <w:kern w:val="0"/>
                <w:sz w:val="24"/>
              </w:rPr>
              <w:t>电</w:t>
            </w:r>
            <w:r>
              <w:rPr>
                <w:rFonts w:hint="eastAsia" w:ascii="仿宋_GB2312" w:hAnsi="Times New Roman" w:eastAsia="仿宋_GB2312"/>
                <w:color w:val="000000"/>
                <w:kern w:val="0"/>
                <w:sz w:val="24"/>
              </w:rPr>
              <w:t>器触点，各</w:t>
            </w:r>
            <w:r>
              <w:rPr>
                <w:rFonts w:hint="eastAsia" w:ascii="仿宋_GB2312" w:hAnsi="宋体" w:eastAsia="仿宋_GB2312" w:cs="宋体"/>
                <w:color w:val="000000"/>
                <w:kern w:val="0"/>
                <w:sz w:val="24"/>
              </w:rPr>
              <w:t>电</w:t>
            </w:r>
            <w:r>
              <w:rPr>
                <w:rFonts w:hint="eastAsia" w:ascii="仿宋_GB2312" w:hAnsi="Times New Roman" w:eastAsia="仿宋_GB2312"/>
                <w:color w:val="000000"/>
                <w:kern w:val="0"/>
                <w:sz w:val="24"/>
              </w:rPr>
              <w:t>器元件接</w:t>
            </w:r>
            <w:r>
              <w:rPr>
                <w:rFonts w:hint="eastAsia" w:ascii="仿宋_GB2312" w:hAnsi="宋体" w:eastAsia="仿宋_GB2312" w:cs="宋体"/>
                <w:color w:val="000000"/>
                <w:kern w:val="0"/>
                <w:sz w:val="24"/>
              </w:rPr>
              <w:t>线</w:t>
            </w:r>
            <w:r>
              <w:rPr>
                <w:rFonts w:hint="eastAsia" w:ascii="仿宋_GB2312" w:hAnsi="Times New Roman" w:eastAsia="仿宋_GB2312"/>
                <w:color w:val="000000"/>
                <w:kern w:val="0"/>
                <w:sz w:val="24"/>
              </w:rPr>
              <w:t>端子及端子排端子，各</w:t>
            </w:r>
            <w:r>
              <w:rPr>
                <w:rFonts w:hint="eastAsia" w:ascii="仿宋_GB2312" w:hAnsi="宋体" w:eastAsia="仿宋_GB2312" w:cs="宋体"/>
                <w:color w:val="000000"/>
                <w:kern w:val="0"/>
                <w:sz w:val="24"/>
              </w:rPr>
              <w:t>电</w:t>
            </w:r>
            <w:r>
              <w:rPr>
                <w:rFonts w:hint="eastAsia" w:ascii="仿宋_GB2312" w:hAnsi="Times New Roman" w:eastAsia="仿宋_GB2312"/>
                <w:color w:val="000000"/>
                <w:kern w:val="0"/>
                <w:sz w:val="24"/>
              </w:rPr>
              <w:t>源信号</w:t>
            </w:r>
            <w:r>
              <w:rPr>
                <w:rFonts w:hint="eastAsia" w:ascii="仿宋_GB2312" w:hAnsi="宋体" w:eastAsia="仿宋_GB2312" w:cs="宋体"/>
                <w:color w:val="000000"/>
                <w:kern w:val="0"/>
                <w:sz w:val="24"/>
              </w:rPr>
              <w:t>线</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触点完好，无</w:t>
            </w:r>
            <w:r>
              <w:rPr>
                <w:rFonts w:hint="eastAsia" w:ascii="仿宋_GB2312" w:hAnsi="宋体" w:eastAsia="仿宋_GB2312"/>
                <w:color w:val="000000"/>
                <w:kern w:val="0"/>
                <w:sz w:val="24"/>
              </w:rPr>
              <w:t>烧损</w:t>
            </w:r>
            <w:r>
              <w:rPr>
                <w:rFonts w:hint="eastAsia" w:ascii="仿宋_GB2312" w:hAnsi="Times New Roman" w:eastAsia="仿宋_GB2312"/>
                <w:color w:val="000000"/>
                <w:kern w:val="0"/>
                <w:sz w:val="24"/>
              </w:rPr>
              <w:t>，各端子</w:t>
            </w:r>
            <w:r>
              <w:rPr>
                <w:rFonts w:hint="eastAsia" w:ascii="仿宋_GB2312" w:hAnsi="宋体" w:eastAsia="仿宋_GB2312"/>
                <w:color w:val="000000"/>
                <w:kern w:val="0"/>
                <w:sz w:val="24"/>
              </w:rPr>
              <w:t>连</w:t>
            </w:r>
            <w:r>
              <w:rPr>
                <w:rFonts w:hint="eastAsia" w:ascii="仿宋_GB2312" w:hAnsi="Times New Roman" w:eastAsia="仿宋_GB2312"/>
                <w:color w:val="000000"/>
                <w:kern w:val="0"/>
                <w:sz w:val="24"/>
              </w:rPr>
              <w:t>接牢固、无</w:t>
            </w:r>
            <w:r>
              <w:rPr>
                <w:rFonts w:hint="eastAsia" w:ascii="仿宋_GB2312" w:hAnsi="宋体" w:eastAsia="仿宋_GB2312"/>
                <w:color w:val="000000"/>
                <w:kern w:val="0"/>
                <w:sz w:val="24"/>
              </w:rPr>
              <w:t>烧损</w:t>
            </w:r>
            <w:r>
              <w:rPr>
                <w:rFonts w:hint="eastAsia" w:ascii="仿宋_GB2312" w:hAnsi="Times New Roman" w:eastAsia="仿宋_GB2312"/>
                <w:color w:val="000000"/>
                <w:kern w:val="0"/>
                <w:sz w:val="24"/>
              </w:rPr>
              <w:t>，</w:t>
            </w:r>
            <w:r>
              <w:rPr>
                <w:rFonts w:hint="eastAsia" w:ascii="仿宋_GB2312" w:hAnsi="宋体" w:eastAsia="仿宋_GB2312"/>
                <w:color w:val="000000"/>
                <w:kern w:val="0"/>
                <w:sz w:val="24"/>
              </w:rPr>
              <w:t>导线</w:t>
            </w:r>
            <w:r>
              <w:rPr>
                <w:rFonts w:hint="eastAsia" w:ascii="仿宋_GB2312" w:hAnsi="Times New Roman" w:eastAsia="仿宋_GB2312"/>
                <w:color w:val="000000"/>
                <w:kern w:val="0"/>
                <w:sz w:val="24"/>
              </w:rPr>
              <w:t>无破</w:t>
            </w:r>
            <w:r>
              <w:rPr>
                <w:rFonts w:hint="eastAsia" w:ascii="仿宋_GB2312" w:hAnsi="宋体" w:eastAsia="仿宋_GB2312"/>
                <w:color w:val="000000"/>
                <w:kern w:val="0"/>
                <w:sz w:val="24"/>
              </w:rPr>
              <w:t>损</w:t>
            </w:r>
            <w:r>
              <w:rPr>
                <w:rFonts w:hint="eastAsia" w:ascii="仿宋_GB2312" w:hAnsi="Times New Roman" w:eastAsia="仿宋_GB2312"/>
                <w:color w:val="000000"/>
                <w:kern w:val="0"/>
                <w:sz w:val="24"/>
              </w:rPr>
              <w:t>、</w:t>
            </w:r>
            <w:r>
              <w:rPr>
                <w:rFonts w:hint="eastAsia" w:ascii="仿宋_GB2312" w:hAnsi="宋体" w:eastAsia="仿宋_GB2312"/>
                <w:color w:val="000000"/>
                <w:kern w:val="0"/>
                <w:sz w:val="24"/>
              </w:rPr>
              <w:t>烧</w:t>
            </w:r>
            <w:r>
              <w:rPr>
                <w:rFonts w:hint="eastAsia" w:ascii="仿宋_GB2312" w:hAnsi="Times New Roman" w:eastAsia="仿宋_GB2312"/>
                <w:color w:val="000000"/>
                <w:kern w:val="0"/>
                <w:sz w:val="24"/>
              </w:rPr>
              <w:t>焦</w:t>
            </w:r>
            <w:r>
              <w:rPr>
                <w:rFonts w:hint="eastAsia" w:ascii="仿宋_GB2312" w:hAnsi="宋体" w:eastAsia="仿宋_GB2312"/>
                <w:color w:val="000000"/>
                <w:kern w:val="0"/>
                <w:sz w:val="24"/>
              </w:rPr>
              <w:t>现</w:t>
            </w:r>
            <w:r>
              <w:rPr>
                <w:rFonts w:hint="eastAsia" w:ascii="仿宋_GB2312" w:hAnsi="Times New Roman" w:eastAsia="仿宋_GB2312"/>
                <w:color w:val="000000"/>
                <w:kern w:val="0"/>
                <w:sz w:val="24"/>
              </w:rPr>
              <w:t>象</w:t>
            </w:r>
          </w:p>
        </w:tc>
      </w:tr>
      <w:tr>
        <w:tblPrEx>
          <w:tblLayout w:type="fixed"/>
          <w:tblCellMar>
            <w:top w:w="0" w:type="dxa"/>
            <w:left w:w="108" w:type="dxa"/>
            <w:bottom w:w="0" w:type="dxa"/>
            <w:right w:w="108" w:type="dxa"/>
          </w:tblCellMar>
        </w:tblPrEx>
        <w:trPr>
          <w:trHeight w:val="31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27</w:t>
            </w:r>
          </w:p>
        </w:tc>
        <w:tc>
          <w:tcPr>
            <w:tcW w:w="1100" w:type="dxa"/>
            <w:tcBorders>
              <w:top w:val="nil"/>
              <w:left w:val="nil"/>
              <w:bottom w:val="single" w:color="auto" w:sz="4" w:space="0"/>
              <w:right w:val="nil"/>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内部清</w:t>
            </w:r>
            <w:r>
              <w:rPr>
                <w:rFonts w:hint="eastAsia" w:ascii="仿宋_GB2312" w:hAnsi="宋体" w:eastAsia="仿宋_GB2312"/>
                <w:color w:val="000000"/>
                <w:kern w:val="0"/>
                <w:sz w:val="24"/>
              </w:rPr>
              <w:t>洁</w:t>
            </w:r>
          </w:p>
        </w:tc>
        <w:tc>
          <w:tcPr>
            <w:tcW w:w="2880" w:type="dxa"/>
            <w:tcBorders>
              <w:top w:val="nil"/>
              <w:left w:val="single" w:color="auto" w:sz="4" w:space="0"/>
              <w:bottom w:val="single" w:color="auto" w:sz="4" w:space="0"/>
              <w:right w:val="nil"/>
            </w:tcBorders>
            <w:shd w:val="clear" w:color="FFFFFF" w:fill="FFFFFF"/>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控制台内部除</w:t>
            </w:r>
            <w:r>
              <w:rPr>
                <w:rFonts w:hint="eastAsia" w:ascii="仿宋_GB2312" w:hAnsi="宋体" w:eastAsia="仿宋_GB2312" w:cs="宋体"/>
                <w:color w:val="000000"/>
                <w:kern w:val="0"/>
                <w:sz w:val="24"/>
              </w:rPr>
              <w:t>尘</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季</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无</w:t>
            </w:r>
            <w:r>
              <w:rPr>
                <w:rFonts w:hint="eastAsia" w:ascii="仿宋_GB2312" w:hAnsi="宋体" w:eastAsia="仿宋_GB2312"/>
                <w:color w:val="000000"/>
                <w:kern w:val="0"/>
                <w:sz w:val="24"/>
              </w:rPr>
              <w:t>尘</w:t>
            </w:r>
          </w:p>
        </w:tc>
      </w:tr>
    </w:tbl>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（3）维修保养工作要求</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①设备完好率：不低于99.8%，维修保养满意率达到99%；</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②派固定专人负责本项目的技术及管理工作，相对稳定的持证现场维保工作人员；</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③保证全天候24小时（含国家规定的假期）紧急维修服务，接到报修后1小时到达现场。保证提供无限次电话咨询服务，及时解答甲方的消防疑难问题；</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④消防维保公司人员每月对设备的巡查维保不少于2次（上、下半月各1次），并在物业管理处签名。</w:t>
      </w:r>
    </w:p>
    <w:p>
      <w:pPr>
        <w:spacing w:line="560" w:lineRule="exact"/>
        <w:ind w:firstLine="562" w:firstLineChars="200"/>
        <w:rPr>
          <w:b/>
          <w:color w:val="auto"/>
          <w:sz w:val="28"/>
          <w:szCs w:val="28"/>
          <w:highlight w:val="none"/>
        </w:rPr>
      </w:pPr>
      <w:r>
        <w:rPr>
          <w:rFonts w:hint="eastAsia"/>
          <w:b/>
          <w:color w:val="auto"/>
          <w:sz w:val="28"/>
          <w:szCs w:val="28"/>
          <w:highlight w:val="none"/>
        </w:rPr>
        <w:t>四、消防系统设备维修保养技术人员资质要求</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1、项目负责人1人，必须提供相关工程师证书。</w:t>
      </w:r>
    </w:p>
    <w:p>
      <w:pPr>
        <w:spacing w:line="560" w:lineRule="exact"/>
        <w:ind w:firstLine="56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维保工作人员4人，必须是持有消防上岗证、电工证，要熟悉维修、保养自动报警系统和气体灭火系统，能操作、维修消防设备，维修保养人员应由有消防设施调试维修保养资格和经验的工程技术人员担任。维护人员具有消防水泵恒压控制系统的调试经验。</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进场维保工作人员具有《消防实施操作员》证书。</w:t>
      </w:r>
    </w:p>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五、商务要求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（一）服务保障及相应的时间要求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1、维修保养质量标准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（1）协助</w:t>
      </w:r>
      <w:r>
        <w:rPr>
          <w:rFonts w:hint="eastAsia" w:asciiTheme="minorEastAsia" w:hAnsiTheme="minorEastAsia" w:eastAsiaTheme="minorEastAsia"/>
          <w:color w:val="auto"/>
          <w:sz w:val="28"/>
          <w:szCs w:val="28"/>
          <w:highlight w:val="none"/>
          <w:lang w:val="en-US" w:eastAsia="zh-CN"/>
        </w:rPr>
        <w:t>采购方及采购方用户</w:t>
      </w:r>
      <w:r>
        <w:rPr>
          <w:rFonts w:hint="eastAsia" w:asciiTheme="minorEastAsia" w:hAnsiTheme="minorEastAsia" w:eastAsiaTheme="minorEastAsia"/>
          <w:color w:val="auto"/>
          <w:sz w:val="28"/>
          <w:szCs w:val="28"/>
          <w:highlight w:val="none"/>
        </w:rPr>
        <w:t>进行消防年审并保证消防设备符合广州市消防管理条例和规范要求；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（2）保障消防各系统处于正常工作状态（除经甲乙双方共同认可的特殊情况）；</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应按照约定对委托维修保养的建筑消防设施进行定期检查、维护和保养，确保系统正常工作。如因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检查、维护和保养不到位造成消防事故的发生，</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负责赔偿因事故造成的所有损失；</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w:t>
      </w:r>
      <w:r>
        <w:rPr>
          <w:rFonts w:hint="eastAsia" w:asciiTheme="minorEastAsia" w:hAnsiTheme="minorEastAsia" w:eastAsiaTheme="minorEastAsia"/>
          <w:color w:val="auto"/>
          <w:sz w:val="28"/>
          <w:szCs w:val="28"/>
          <w:highlight w:val="none"/>
          <w:lang w:val="en-US" w:eastAsia="zh-CN"/>
        </w:rPr>
        <w:t>责</w:t>
      </w:r>
      <w:r>
        <w:rPr>
          <w:rFonts w:hint="eastAsia" w:asciiTheme="minorEastAsia" w:hAnsiTheme="minorEastAsia" w:eastAsiaTheme="minorEastAsia"/>
          <w:color w:val="auto"/>
          <w:sz w:val="28"/>
          <w:szCs w:val="28"/>
          <w:highlight w:val="none"/>
        </w:rPr>
        <w:t>单价在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元）以下设备部件和材料</w:t>
      </w:r>
      <w:r>
        <w:rPr>
          <w:rFonts w:hint="eastAsia" w:asciiTheme="minorEastAsia" w:hAnsiTheme="minorEastAsia" w:eastAsiaTheme="minorEastAsia"/>
          <w:color w:val="auto"/>
          <w:sz w:val="28"/>
          <w:szCs w:val="28"/>
          <w:highlight w:val="none"/>
          <w:lang w:val="en-US" w:eastAsia="zh-CN"/>
        </w:rPr>
        <w:t>及下表《《常用配件表》内配件</w:t>
      </w:r>
      <w:r>
        <w:rPr>
          <w:rFonts w:hint="eastAsia" w:asciiTheme="minorEastAsia" w:hAnsiTheme="minorEastAsia" w:eastAsiaTheme="minorEastAsia"/>
          <w:color w:val="auto"/>
          <w:sz w:val="28"/>
          <w:szCs w:val="28"/>
          <w:highlight w:val="none"/>
        </w:rPr>
        <w:t>的更换费用，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元以下的按实价格表或成本供货（甲方若需要</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备货，应书面通知备货种类及数量），更换前须先经过采购方书面同意后方能进行，采购方有权经市场调查后进行确定。200元以上的设备零配件</w:t>
      </w:r>
      <w:r>
        <w:rPr>
          <w:rFonts w:hint="eastAsia" w:asciiTheme="minorEastAsia" w:hAnsiTheme="minorEastAsia" w:eastAsiaTheme="minorEastAsia"/>
          <w:color w:val="auto"/>
          <w:sz w:val="28"/>
          <w:szCs w:val="28"/>
          <w:highlight w:val="none"/>
          <w:lang w:val="en-US" w:eastAsia="zh-CN"/>
        </w:rPr>
        <w:t>及下表《《常用配件表》内配件</w:t>
      </w:r>
      <w:r>
        <w:rPr>
          <w:rFonts w:hint="eastAsia" w:asciiTheme="minorEastAsia" w:hAnsiTheme="minorEastAsia" w:eastAsiaTheme="minorEastAsia"/>
          <w:color w:val="auto"/>
          <w:sz w:val="28"/>
          <w:szCs w:val="28"/>
          <w:highlight w:val="none"/>
        </w:rPr>
        <w:t>，如果因中标人导致需要更换的，由中标人负责零配件费用及更换。对常用易损件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应有库存，保证在发生损坏时及时更换。每月</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向采购方提供库存清单，可修复的零件部件应先换新，在保证系统正常运行的情况下修复后再替换；</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（5）消防设备不得随意拆除零部件，如需拆除，需先报采购方书面批准后方可进行，对</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元）备件</w:t>
      </w:r>
      <w:r>
        <w:rPr>
          <w:rFonts w:hint="eastAsia" w:asciiTheme="minorEastAsia" w:hAnsiTheme="minorEastAsia" w:eastAsiaTheme="minorEastAsia"/>
          <w:color w:val="auto"/>
          <w:sz w:val="28"/>
          <w:szCs w:val="28"/>
          <w:highlight w:val="none"/>
          <w:lang w:val="en-US" w:eastAsia="zh-CN"/>
        </w:rPr>
        <w:t>及下表《《常用配件表》内配件</w:t>
      </w:r>
      <w:r>
        <w:rPr>
          <w:rFonts w:hint="eastAsia" w:asciiTheme="minorEastAsia" w:hAnsiTheme="minorEastAsia" w:eastAsiaTheme="minorEastAsia"/>
          <w:color w:val="auto"/>
          <w:sz w:val="28"/>
          <w:szCs w:val="28"/>
          <w:highlight w:val="none"/>
        </w:rPr>
        <w:t>予以及时更换的，必须在更换后及时知会甲方有关情况，并于次日书面反映，并提供所用零配件（或材料）的检测报告等质量证书；</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应免费配合采购方举办一年一次的消防演习等活动；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每半年进行消防</w:t>
      </w:r>
      <w:r>
        <w:rPr>
          <w:rFonts w:hint="eastAsia" w:asciiTheme="minorEastAsia" w:hAnsiTheme="minorEastAsia" w:eastAsiaTheme="minorEastAsia"/>
          <w:color w:val="auto"/>
          <w:sz w:val="28"/>
          <w:szCs w:val="28"/>
          <w:highlight w:val="none"/>
          <w:lang w:val="en-US" w:eastAsia="zh-CN"/>
        </w:rPr>
        <w:t>联动</w:t>
      </w:r>
      <w:r>
        <w:rPr>
          <w:rFonts w:hint="eastAsia" w:asciiTheme="minorEastAsia" w:hAnsiTheme="minorEastAsia" w:eastAsiaTheme="minorEastAsia"/>
          <w:color w:val="auto"/>
          <w:sz w:val="28"/>
          <w:szCs w:val="28"/>
          <w:highlight w:val="none"/>
        </w:rPr>
        <w:t>检测一次；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负责免费培训采购方至少</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名运行人员及维护人员；</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在日常的检查、维护和保养工作中应做好生产安全防护，如因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原因造成双方或第三方人身和财产的损失，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负责赔偿；</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）消防值班</w:t>
      </w:r>
      <w:r>
        <w:rPr>
          <w:rFonts w:hint="eastAsia" w:asciiTheme="minorEastAsia" w:hAnsiTheme="minorEastAsia" w:eastAsiaTheme="minorEastAsia"/>
          <w:color w:val="auto"/>
          <w:sz w:val="28"/>
          <w:szCs w:val="28"/>
          <w:highlight w:val="none"/>
          <w:lang w:val="en-US" w:eastAsia="zh-CN"/>
        </w:rPr>
        <w:t>由</w:t>
      </w:r>
      <w:r>
        <w:rPr>
          <w:rFonts w:hint="eastAsia" w:asciiTheme="minorEastAsia" w:hAnsiTheme="minorEastAsia" w:eastAsiaTheme="minorEastAsia"/>
          <w:color w:val="auto"/>
          <w:sz w:val="28"/>
          <w:szCs w:val="28"/>
          <w:highlight w:val="none"/>
        </w:rPr>
        <w:t>采购方组织安排，在发生误报时由值班人员检查复位处理，值班人员无法处理时必须及时通知</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应按照</w:t>
      </w:r>
      <w:r>
        <w:rPr>
          <w:rFonts w:hint="eastAsia" w:asciiTheme="minorEastAsia" w:hAnsiTheme="minorEastAsia" w:eastAsiaTheme="minorEastAsia"/>
          <w:color w:val="auto"/>
          <w:sz w:val="28"/>
          <w:szCs w:val="28"/>
          <w:highlight w:val="none"/>
          <w:lang w:val="en-US" w:eastAsia="zh-CN"/>
        </w:rPr>
        <w:t>以上</w:t>
      </w:r>
      <w:r>
        <w:rPr>
          <w:rFonts w:hint="eastAsia" w:asciiTheme="minorEastAsia" w:hAnsiTheme="minorEastAsia" w:eastAsiaTheme="minorEastAsia"/>
          <w:color w:val="auto"/>
          <w:sz w:val="28"/>
          <w:szCs w:val="28"/>
          <w:highlight w:val="none"/>
        </w:rPr>
        <w:t>约定时间处理；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）接到火险通报，应立即赶到现场协助采购方工作；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）当消防设施出现严重故障必须停用时，应</w:t>
      </w:r>
      <w:r>
        <w:rPr>
          <w:rFonts w:hint="eastAsia" w:asciiTheme="minorEastAsia" w:hAnsiTheme="minorEastAsia" w:eastAsiaTheme="minorEastAsia"/>
          <w:color w:val="auto"/>
          <w:sz w:val="28"/>
          <w:szCs w:val="28"/>
          <w:highlight w:val="none"/>
          <w:lang w:val="en-US" w:eastAsia="zh-CN"/>
        </w:rPr>
        <w:t>配合</w:t>
      </w:r>
      <w:r>
        <w:rPr>
          <w:rFonts w:hint="eastAsia" w:asciiTheme="minorEastAsia" w:hAnsiTheme="minorEastAsia" w:eastAsiaTheme="minorEastAsia"/>
          <w:color w:val="auto"/>
          <w:sz w:val="28"/>
          <w:szCs w:val="28"/>
          <w:highlight w:val="none"/>
        </w:rPr>
        <w:t>采购方向广州市番禺区公安消防局报告；</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）维保人员交通、工作用车、维修工具、保养所需辅材如润滑油等均由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自备；</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应按时做好日常的各项维保工作记录，日工作内容须</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方确定，月、年度报告（各项检测、维修和紧急报告）各同每期工作计划和换件预算报价，应及时提供给采购方。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2、服务时间</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组织专业工程师与技术人员成立维保工程小组专项维护工作，特殊或必要情况下，工作维护小组可由</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组织力量参与工作。维保工程小组二十四小时随时待命，并设有二十四小时支持电话。</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应依照</w:t>
      </w:r>
      <w:r>
        <w:rPr>
          <w:rFonts w:hint="eastAsia" w:asciiTheme="minorEastAsia" w:hAnsiTheme="minorEastAsia" w:eastAsiaTheme="minorEastAsia"/>
          <w:color w:val="auto"/>
          <w:sz w:val="28"/>
          <w:szCs w:val="28"/>
          <w:highlight w:val="none"/>
          <w:lang w:val="en-US" w:eastAsia="zh-CN"/>
        </w:rPr>
        <w:t>相关制度</w:t>
      </w:r>
      <w:r>
        <w:rPr>
          <w:rFonts w:hint="eastAsia" w:asciiTheme="minorEastAsia" w:hAnsiTheme="minorEastAsia" w:eastAsiaTheme="minorEastAsia"/>
          <w:color w:val="auto"/>
          <w:sz w:val="28"/>
          <w:szCs w:val="28"/>
          <w:highlight w:val="none"/>
        </w:rPr>
        <w:t>或根据员工自愿申请安排员工加班工作。</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对消防设施、设备出现故障应及时修复，接到采购方故障报修电话一般情况</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小时内到场，紧急情况必须在</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小时内到场。</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人员到场后应立即积极抢修，除重要零配件待料等原因外，应在</w:t>
      </w:r>
      <w:r>
        <w:rPr>
          <w:rFonts w:hint="eastAsia" w:asciiTheme="minorEastAsia" w:hAnsiTheme="minorEastAsia" w:eastAsiaTheme="minorEastAsia"/>
          <w:color w:val="auto"/>
          <w:sz w:val="28"/>
          <w:szCs w:val="28"/>
          <w:highlight w:val="none"/>
          <w:lang w:eastAsia="zh-CN"/>
        </w:rPr>
        <w:t>4</w:t>
      </w:r>
      <w:r>
        <w:rPr>
          <w:rFonts w:hint="eastAsia" w:asciiTheme="minorEastAsia" w:hAnsiTheme="minorEastAsia" w:eastAsiaTheme="minorEastAsia"/>
          <w:color w:val="auto"/>
          <w:sz w:val="28"/>
          <w:szCs w:val="28"/>
          <w:highlight w:val="none"/>
          <w:lang w:val="en-US" w:eastAsia="zh-CN"/>
        </w:rPr>
        <w:t>8</w:t>
      </w:r>
      <w:r>
        <w:rPr>
          <w:rFonts w:hint="eastAsia" w:asciiTheme="minorEastAsia" w:hAnsiTheme="minorEastAsia" w:eastAsiaTheme="minorEastAsia"/>
          <w:color w:val="auto"/>
          <w:sz w:val="28"/>
          <w:szCs w:val="28"/>
          <w:highlight w:val="none"/>
        </w:rPr>
        <w:t>小时内解决问题。</w:t>
      </w:r>
    </w:p>
    <w:p>
      <w:pPr>
        <w:widowControl/>
        <w:ind w:firstLine="560" w:firstLineChars="200"/>
        <w:jc w:val="left"/>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color w:val="auto"/>
          <w:sz w:val="28"/>
          <w:szCs w:val="28"/>
          <w:highlight w:val="none"/>
          <w:lang w:eastAsia="zh-CN"/>
        </w:rPr>
        <w:t>）消防报警控制器瘫痪，或建筑内消防主管网爆破等大故障，要求在2小时内采取有效措施控制事态发展，72小时内修复。</w:t>
      </w:r>
    </w:p>
    <w:p>
      <w:pPr>
        <w:widowControl/>
        <w:ind w:firstLine="560" w:firstLineChars="200"/>
        <w:jc w:val="left"/>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5</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消</w:t>
      </w:r>
      <w:r>
        <w:rPr>
          <w:rFonts w:hint="eastAsia" w:asciiTheme="minorEastAsia" w:hAnsiTheme="minorEastAsia" w:eastAsiaTheme="minorEastAsia"/>
          <w:color w:val="auto"/>
          <w:sz w:val="28"/>
          <w:szCs w:val="28"/>
          <w:highlight w:val="none"/>
          <w:lang w:eastAsia="zh-CN"/>
        </w:rPr>
        <w:t>防报警控制器故障，或联动控制装置失灵，或建筑物内消防支管爆破等重大故障，要求在2小时内采取有效措施控制事态发展，3小时内恢复正常系统正常运行，48小时内修复。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rPr>
      </w:pP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6</w:t>
      </w:r>
      <w:r>
        <w:rPr>
          <w:rFonts w:hint="eastAsia" w:asciiTheme="minorEastAsia" w:hAnsiTheme="minorEastAsia" w:eastAsiaTheme="minorEastAsia"/>
          <w:color w:val="auto"/>
          <w:sz w:val="28"/>
          <w:szCs w:val="28"/>
          <w:highlight w:val="none"/>
          <w:lang w:eastAsia="zh-CN"/>
        </w:rPr>
        <w:t>）</w:t>
      </w:r>
      <w:r>
        <w:rPr>
          <w:rFonts w:hint="eastAsia" w:cs="Times New Roman" w:asciiTheme="minorEastAsia" w:hAnsiTheme="minorEastAsia" w:eastAsiaTheme="minorEastAsia"/>
          <w:color w:val="auto"/>
          <w:kern w:val="2"/>
          <w:sz w:val="28"/>
          <w:szCs w:val="28"/>
          <w:highlight w:val="none"/>
        </w:rPr>
        <w:t>消防报警回路故障，或喷头非正常爆破，或气体灭火系统非正常启动等一般故障，要求在半小时内采取有效措施控制事态发展，1小时内恢复系统正常运行，2小时内修复。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lang w:eastAsia="zh-CN"/>
        </w:rPr>
      </w:pPr>
      <w:r>
        <w:rPr>
          <w:rFonts w:hint="eastAsia" w:cs="Times New Roman" w:asciiTheme="minorEastAsia" w:hAnsiTheme="minorEastAsia" w:eastAsiaTheme="minorEastAsia"/>
          <w:color w:val="auto"/>
          <w:kern w:val="2"/>
          <w:sz w:val="28"/>
          <w:szCs w:val="28"/>
          <w:highlight w:val="none"/>
          <w:lang w:eastAsia="zh-CN"/>
        </w:rPr>
        <w:t>（</w:t>
      </w:r>
      <w:r>
        <w:rPr>
          <w:rFonts w:hint="eastAsia" w:cs="Times New Roman" w:asciiTheme="minorEastAsia" w:hAnsiTheme="minorEastAsia" w:eastAsiaTheme="minorEastAsia"/>
          <w:color w:val="auto"/>
          <w:kern w:val="2"/>
          <w:sz w:val="28"/>
          <w:szCs w:val="28"/>
          <w:highlight w:val="none"/>
          <w:lang w:val="en-US" w:eastAsia="zh-CN"/>
        </w:rPr>
        <w:t>7</w:t>
      </w:r>
      <w:r>
        <w:rPr>
          <w:rFonts w:hint="eastAsia" w:cs="Times New Roman" w:asciiTheme="minorEastAsia" w:hAnsiTheme="minorEastAsia" w:eastAsiaTheme="minorEastAsia"/>
          <w:color w:val="auto"/>
          <w:kern w:val="2"/>
          <w:sz w:val="28"/>
          <w:szCs w:val="28"/>
          <w:highlight w:val="none"/>
          <w:lang w:eastAsia="zh-CN"/>
        </w:rPr>
        <w:t>）消防设施故障，导致局部设施不能正常工作，如手报、探测器、模块、闸阀、烟感、温感等轻微故障，要求48小时内修复。</w:t>
      </w:r>
    </w:p>
    <w:p>
      <w:pPr>
        <w:widowControl/>
        <w:ind w:firstLine="560" w:firstLineChars="200"/>
        <w:jc w:val="left"/>
        <w:rPr>
          <w:rFonts w:hint="eastAsia" w:cs="Times New Roman" w:asciiTheme="minorEastAsia" w:hAnsiTheme="minorEastAsia" w:eastAsiaTheme="minorEastAsia"/>
          <w:color w:val="auto"/>
          <w:kern w:val="2"/>
          <w:sz w:val="28"/>
          <w:szCs w:val="28"/>
          <w:highlight w:val="none"/>
          <w:lang w:eastAsia="zh-CN"/>
        </w:rPr>
      </w:pPr>
      <w:r>
        <w:rPr>
          <w:rFonts w:hint="eastAsia" w:cs="Times New Roman" w:asciiTheme="minorEastAsia" w:hAnsiTheme="minorEastAsia" w:eastAsiaTheme="minorEastAsia"/>
          <w:color w:val="auto"/>
          <w:kern w:val="2"/>
          <w:sz w:val="28"/>
          <w:szCs w:val="28"/>
          <w:highlight w:val="none"/>
          <w:lang w:eastAsia="zh-CN"/>
        </w:rPr>
        <w:t>（</w:t>
      </w:r>
      <w:r>
        <w:rPr>
          <w:rFonts w:hint="eastAsia" w:cs="Times New Roman" w:asciiTheme="minorEastAsia" w:hAnsiTheme="minorEastAsia" w:eastAsiaTheme="minorEastAsia"/>
          <w:color w:val="auto"/>
          <w:kern w:val="2"/>
          <w:sz w:val="28"/>
          <w:szCs w:val="28"/>
          <w:highlight w:val="none"/>
          <w:lang w:val="en-US" w:eastAsia="zh-CN"/>
        </w:rPr>
        <w:t>8</w:t>
      </w:r>
      <w:r>
        <w:rPr>
          <w:rFonts w:hint="eastAsia" w:cs="Times New Roman" w:asciiTheme="minorEastAsia" w:hAnsiTheme="minorEastAsia" w:eastAsiaTheme="minorEastAsia"/>
          <w:color w:val="auto"/>
          <w:kern w:val="2"/>
          <w:sz w:val="28"/>
          <w:szCs w:val="28"/>
          <w:highlight w:val="none"/>
          <w:lang w:eastAsia="zh-CN"/>
        </w:rPr>
        <w:t>）因软件本身原因导致报警主机死机，图文中心无法浏览、系统联动功能出错等软件故障，要求48小时内修复系统的正常运行，同类故障在1月内连续出现2次及以上，应提供解决方案。</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（二）服务期限：</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年，自</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5</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9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1 </w:t>
      </w:r>
      <w:r>
        <w:rPr>
          <w:rFonts w:asciiTheme="minorEastAsia" w:hAnsiTheme="minorEastAsia" w:eastAsiaTheme="minorEastAsia"/>
          <w:color w:val="auto"/>
          <w:sz w:val="28"/>
          <w:szCs w:val="28"/>
          <w:highlight w:val="none"/>
        </w:rPr>
        <w:t>日起至</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7</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8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31 </w:t>
      </w:r>
      <w:r>
        <w:rPr>
          <w:rFonts w:asciiTheme="minorEastAsia" w:hAnsiTheme="minorEastAsia" w:eastAsiaTheme="minorEastAsia"/>
          <w:color w:val="auto"/>
          <w:sz w:val="28"/>
          <w:szCs w:val="28"/>
          <w:highlight w:val="none"/>
        </w:rPr>
        <w:t>日止</w:t>
      </w:r>
      <w:r>
        <w:rPr>
          <w:rFonts w:hint="eastAsia" w:asciiTheme="minorEastAsia" w:hAnsiTheme="minorEastAsia" w:eastAsiaTheme="minorEastAsia"/>
          <w:color w:val="auto"/>
          <w:sz w:val="28"/>
          <w:szCs w:val="28"/>
          <w:highlight w:val="none"/>
        </w:rPr>
        <w:t>。</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六</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配合控制项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1、在实施保养工作中，</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的维保人员应接受采购方的业务指导和监督，同时</w:t>
      </w:r>
      <w:r>
        <w:rPr>
          <w:rFonts w:hint="eastAsia" w:asciiTheme="minorEastAsia" w:hAnsiTheme="minorEastAsia" w:eastAsiaTheme="minorEastAsia"/>
          <w:color w:val="auto"/>
          <w:sz w:val="28"/>
          <w:szCs w:val="28"/>
          <w:highlight w:val="none"/>
          <w:lang w:val="en-US" w:eastAsia="zh-CN"/>
        </w:rPr>
        <w:t>采购方物业</w:t>
      </w:r>
      <w:r>
        <w:rPr>
          <w:rFonts w:hint="eastAsia" w:asciiTheme="minorEastAsia" w:hAnsiTheme="minorEastAsia" w:eastAsiaTheme="minorEastAsia"/>
          <w:color w:val="auto"/>
          <w:sz w:val="28"/>
          <w:szCs w:val="28"/>
          <w:highlight w:val="none"/>
        </w:rPr>
        <w:t>管理处对维护人员进入各施工场所给予方便。为了保证投标人对消防系统维保工作的监督管理，采购方有关人员应对</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维保人员的工作单、检查试验等工作予以签名确认。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2、消防设施、设备系统出现较大故障时，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应立即组织抢修，保证在最短时间内恢复运行。当抢修条件受客观因素限制，</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应及时通知相关部门采取应急措施，然后在采购方统一协调配合下完成抢修工作。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3、紧急呼叫：在发现消防水系统漏水，喷淋爆裂的情况下采取紧急呼叫，同时采购方管理人员应采取必要的紧急措施。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4、若确认发生火灾事故，</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应积极配合采购方按有关规定立即向广州市公安消防局报告情况，并为抢救提供必要的条件。</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5、采购方有权对</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合同履行情况进行检查，检查中发现的问题，视情节轻重提出口头或书面提出整改意见，要求</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限期整改，如整改后仍无法达到履约标准的，采购方有权要求提前终止合同要求</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承担违约责任。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6、建筑内因某些原因需改动、更换消防设施时，应经采购方管理部门批准。采购方应及时将批准意见通知</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以便其提出合理建议和采取相应防范措施。在中标人没有参与施工的情况下，施工方进入中控室施工时中标人配合。</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人员统一工作服饰，每次进入现场工作及各项维修、保养和检查记录须送采购方有关人员签字确认。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8、季度检查原始记录必须由参加维修保养的双方人员签字，季度检查结果和处理意见有双方代表签字后</w:t>
      </w:r>
      <w:r>
        <w:rPr>
          <w:rFonts w:hint="eastAsia" w:asciiTheme="minorEastAsia" w:hAnsiTheme="minorEastAsia" w:eastAsiaTheme="minorEastAsia"/>
          <w:color w:val="auto"/>
          <w:sz w:val="28"/>
          <w:szCs w:val="28"/>
          <w:highlight w:val="none"/>
          <w:lang w:val="en-US" w:eastAsia="zh-CN"/>
        </w:rPr>
        <w:t>各</w:t>
      </w:r>
      <w:r>
        <w:rPr>
          <w:rFonts w:hint="eastAsia" w:asciiTheme="minorEastAsia" w:hAnsiTheme="minorEastAsia" w:eastAsiaTheme="minorEastAsia"/>
          <w:color w:val="auto"/>
          <w:sz w:val="28"/>
          <w:szCs w:val="28"/>
          <w:highlight w:val="none"/>
        </w:rPr>
        <w:t>执一份。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9、维修保养期为</w:t>
      </w: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年，期满前的最后一个月第一周对所有保养的设备进行一次全面维修、保养及检测，做出设备检测报告，提供全年消防系统运行报告，并经采购方作全面考评并签字确认。</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七</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更换零配件的供应</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1、维修保养中发现需要更换的零配件费用单项超过200元以上的，</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负责提供规格型号，采购人负责购买，</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负责更换</w:t>
      </w:r>
      <w:r>
        <w:rPr>
          <w:rFonts w:hint="eastAsia" w:asciiTheme="minorEastAsia" w:hAnsiTheme="minorEastAsia" w:eastAsiaTheme="minorEastAsia"/>
          <w:color w:val="auto"/>
          <w:sz w:val="28"/>
          <w:szCs w:val="28"/>
          <w:highlight w:val="none"/>
          <w:lang w:val="en-US" w:eastAsia="zh-CN"/>
        </w:rPr>
        <w:t>及</w:t>
      </w:r>
      <w:r>
        <w:rPr>
          <w:rFonts w:hint="eastAsia" w:asciiTheme="minorEastAsia" w:hAnsiTheme="minorEastAsia" w:eastAsiaTheme="minorEastAsia"/>
          <w:color w:val="auto"/>
          <w:sz w:val="28"/>
          <w:szCs w:val="28"/>
          <w:highlight w:val="none"/>
        </w:rPr>
        <w:t>安装调试。零配件费单项在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及下表《常用配件表》内配件</w:t>
      </w:r>
      <w:r>
        <w:rPr>
          <w:rFonts w:hint="eastAsia" w:asciiTheme="minorEastAsia" w:hAnsiTheme="minorEastAsia" w:eastAsiaTheme="minorEastAsia"/>
          <w:color w:val="auto"/>
          <w:sz w:val="28"/>
          <w:szCs w:val="28"/>
          <w:highlight w:val="none"/>
        </w:rPr>
        <w:t>），由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2、定期检查时确认需要重新灌装的灭火剂，费用采购方负责，</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协助进行拆装。</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3、因</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维修保养过错造成零配件损坏或因其操作失误释放灭火剂，其补充、更换的费用由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4、更换探测器、模块、风机、阀门等零件配件的人工费由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负责，但维修水泵、大面积油漆、对腐蚀严重的管道</w:t>
      </w:r>
      <w:r>
        <w:rPr>
          <w:rFonts w:hint="eastAsia" w:asciiTheme="minorEastAsia" w:hAnsiTheme="minorEastAsia" w:eastAsiaTheme="minorEastAsia"/>
          <w:color w:val="auto"/>
          <w:sz w:val="28"/>
          <w:szCs w:val="28"/>
          <w:highlight w:val="none"/>
          <w:lang w:val="en-US" w:eastAsia="zh-CN"/>
        </w:rPr>
        <w:t>更换</w:t>
      </w:r>
      <w:r>
        <w:rPr>
          <w:rFonts w:hint="eastAsia" w:asciiTheme="minorEastAsia" w:hAnsiTheme="minorEastAsia" w:eastAsiaTheme="minorEastAsia"/>
          <w:color w:val="auto"/>
          <w:sz w:val="28"/>
          <w:szCs w:val="28"/>
          <w:highlight w:val="none"/>
        </w:rPr>
        <w:t>的人工费由</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承担。</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5、外部因素引起系统损坏，</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应向采购人提交修复方案，采购人审批同意后，按工作量支付费用。</w:t>
      </w:r>
    </w:p>
    <w:p>
      <w:pPr>
        <w:widowControl/>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6、以下常用配件由消防维保单位负责，费用已含报价中：</w:t>
      </w:r>
    </w:p>
    <w:p>
      <w:pPr>
        <w:widowControl/>
        <w:ind w:firstLine="3373" w:firstLineChars="1200"/>
        <w:jc w:val="left"/>
        <w:rPr>
          <w:rFonts w:hint="eastAsia" w:asciiTheme="minorEastAsia" w:hAnsiTheme="minorEastAsia" w:eastAsiaTheme="minorEastAsia"/>
          <w:b/>
          <w:color w:val="auto"/>
          <w:sz w:val="28"/>
          <w:szCs w:val="28"/>
          <w:highlight w:val="none"/>
          <w:lang w:val="en-US" w:eastAsia="zh-CN"/>
        </w:rPr>
      </w:pPr>
      <w:r>
        <w:rPr>
          <w:rFonts w:asciiTheme="minorEastAsia" w:hAnsiTheme="minorEastAsia" w:eastAsiaTheme="minorEastAsia"/>
          <w:b/>
          <w:color w:val="auto"/>
          <w:sz w:val="28"/>
          <w:szCs w:val="28"/>
          <w:highlight w:val="none"/>
        </w:rPr>
        <w:t>常用配件</w:t>
      </w:r>
      <w:r>
        <w:rPr>
          <w:rFonts w:hint="eastAsia" w:asciiTheme="minorEastAsia" w:hAnsiTheme="minorEastAsia" w:eastAsiaTheme="minorEastAsia"/>
          <w:b/>
          <w:color w:val="auto"/>
          <w:sz w:val="28"/>
          <w:szCs w:val="28"/>
          <w:highlight w:val="none"/>
          <w:lang w:val="en-US" w:eastAsia="zh-CN"/>
        </w:rPr>
        <w:t>表</w:t>
      </w:r>
    </w:p>
    <w:tbl>
      <w:tblPr>
        <w:tblStyle w:val="17"/>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01"/>
        <w:gridCol w:w="110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序号</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名称</w:t>
            </w:r>
          </w:p>
        </w:tc>
        <w:tc>
          <w:tcPr>
            <w:tcW w:w="1107"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单位</w:t>
            </w:r>
          </w:p>
        </w:tc>
        <w:tc>
          <w:tcPr>
            <w:tcW w:w="2338"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智能感温探测器</w:t>
            </w:r>
          </w:p>
        </w:tc>
        <w:tc>
          <w:tcPr>
            <w:tcW w:w="1107"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restart"/>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按目前系统设备品牌、规格、型号。备品配件需匹配现有系统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2</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智能感烟探测器</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3</w:t>
            </w:r>
          </w:p>
        </w:tc>
        <w:tc>
          <w:tcPr>
            <w:tcW w:w="3501" w:type="dxa"/>
            <w:vAlign w:val="center"/>
          </w:tcPr>
          <w:p>
            <w:pPr>
              <w:tabs>
                <w:tab w:val="left" w:pos="2721"/>
              </w:tabs>
              <w:adjustRightInd w:val="0"/>
              <w:snapToGrid w:val="0"/>
              <w:spacing w:line="400" w:lineRule="exact"/>
              <w:jc w:val="left"/>
              <w:rPr>
                <w:rFonts w:ascii="仿宋_GB2312" w:eastAsia="仿宋_GB2312" w:hAnsiTheme="minorEastAsia"/>
                <w:sz w:val="24"/>
              </w:rPr>
            </w:pPr>
            <w:r>
              <w:rPr>
                <w:rFonts w:hint="eastAsia" w:ascii="仿宋_GB2312" w:eastAsia="仿宋_GB2312" w:hAnsiTheme="minorEastAsia"/>
                <w:sz w:val="24"/>
              </w:rPr>
              <w:t>缆式线型定温火灾探测器（智能型）</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4</w:t>
            </w:r>
          </w:p>
        </w:tc>
        <w:tc>
          <w:tcPr>
            <w:tcW w:w="3501" w:type="dxa"/>
            <w:vAlign w:val="center"/>
          </w:tcPr>
          <w:p>
            <w:pPr>
              <w:tabs>
                <w:tab w:val="left" w:pos="2721"/>
              </w:tabs>
              <w:adjustRightInd w:val="0"/>
              <w:snapToGrid w:val="0"/>
              <w:spacing w:line="400" w:lineRule="exact"/>
              <w:jc w:val="left"/>
              <w:rPr>
                <w:rFonts w:ascii="仿宋_GB2312" w:eastAsia="仿宋_GB2312" w:hAnsiTheme="minorEastAsia"/>
                <w:sz w:val="24"/>
              </w:rPr>
            </w:pPr>
            <w:r>
              <w:rPr>
                <w:rFonts w:hint="eastAsia" w:ascii="仿宋_GB2312" w:eastAsia="仿宋_GB2312" w:hAnsiTheme="minorEastAsia"/>
                <w:sz w:val="24"/>
              </w:rPr>
              <w:t>带消防电话插孔的智能手动报警按钮</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5</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智能消火栓按钮</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6</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智能输入模块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7</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智能中继模块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8</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短路隔离器</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9</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智能广播模块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10</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智能警铃模块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11</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智能输入输出模块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12</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多线联动模块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13</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切换模块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14</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消防声光报警器</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15</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消防广播（吸顶）（3W）</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16</w:t>
            </w:r>
          </w:p>
        </w:tc>
        <w:tc>
          <w:tcPr>
            <w:tcW w:w="3501" w:type="dxa"/>
            <w:vAlign w:val="center"/>
          </w:tcPr>
          <w:p>
            <w:pPr>
              <w:tabs>
                <w:tab w:val="left" w:pos="2721"/>
              </w:tabs>
              <w:adjustRightInd w:val="0"/>
              <w:snapToGrid w:val="0"/>
              <w:spacing w:line="360" w:lineRule="auto"/>
              <w:jc w:val="left"/>
              <w:rPr>
                <w:rFonts w:ascii="仿宋_GB2312" w:eastAsia="仿宋_GB2312" w:hAnsiTheme="minorEastAsia"/>
                <w:sz w:val="24"/>
              </w:rPr>
            </w:pPr>
            <w:r>
              <w:rPr>
                <w:rFonts w:hint="eastAsia" w:ascii="仿宋_GB2312" w:eastAsia="仿宋_GB2312" w:hAnsiTheme="minorEastAsia"/>
                <w:sz w:val="24"/>
              </w:rPr>
              <w:t>消防广播（挂壁）（3W）</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17</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尾迁</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条</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18</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专用开关电源</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19</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光纤跳线盒</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20</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光纤熔接盒</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21</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网络通讯线</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米</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22</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联网接口卡</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23</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输入/输出模块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adjustRightInd w:val="0"/>
              <w:snapToGrid w:val="0"/>
              <w:spacing w:line="360" w:lineRule="auto"/>
              <w:jc w:val="left"/>
              <w:rPr>
                <w:rFonts w:ascii="仿宋_GB2312" w:eastAsia="仿宋_GB2312" w:hAnsiTheme="minorEastAsia"/>
                <w:sz w:val="24"/>
                <w:highlight w:val="none"/>
              </w:rPr>
            </w:pPr>
            <w:r>
              <w:rPr>
                <w:rFonts w:hint="eastAsia" w:ascii="仿宋_GB2312" w:eastAsia="仿宋_GB2312" w:hAnsiTheme="minorEastAsia"/>
                <w:sz w:val="24"/>
                <w:highlight w:val="none"/>
              </w:rPr>
              <w:t>24</w:t>
            </w:r>
          </w:p>
        </w:tc>
        <w:tc>
          <w:tcPr>
            <w:tcW w:w="3501" w:type="dxa"/>
            <w:vAlign w:val="center"/>
          </w:tcPr>
          <w:p>
            <w:pPr>
              <w:rPr>
                <w:rFonts w:ascii="仿宋_GB2312" w:hAnsi="宋体" w:eastAsia="仿宋_GB2312" w:cs="宋体"/>
                <w:sz w:val="24"/>
                <w:highlight w:val="none"/>
              </w:rPr>
            </w:pPr>
            <w:r>
              <w:rPr>
                <w:rFonts w:hint="eastAsia" w:ascii="仿宋_GB2312" w:eastAsia="仿宋_GB2312"/>
                <w:sz w:val="24"/>
                <w:highlight w:val="none"/>
              </w:rPr>
              <w:t>信号模块</w:t>
            </w:r>
          </w:p>
        </w:tc>
        <w:tc>
          <w:tcPr>
            <w:tcW w:w="1107" w:type="dxa"/>
            <w:vAlign w:val="center"/>
          </w:tcPr>
          <w:p>
            <w:pPr>
              <w:adjustRightInd w:val="0"/>
              <w:snapToGrid w:val="0"/>
              <w:jc w:val="left"/>
              <w:rPr>
                <w:rFonts w:ascii="仿宋_GB2312" w:eastAsia="仿宋_GB2312" w:hAnsiTheme="minorEastAsia"/>
                <w:sz w:val="24"/>
              </w:rPr>
            </w:pPr>
            <w:r>
              <w:rPr>
                <w:rFonts w:hint="eastAsia" w:ascii="仿宋_GB2312" w:eastAsia="仿宋_GB2312" w:hAnsiTheme="minorEastAsia"/>
                <w:sz w:val="24"/>
              </w:rPr>
              <w:t>个</w:t>
            </w:r>
          </w:p>
        </w:tc>
        <w:tc>
          <w:tcPr>
            <w:tcW w:w="2338" w:type="dxa"/>
            <w:vMerge w:val="continue"/>
            <w:vAlign w:val="center"/>
          </w:tcPr>
          <w:p>
            <w:pPr>
              <w:tabs>
                <w:tab w:val="left" w:pos="2721"/>
              </w:tabs>
              <w:adjustRightInd w:val="0"/>
              <w:snapToGrid w:val="0"/>
              <w:spacing w:line="360" w:lineRule="auto"/>
              <w:jc w:val="left"/>
              <w:rPr>
                <w:rFonts w:ascii="仿宋_GB2312" w:eastAsia="仿宋_GB2312" w:hAnsiTheme="minorEastAsia"/>
                <w:sz w:val="24"/>
              </w:rPr>
            </w:pPr>
          </w:p>
        </w:tc>
      </w:tr>
    </w:tbl>
    <w:p>
      <w:pPr>
        <w:widowControl/>
        <w:ind w:firstLine="0" w:firstLineChars="0"/>
        <w:jc w:val="both"/>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八、考核及实施办法</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1、按制定的维保方案计划实施维保，按规定进行检查及测试，并以月度报表的形式向甲方提交维保月度工作报告及保养记录。每月10日前交上月的报表，迟交的每次扣罚100元。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2、每月底双方负责消防维保工作的相关人员按合同规定的标准和要求共同检查一次,检查结果的不合格项，每项扣罚50元并限期整改，检查结果记录在汇总表。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3、接报故障后不能在规定时间处理的，记有效投诉一次，扣罚100元/次。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4、如因故障影响消防设备正常运行达一个工作日或以上记有效投诉一次，扣罚100元。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w:t>
      </w:r>
      <w:r>
        <w:rPr>
          <w:rFonts w:hint="eastAsia" w:asciiTheme="minorEastAsia" w:hAnsiTheme="minorEastAsia" w:eastAsiaTheme="minorEastAsia"/>
          <w:color w:val="auto"/>
          <w:sz w:val="28"/>
          <w:szCs w:val="28"/>
          <w:highlight w:val="none"/>
          <w:lang w:val="en-US" w:eastAsia="zh-CN"/>
        </w:rPr>
        <w:t>消防维保单位</w:t>
      </w:r>
      <w:r>
        <w:rPr>
          <w:rFonts w:hint="eastAsia" w:asciiTheme="minorEastAsia" w:hAnsiTheme="minorEastAsia" w:eastAsiaTheme="minorEastAsia"/>
          <w:color w:val="auto"/>
          <w:sz w:val="28"/>
          <w:szCs w:val="28"/>
          <w:highlight w:val="none"/>
        </w:rPr>
        <w:t>如不按合同进行维保的，经甲方确认的记有效投诉一次，扣罚200元。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6、如维保人员接到报修通知不能按合同规定时间到现场处理，记有效投诉一次，扣罚100元。相同故障接报后多日未处理，以每天100元累计扣罚。</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7、如因消防设备维护、监控不到位而发生人身事故，扣除</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1个月的维修保养费，并按规定追究责任。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8、如确有特殊原因不能在三个工作日内将消防设备恢复正常运行，应向甲方作出书面报告，否则将记有效投诉一次，扣罚300元。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9、若出现连续三个月每个月扣款超过1000元，</w:t>
      </w:r>
      <w:r>
        <w:rPr>
          <w:rFonts w:hint="eastAsia" w:asciiTheme="minorEastAsia" w:hAnsiTheme="minorEastAsia" w:eastAsiaTheme="minorEastAsia"/>
          <w:color w:val="auto"/>
          <w:sz w:val="28"/>
          <w:szCs w:val="28"/>
          <w:highlight w:val="none"/>
          <w:lang w:val="en-US" w:eastAsia="zh-CN"/>
        </w:rPr>
        <w:t>采购</w:t>
      </w:r>
      <w:r>
        <w:rPr>
          <w:rFonts w:hint="eastAsia" w:asciiTheme="minorEastAsia" w:hAnsiTheme="minorEastAsia" w:eastAsiaTheme="minorEastAsia"/>
          <w:color w:val="auto"/>
          <w:sz w:val="28"/>
          <w:szCs w:val="28"/>
          <w:highlight w:val="none"/>
        </w:rPr>
        <w:t>方有权终止合同。</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消防</w:t>
      </w:r>
      <w:r>
        <w:rPr>
          <w:rFonts w:hint="eastAsia" w:asciiTheme="minorEastAsia" w:hAnsiTheme="minorEastAsia" w:eastAsiaTheme="minorEastAsia"/>
          <w:color w:val="auto"/>
          <w:sz w:val="28"/>
          <w:szCs w:val="28"/>
          <w:highlight w:val="none"/>
        </w:rPr>
        <w:t>维保单位应提供有效的通讯方式，1小时内联系不上扣罚50元，4小时内联系不上扣罚200元。</w:t>
      </w:r>
    </w:p>
    <w:p>
      <w:pPr>
        <w:tabs>
          <w:tab w:val="left" w:pos="2721"/>
        </w:tabs>
        <w:spacing w:line="360" w:lineRule="auto"/>
        <w:ind w:firstLine="562" w:firstLineChars="20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九</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安全要求</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工作人员进场前必须通过安全培训，工作时严格按操作规程作业并注意自身安全。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工作人员人身安全及人身保险由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自理。</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必须严格管理所属人员，教育所属人员严格遵守国家有关安全作业制度和规定，按照安全规程操作作业；</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作业人员作业时应使用合格的安全防护器具，在实施现场应设置安全警示标识；从业人员必须持有有效上岗证（包括特殊作业人员操作上岗证）；属高空作业的，</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w:t>
      </w:r>
      <w:r>
        <w:rPr>
          <w:rFonts w:hint="eastAsia" w:asciiTheme="minorEastAsia" w:hAnsiTheme="minorEastAsia" w:eastAsiaTheme="minorEastAsia"/>
          <w:color w:val="auto"/>
          <w:sz w:val="28"/>
          <w:szCs w:val="28"/>
          <w:highlight w:val="none"/>
          <w:lang w:val="en-US" w:eastAsia="zh-CN"/>
        </w:rPr>
        <w:t>负责</w:t>
      </w:r>
      <w:r>
        <w:rPr>
          <w:rFonts w:hint="eastAsia" w:asciiTheme="minorEastAsia" w:hAnsiTheme="minorEastAsia" w:eastAsiaTheme="minorEastAsia"/>
          <w:color w:val="auto"/>
          <w:sz w:val="28"/>
          <w:szCs w:val="28"/>
          <w:highlight w:val="none"/>
        </w:rPr>
        <w:t>为</w:t>
      </w:r>
      <w:r>
        <w:rPr>
          <w:rFonts w:hint="eastAsia" w:asciiTheme="minorEastAsia" w:hAnsiTheme="minorEastAsia" w:eastAsiaTheme="minorEastAsia"/>
          <w:color w:val="auto"/>
          <w:sz w:val="28"/>
          <w:szCs w:val="28"/>
          <w:highlight w:val="none"/>
          <w:lang w:val="en-US" w:eastAsia="zh-CN"/>
        </w:rPr>
        <w:t>作业者</w:t>
      </w:r>
      <w:r>
        <w:rPr>
          <w:rFonts w:hint="eastAsia" w:asciiTheme="minorEastAsia" w:hAnsiTheme="minorEastAsia" w:eastAsiaTheme="minorEastAsia"/>
          <w:color w:val="auto"/>
          <w:sz w:val="28"/>
          <w:szCs w:val="28"/>
          <w:highlight w:val="none"/>
        </w:rPr>
        <w:t>购买高空作业保险单据复印报甲方备案。</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应对员工的安全负责</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工作人员在工作中发生安全事故或作出违法、违章行为，其后果由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自行负责，采购方不承当任何责任和费用；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在履行合同过程中，给采购方或第三方造成人身或财产损失的，有</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承担全部的赔偿责任。</w:t>
      </w:r>
    </w:p>
    <w:p>
      <w:pPr>
        <w:tabs>
          <w:tab w:val="left" w:pos="2721"/>
        </w:tabs>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应按安全工作有关规定，采取严格、科学的安全防护措施，确保</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保养人员及他人的人身安全，承担由于自身安全措施不力造成的事故的责任和发生</w:t>
      </w:r>
      <w:r>
        <w:rPr>
          <w:rFonts w:hint="eastAsia" w:ascii="宋体" w:hAnsi="宋体"/>
          <w:color w:val="auto"/>
          <w:sz w:val="28"/>
          <w:szCs w:val="28"/>
          <w:highlight w:val="none"/>
        </w:rPr>
        <w:t>的费用。</w:t>
      </w:r>
    </w:p>
    <w:p>
      <w:pPr>
        <w:tabs>
          <w:tab w:val="left" w:pos="272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5、若发生重大伤亡事故，</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应按有关规定立即报告当地消防局并通知采购方代表，</w:t>
      </w:r>
      <w:r>
        <w:rPr>
          <w:rFonts w:hint="eastAsia" w:ascii="宋体" w:hAnsi="宋体"/>
          <w:color w:val="auto"/>
          <w:sz w:val="28"/>
          <w:szCs w:val="28"/>
          <w:highlight w:val="none"/>
          <w:lang w:val="en-US" w:eastAsia="zh-CN"/>
        </w:rPr>
        <w:t>并</w:t>
      </w:r>
      <w:r>
        <w:rPr>
          <w:rFonts w:hint="eastAsia" w:ascii="宋体" w:hAnsi="宋体"/>
          <w:color w:val="auto"/>
          <w:sz w:val="28"/>
          <w:szCs w:val="28"/>
          <w:highlight w:val="none"/>
        </w:rPr>
        <w:t>为抢救提供必要的条件，发生费用由责任方承担。</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在动力设备、易燃易爆场所和贵重设备等易发生危险的场合进行维修保养时，应事先向采购方代表报告应采取的安全保护措施。采购方应派员在现场监督和协助</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进行有关工作。不论采购方是否采取上述配合措施，</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均应在满足安全的条件下进行工作。</w:t>
      </w:r>
    </w:p>
    <w:p>
      <w:pPr>
        <w:ind w:firstLine="562" w:firstLineChars="200"/>
        <w:rPr>
          <w:b/>
          <w:color w:val="auto"/>
          <w:sz w:val="28"/>
          <w:szCs w:val="28"/>
          <w:highlight w:val="none"/>
        </w:rPr>
      </w:pPr>
      <w:r>
        <w:rPr>
          <w:rFonts w:hint="eastAsia"/>
          <w:b/>
          <w:color w:val="auto"/>
          <w:sz w:val="28"/>
          <w:szCs w:val="28"/>
          <w:highlight w:val="none"/>
        </w:rPr>
        <w:t>十、费用支付方式</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1、</w:t>
      </w:r>
      <w:r>
        <w:rPr>
          <w:rFonts w:hint="eastAsia" w:ascii="宋体" w:hAnsi="宋体" w:cs="Arial"/>
          <w:color w:val="auto"/>
          <w:sz w:val="28"/>
          <w:szCs w:val="28"/>
          <w:highlight w:val="none"/>
        </w:rPr>
        <w:t>全年维修保养费用按季度支付；</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2、每季度保养季度工作完成，经采购方考核认定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w:t>
      </w:r>
      <w:r>
        <w:rPr>
          <w:rFonts w:hint="eastAsia" w:ascii="宋体" w:hAnsi="宋体" w:cs="Arial"/>
          <w:color w:val="auto"/>
          <w:sz w:val="28"/>
          <w:szCs w:val="28"/>
          <w:highlight w:val="none"/>
          <w:lang w:val="en-US" w:eastAsia="zh-CN"/>
        </w:rPr>
        <w:t>次</w:t>
      </w:r>
      <w:r>
        <w:rPr>
          <w:rFonts w:hint="eastAsia" w:ascii="宋体" w:hAnsi="宋体" w:cs="Arial"/>
          <w:color w:val="auto"/>
          <w:sz w:val="28"/>
          <w:szCs w:val="28"/>
          <w:highlight w:val="none"/>
        </w:rPr>
        <w:t>季的头一个月内付清上季度的维修保养费。</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3、</w:t>
      </w:r>
      <w:r>
        <w:rPr>
          <w:rFonts w:hint="eastAsia" w:ascii="宋体" w:hAnsi="宋体" w:cs="Arial"/>
          <w:color w:val="auto"/>
          <w:sz w:val="28"/>
          <w:szCs w:val="28"/>
          <w:highlight w:val="none"/>
        </w:rPr>
        <w:t>合同到期，经采购方考核认定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服务符合合同约定，合同终止后一个月内付清余款。</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4</w:t>
      </w:r>
      <w:r>
        <w:rPr>
          <w:rFonts w:hint="eastAsia" w:ascii="宋体" w:hAnsi="宋体" w:cs="Arial"/>
          <w:color w:val="auto"/>
          <w:sz w:val="28"/>
          <w:szCs w:val="28"/>
          <w:highlight w:val="none"/>
        </w:rPr>
        <w:t>、每次付款前</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开具符合国家税务规定的等额合格的增值税专用发票给甲方。</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晚于付款期限提供的，甲方付款期限相应顺延。</w:t>
      </w:r>
    </w:p>
    <w:p>
      <w:pPr>
        <w:ind w:firstLine="562" w:firstLineChars="200"/>
        <w:rPr>
          <w:b/>
          <w:color w:val="auto"/>
          <w:sz w:val="28"/>
          <w:szCs w:val="28"/>
          <w:highlight w:val="none"/>
        </w:rPr>
      </w:pPr>
      <w:r>
        <w:rPr>
          <w:rFonts w:hint="eastAsia"/>
          <w:b/>
          <w:color w:val="auto"/>
          <w:sz w:val="28"/>
          <w:szCs w:val="28"/>
          <w:highlight w:val="none"/>
        </w:rPr>
        <w:t>十一、投标文件</w:t>
      </w:r>
    </w:p>
    <w:p>
      <w:pPr>
        <w:ind w:firstLine="560" w:firstLineChars="200"/>
        <w:rPr>
          <w:color w:val="auto"/>
          <w:sz w:val="28"/>
          <w:szCs w:val="28"/>
          <w:highlight w:val="none"/>
        </w:rPr>
      </w:pPr>
      <w:r>
        <w:rPr>
          <w:rFonts w:hint="eastAsia"/>
          <w:color w:val="auto"/>
          <w:sz w:val="28"/>
          <w:szCs w:val="28"/>
          <w:highlight w:val="none"/>
        </w:rPr>
        <w:t>根据甲方要求的投标文件格式，进行密封报价（盖章）。投标文件应包含以下内容：</w:t>
      </w:r>
    </w:p>
    <w:p>
      <w:pPr>
        <w:ind w:firstLine="560" w:firstLineChars="200"/>
        <w:rPr>
          <w:color w:val="auto"/>
          <w:sz w:val="28"/>
          <w:szCs w:val="28"/>
          <w:highlight w:val="none"/>
        </w:rPr>
      </w:pPr>
      <w:r>
        <w:rPr>
          <w:rFonts w:hint="eastAsia"/>
          <w:color w:val="auto"/>
          <w:sz w:val="28"/>
          <w:szCs w:val="28"/>
          <w:highlight w:val="none"/>
        </w:rPr>
        <w:t>（一）商务部分（提供复印件，并加盖公章）</w:t>
      </w:r>
    </w:p>
    <w:p>
      <w:pPr>
        <w:numPr>
          <w:ilvl w:val="0"/>
          <w:numId w:val="3"/>
        </w:numPr>
        <w:ind w:left="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有效的企业工商营业执照、企业法人组织机构代码证书、税务登记证书（或三证合一）；</w:t>
      </w:r>
    </w:p>
    <w:p>
      <w:pPr>
        <w:numPr>
          <w:ilvl w:val="0"/>
          <w:numId w:val="3"/>
        </w:numPr>
        <w:ind w:left="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附“信用中国”网站(www.creditchina.gov.cn)的信用记录查询结果截图或信用信息报告并打印页面加盖公章；</w:t>
      </w:r>
    </w:p>
    <w:p>
      <w:pPr>
        <w:numPr>
          <w:ilvl w:val="0"/>
          <w:numId w:val="3"/>
        </w:numPr>
        <w:ind w:left="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投标人声明：没有处于被责令停业或破产状态，且资产未被重组、接管和冻结，声明在投标活动中3 年内没有重大违法活动和涉嫌违规行为。（格式见附件7）</w:t>
      </w:r>
    </w:p>
    <w:p>
      <w:pPr>
        <w:numPr>
          <w:ilvl w:val="0"/>
          <w:numId w:val="3"/>
        </w:numPr>
        <w:ind w:left="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供应商调查表（格式见附件2）</w:t>
      </w:r>
    </w:p>
    <w:p>
      <w:pPr>
        <w:numPr>
          <w:ilvl w:val="0"/>
          <w:numId w:val="3"/>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法定代表人证明书、法定代表人授权委托书原件（格式见附件3和附件4）</w:t>
      </w:r>
    </w:p>
    <w:p>
      <w:pPr>
        <w:numPr>
          <w:ilvl w:val="0"/>
          <w:numId w:val="3"/>
        </w:numPr>
        <w:ind w:left="0" w:firstLine="560" w:firstLineChars="200"/>
        <w:rPr>
          <w:rFonts w:ascii="宋体" w:hAnsi="宋体"/>
          <w:color w:val="auto"/>
          <w:sz w:val="28"/>
          <w:szCs w:val="28"/>
          <w:highlight w:val="none"/>
        </w:rPr>
      </w:pPr>
      <w:r>
        <w:rPr>
          <w:rFonts w:hint="eastAsia" w:ascii="宋体" w:hAnsi="宋体" w:cs="Arial"/>
          <w:color w:val="auto"/>
          <w:sz w:val="28"/>
          <w:szCs w:val="28"/>
          <w:highlight w:val="none"/>
        </w:rPr>
        <w:t>投标人应在社会消防技术服务信息系统(网址:https://shhxf.119.gov.cn/)登记备案（提供证明，加盖公章）；</w:t>
      </w:r>
    </w:p>
    <w:p>
      <w:pPr>
        <w:numPr>
          <w:ilvl w:val="0"/>
          <w:numId w:val="3"/>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本工程拟派项目负责人简历表</w:t>
      </w:r>
      <w:r>
        <w:rPr>
          <w:rFonts w:ascii="宋体" w:hAnsi="宋体"/>
          <w:color w:val="auto"/>
          <w:sz w:val="28"/>
          <w:szCs w:val="28"/>
          <w:highlight w:val="none"/>
        </w:rPr>
        <w:t>（包括姓名、部门和职务、</w:t>
      </w:r>
      <w:r>
        <w:rPr>
          <w:rFonts w:hint="eastAsia" w:ascii="宋体" w:hAnsi="宋体"/>
          <w:color w:val="auto"/>
          <w:sz w:val="28"/>
          <w:szCs w:val="28"/>
          <w:highlight w:val="none"/>
        </w:rPr>
        <w:t>所学专业和</w:t>
      </w:r>
      <w:r>
        <w:rPr>
          <w:rFonts w:ascii="宋体" w:hAnsi="宋体"/>
          <w:color w:val="auto"/>
          <w:sz w:val="28"/>
          <w:szCs w:val="28"/>
          <w:highlight w:val="none"/>
        </w:rPr>
        <w:t>毕业</w:t>
      </w:r>
      <w:r>
        <w:rPr>
          <w:rFonts w:hint="eastAsia" w:ascii="宋体" w:hAnsi="宋体"/>
          <w:color w:val="auto"/>
          <w:sz w:val="28"/>
          <w:szCs w:val="28"/>
          <w:highlight w:val="none"/>
        </w:rPr>
        <w:t>院校名称及毕业</w:t>
      </w:r>
      <w:r>
        <w:rPr>
          <w:rFonts w:ascii="宋体" w:hAnsi="宋体"/>
          <w:color w:val="auto"/>
          <w:sz w:val="28"/>
          <w:szCs w:val="28"/>
          <w:highlight w:val="none"/>
        </w:rPr>
        <w:t>时间、主要资历、经验及承担过的</w:t>
      </w:r>
      <w:r>
        <w:rPr>
          <w:rFonts w:hint="eastAsia" w:ascii="宋体" w:hAnsi="宋体"/>
          <w:color w:val="auto"/>
          <w:sz w:val="28"/>
          <w:szCs w:val="28"/>
          <w:highlight w:val="none"/>
        </w:rPr>
        <w:t>类似</w:t>
      </w:r>
      <w:r>
        <w:rPr>
          <w:rFonts w:ascii="宋体" w:hAnsi="宋体"/>
          <w:color w:val="auto"/>
          <w:sz w:val="28"/>
          <w:szCs w:val="28"/>
          <w:highlight w:val="none"/>
        </w:rPr>
        <w:t>项目</w:t>
      </w:r>
      <w:r>
        <w:rPr>
          <w:rFonts w:hint="eastAsia" w:ascii="宋体" w:hAnsi="宋体"/>
          <w:color w:val="auto"/>
          <w:sz w:val="28"/>
          <w:szCs w:val="28"/>
          <w:highlight w:val="none"/>
        </w:rPr>
        <w:t>，</w:t>
      </w:r>
      <w:r>
        <w:rPr>
          <w:rFonts w:ascii="宋体" w:hAnsi="宋体"/>
          <w:color w:val="auto"/>
          <w:sz w:val="28"/>
          <w:szCs w:val="28"/>
          <w:highlight w:val="none"/>
        </w:rPr>
        <w:t>获得认证资质证书</w:t>
      </w:r>
      <w:r>
        <w:rPr>
          <w:rFonts w:hint="eastAsia" w:ascii="宋体" w:hAnsi="宋体"/>
          <w:color w:val="auto"/>
          <w:sz w:val="28"/>
          <w:szCs w:val="28"/>
          <w:highlight w:val="none"/>
        </w:rPr>
        <w:t>及复印件</w:t>
      </w:r>
      <w:r>
        <w:rPr>
          <w:rFonts w:ascii="宋体" w:hAnsi="宋体"/>
          <w:color w:val="auto"/>
          <w:sz w:val="28"/>
          <w:szCs w:val="28"/>
          <w:highlight w:val="none"/>
        </w:rPr>
        <w:t>）</w:t>
      </w:r>
      <w:r>
        <w:rPr>
          <w:rFonts w:hint="eastAsia" w:ascii="宋体" w:hAnsi="宋体"/>
          <w:color w:val="auto"/>
          <w:sz w:val="28"/>
          <w:szCs w:val="28"/>
          <w:highlight w:val="none"/>
        </w:rPr>
        <w:t>；</w:t>
      </w:r>
    </w:p>
    <w:p>
      <w:pPr>
        <w:numPr>
          <w:ilvl w:val="0"/>
          <w:numId w:val="3"/>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投标人近3年内(2022年1月1日至今)具有类似消防维保业绩，提供合同关键页复印件，包括但不限于项目名称、金额及实施内容、合同盖章、签订日期，加盖单位公章</w:t>
      </w:r>
      <w:r>
        <w:rPr>
          <w:rFonts w:hint="eastAsia"/>
          <w:color w:val="auto"/>
          <w:sz w:val="28"/>
          <w:szCs w:val="28"/>
          <w:highlight w:val="none"/>
        </w:rPr>
        <w:t>；</w:t>
      </w:r>
    </w:p>
    <w:p>
      <w:pPr>
        <w:numPr>
          <w:ilvl w:val="0"/>
          <w:numId w:val="3"/>
        </w:numPr>
        <w:ind w:left="0" w:firstLine="560" w:firstLineChars="200"/>
        <w:rPr>
          <w:color w:val="auto"/>
          <w:sz w:val="28"/>
          <w:szCs w:val="28"/>
          <w:highlight w:val="none"/>
        </w:rPr>
      </w:pPr>
      <w:r>
        <w:rPr>
          <w:rFonts w:hint="eastAsia" w:ascii="宋体" w:hAnsi="宋体"/>
          <w:color w:val="auto"/>
          <w:sz w:val="28"/>
          <w:szCs w:val="28"/>
          <w:highlight w:val="none"/>
        </w:rPr>
        <w:t>投标人</w:t>
      </w:r>
      <w:r>
        <w:rPr>
          <w:rFonts w:hint="eastAsia" w:ascii="宋体" w:hAnsi="宋体" w:cs="Arial"/>
          <w:color w:val="auto"/>
          <w:sz w:val="28"/>
          <w:szCs w:val="28"/>
          <w:highlight w:val="none"/>
        </w:rPr>
        <w:t>认为有必要的其他资质等材料复印件。</w:t>
      </w:r>
    </w:p>
    <w:p>
      <w:pPr>
        <w:ind w:firstLine="560" w:firstLineChars="200"/>
        <w:rPr>
          <w:color w:val="auto"/>
          <w:sz w:val="28"/>
          <w:szCs w:val="28"/>
          <w:highlight w:val="none"/>
        </w:rPr>
      </w:pPr>
      <w:r>
        <w:rPr>
          <w:rFonts w:hint="eastAsia"/>
          <w:color w:val="auto"/>
          <w:sz w:val="28"/>
          <w:szCs w:val="28"/>
          <w:highlight w:val="none"/>
        </w:rPr>
        <w:t>（二）技术部分（格式自定，加盖公章）</w:t>
      </w:r>
    </w:p>
    <w:p>
      <w:pPr>
        <w:ind w:firstLine="560" w:firstLineChars="200"/>
        <w:rPr>
          <w:color w:val="auto"/>
          <w:sz w:val="28"/>
          <w:szCs w:val="28"/>
          <w:highlight w:val="none"/>
        </w:rPr>
      </w:pPr>
      <w:r>
        <w:rPr>
          <w:rFonts w:hint="eastAsia"/>
          <w:color w:val="auto"/>
          <w:sz w:val="28"/>
          <w:szCs w:val="28"/>
          <w:highlight w:val="none"/>
        </w:rPr>
        <w:t>维保方案：</w:t>
      </w:r>
      <w:r>
        <w:rPr>
          <w:rFonts w:hint="eastAsia"/>
          <w:b/>
          <w:color w:val="auto"/>
          <w:sz w:val="28"/>
          <w:szCs w:val="28"/>
          <w:highlight w:val="none"/>
        </w:rPr>
        <w:t>维保单位应充分了解现场条件，并针对本项目制定切实可行的</w:t>
      </w:r>
      <w:r>
        <w:rPr>
          <w:rFonts w:hint="eastAsia"/>
          <w:b/>
          <w:color w:val="auto"/>
          <w:sz w:val="28"/>
          <w:szCs w:val="28"/>
          <w:highlight w:val="none"/>
          <w:u w:val="double"/>
        </w:rPr>
        <w:t>维保方案</w:t>
      </w:r>
      <w:r>
        <w:rPr>
          <w:rFonts w:hint="eastAsia"/>
          <w:color w:val="auto"/>
          <w:sz w:val="28"/>
          <w:szCs w:val="28"/>
          <w:highlight w:val="none"/>
        </w:rPr>
        <w:t>，包括但不限于：</w:t>
      </w:r>
    </w:p>
    <w:p>
      <w:pPr>
        <w:widowControl/>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总体实施方案；</w:t>
      </w:r>
    </w:p>
    <w:p>
      <w:pPr>
        <w:widowControl/>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实施进度计划；</w:t>
      </w:r>
    </w:p>
    <w:p>
      <w:pPr>
        <w:widowControl/>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确保实施进度的技术和组织措施；</w:t>
      </w:r>
    </w:p>
    <w:p>
      <w:pPr>
        <w:widowControl/>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投入的机械设备；</w:t>
      </w:r>
    </w:p>
    <w:p>
      <w:pPr>
        <w:widowControl/>
        <w:numPr>
          <w:ilvl w:val="0"/>
          <w:numId w:val="4"/>
        </w:numPr>
        <w:ind w:left="0" w:firstLine="560" w:firstLineChars="200"/>
        <w:rPr>
          <w:color w:val="auto"/>
          <w:sz w:val="28"/>
          <w:szCs w:val="28"/>
          <w:highlight w:val="none"/>
        </w:rPr>
      </w:pPr>
      <w:r>
        <w:rPr>
          <w:rFonts w:hint="eastAsia" w:ascii="宋体" w:hAnsi="宋体" w:cs="Arial"/>
          <w:color w:val="auto"/>
          <w:sz w:val="28"/>
          <w:szCs w:val="28"/>
          <w:highlight w:val="none"/>
        </w:rPr>
        <w:t>投标人认为其它需要说明的文字。</w:t>
      </w:r>
    </w:p>
    <w:p>
      <w:pPr>
        <w:ind w:firstLine="560" w:firstLineChars="200"/>
        <w:rPr>
          <w:color w:val="auto"/>
          <w:sz w:val="28"/>
          <w:szCs w:val="28"/>
          <w:highlight w:val="none"/>
        </w:rPr>
      </w:pPr>
      <w:r>
        <w:rPr>
          <w:rFonts w:hint="eastAsia"/>
          <w:color w:val="auto"/>
          <w:sz w:val="28"/>
          <w:szCs w:val="28"/>
          <w:highlight w:val="none"/>
        </w:rPr>
        <w:t>（三）价格文件（加盖公章）</w:t>
      </w:r>
    </w:p>
    <w:p>
      <w:pPr>
        <w:numPr>
          <w:ilvl w:val="0"/>
          <w:numId w:val="5"/>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报价一览表：（格式见附件1）</w:t>
      </w:r>
    </w:p>
    <w:p>
      <w:pPr>
        <w:numPr>
          <w:ilvl w:val="0"/>
          <w:numId w:val="5"/>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报价明细表：格式自拟</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如有</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，包括但不限于各项目单价及综合总报价，并注明未含税总价、税率及含税总价。</w:t>
      </w:r>
    </w:p>
    <w:p>
      <w:pPr>
        <w:ind w:firstLine="562" w:firstLineChars="200"/>
        <w:rPr>
          <w:rFonts w:hint="default" w:eastAsia="宋体"/>
          <w:b/>
          <w:color w:val="auto"/>
          <w:sz w:val="28"/>
          <w:szCs w:val="28"/>
          <w:highlight w:val="none"/>
          <w:lang w:val="en-US" w:eastAsia="zh-CN"/>
        </w:rPr>
      </w:pPr>
      <w:r>
        <w:rPr>
          <w:rFonts w:hint="eastAsia"/>
          <w:b/>
          <w:color w:val="auto"/>
          <w:sz w:val="28"/>
          <w:szCs w:val="28"/>
          <w:highlight w:val="none"/>
        </w:rPr>
        <w:t>十二、</w:t>
      </w:r>
      <w:r>
        <w:rPr>
          <w:rFonts w:hint="eastAsia"/>
          <w:b/>
          <w:color w:val="auto"/>
          <w:sz w:val="28"/>
          <w:szCs w:val="28"/>
          <w:highlight w:val="none"/>
          <w:lang w:val="en-US" w:eastAsia="zh-CN"/>
        </w:rPr>
        <w:t>特别注意</w:t>
      </w:r>
    </w:p>
    <w:p>
      <w:pPr>
        <w:tabs>
          <w:tab w:val="left" w:pos="540"/>
          <w:tab w:val="left" w:pos="720"/>
        </w:tabs>
        <w:spacing w:before="120" w:beforeLines="50" w:after="120" w:afterLines="50" w:line="360" w:lineRule="auto"/>
        <w:ind w:left="0" w:firstLine="560" w:firstLineChars="200"/>
        <w:rPr>
          <w:bCs/>
          <w:sz w:val="28"/>
          <w:szCs w:val="28"/>
        </w:rPr>
      </w:pP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本项目公告未明确事项，按采购文件执行。供应商响应报价即为认同本项目所有文件中的约定，本项目报价文件为采购方免费提供，无论成交与否，均默认授权由采购方自行处理，不作退回。</w:t>
      </w:r>
    </w:p>
    <w:p>
      <w:pPr>
        <w:tabs>
          <w:tab w:val="left" w:pos="540"/>
          <w:tab w:val="left" w:pos="720"/>
        </w:tabs>
        <w:spacing w:before="120" w:beforeLines="50" w:after="120" w:afterLines="50" w:line="360" w:lineRule="auto"/>
        <w:ind w:left="0" w:firstLine="560" w:firstLineChars="200"/>
        <w:rPr>
          <w:bCs/>
          <w:sz w:val="28"/>
          <w:szCs w:val="28"/>
        </w:rPr>
      </w:pPr>
      <w:r>
        <w:rPr>
          <w:rFonts w:hint="eastAsia"/>
          <w:bCs/>
          <w:sz w:val="28"/>
          <w:szCs w:val="28"/>
        </w:rPr>
        <w:t>（二）供应商之间不得与同一个第三人存在关联关系，如存在关联关系，则投标无效。如果发现供应商存在围标、串标等违法情形，将列入采购黑名单，不得参与采购人的采购项目。</w:t>
      </w:r>
    </w:p>
    <w:p>
      <w:pPr>
        <w:tabs>
          <w:tab w:val="left" w:pos="540"/>
          <w:tab w:val="left" w:pos="720"/>
        </w:tabs>
        <w:spacing w:before="120" w:beforeLines="50" w:after="120" w:afterLines="50" w:line="360" w:lineRule="auto"/>
        <w:ind w:left="0" w:firstLine="560" w:firstLineChars="200"/>
        <w:rPr>
          <w:bCs/>
          <w:sz w:val="28"/>
          <w:szCs w:val="28"/>
        </w:rPr>
      </w:pPr>
      <w:r>
        <w:rPr>
          <w:rFonts w:hint="eastAsia"/>
          <w:bCs/>
          <w:sz w:val="28"/>
          <w:szCs w:val="28"/>
        </w:rPr>
        <w:t>（三）采购项目若存在项目调整或计划变动，采购人有权单方面终止采购。</w:t>
      </w:r>
    </w:p>
    <w:p>
      <w:pPr>
        <w:tabs>
          <w:tab w:val="left" w:pos="540"/>
          <w:tab w:val="left" w:pos="720"/>
        </w:tabs>
        <w:spacing w:before="120" w:beforeLines="50" w:after="120" w:afterLines="50" w:line="360" w:lineRule="auto"/>
        <w:ind w:left="0" w:firstLine="560" w:firstLineChars="200"/>
        <w:rPr>
          <w:bCs/>
          <w:sz w:val="28"/>
          <w:szCs w:val="28"/>
        </w:rPr>
      </w:pPr>
      <w:r>
        <w:rPr>
          <w:rFonts w:hint="eastAsia"/>
          <w:bCs/>
          <w:sz w:val="28"/>
          <w:szCs w:val="28"/>
        </w:rPr>
        <w:t>（四）</w:t>
      </w:r>
      <w:r>
        <w:rPr>
          <w:rFonts w:hint="eastAsia" w:ascii="宋体" w:hAnsi="宋体"/>
          <w:sz w:val="28"/>
          <w:szCs w:val="28"/>
        </w:rPr>
        <w:t>如乙方所提供的服务未达甲方要求的，甲方书面提出整改通知，乙方未按要求及时整改或未达整改要求的属于违约行为，甲方有权单方面终止合同，由此造成甲方经济损失的，乙方应给予赔偿。</w:t>
      </w:r>
    </w:p>
    <w:p>
      <w:pPr>
        <w:ind w:firstLine="562" w:firstLineChars="200"/>
        <w:rPr>
          <w:b/>
          <w:color w:val="auto"/>
          <w:sz w:val="28"/>
          <w:szCs w:val="28"/>
          <w:highlight w:val="none"/>
        </w:rPr>
      </w:pPr>
      <w:r>
        <w:rPr>
          <w:rFonts w:hint="eastAsia"/>
          <w:b/>
          <w:color w:val="auto"/>
          <w:sz w:val="28"/>
          <w:szCs w:val="28"/>
          <w:highlight w:val="none"/>
          <w:lang w:val="en-US" w:eastAsia="zh-CN"/>
        </w:rPr>
        <w:t>十三、</w:t>
      </w:r>
      <w:r>
        <w:rPr>
          <w:rFonts w:hint="eastAsia"/>
          <w:b/>
          <w:color w:val="auto"/>
          <w:sz w:val="28"/>
          <w:szCs w:val="28"/>
          <w:highlight w:val="none"/>
        </w:rPr>
        <w:t>评标方法</w:t>
      </w:r>
    </w:p>
    <w:p>
      <w:pPr>
        <w:ind w:firstLine="560" w:firstLineChars="200"/>
        <w:rPr>
          <w:rFonts w:hint="eastAsia" w:ascii="宋体" w:hAnsi="宋体" w:cs="宋体"/>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一</w:t>
      </w:r>
      <w:r>
        <w:rPr>
          <w:rFonts w:hint="eastAsia"/>
          <w:color w:val="auto"/>
          <w:sz w:val="28"/>
          <w:szCs w:val="28"/>
          <w:highlight w:val="none"/>
          <w:lang w:eastAsia="zh-CN"/>
        </w:rPr>
        <w:t>）</w:t>
      </w:r>
      <w:r>
        <w:rPr>
          <w:rFonts w:hint="eastAsia"/>
          <w:color w:val="auto"/>
          <w:sz w:val="28"/>
          <w:szCs w:val="28"/>
          <w:highlight w:val="none"/>
        </w:rPr>
        <w:t>本项目采用经评审的最低投标价加信用评分评标，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w:t>
      </w:r>
      <w:r>
        <w:rPr>
          <w:rFonts w:hint="eastAsia" w:ascii="宋体" w:hAnsi="宋体" w:cs="宋体"/>
          <w:color w:val="auto"/>
          <w:sz w:val="28"/>
          <w:szCs w:val="28"/>
          <w:highlight w:val="none"/>
        </w:rPr>
        <w:t>购人供应商管理办法进行。</w:t>
      </w:r>
    </w:p>
    <w:p>
      <w:pPr>
        <w:numPr>
          <w:ilvl w:val="-1"/>
          <w:numId w:val="0"/>
        </w:num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二</w:t>
      </w:r>
      <w:r>
        <w:rPr>
          <w:rFonts w:hint="eastAsia" w:ascii="宋体" w:hAnsi="宋体" w:cs="宋体"/>
          <w:sz w:val="28"/>
          <w:szCs w:val="28"/>
          <w:lang w:eastAsia="zh-CN"/>
        </w:rPr>
        <w:t>）</w:t>
      </w:r>
      <w:r>
        <w:rPr>
          <w:rFonts w:hint="eastAsia" w:ascii="宋体" w:hAnsi="宋体" w:cs="宋体"/>
          <w:sz w:val="28"/>
          <w:szCs w:val="28"/>
        </w:rPr>
        <w:t>采购人不对未成交人就评标过程以及未能成交原因作出任何解释。未成交人不得向评标委员会组成人员或其他有关人员索问评标过程的情况和材料。</w:t>
      </w:r>
    </w:p>
    <w:p>
      <w:pPr>
        <w:numPr>
          <w:ilvl w:val="-1"/>
          <w:numId w:val="0"/>
        </w:num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三</w:t>
      </w:r>
      <w:r>
        <w:rPr>
          <w:rFonts w:hint="eastAsia" w:ascii="宋体" w:hAnsi="宋体" w:cs="宋体"/>
          <w:sz w:val="28"/>
          <w:szCs w:val="28"/>
          <w:lang w:eastAsia="zh-CN"/>
        </w:rPr>
        <w:t>）</w:t>
      </w:r>
      <w:r>
        <w:rPr>
          <w:rFonts w:hint="eastAsia" w:ascii="宋体" w:hAnsi="宋体" w:cs="宋体"/>
          <w:sz w:val="28"/>
          <w:szCs w:val="28"/>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pStyle w:val="7"/>
        <w:rPr>
          <w:rFonts w:hint="eastAsia" w:ascii="宋体" w:hAnsi="宋体" w:cs="宋体"/>
          <w:sz w:val="28"/>
          <w:szCs w:val="28"/>
        </w:rPr>
      </w:pPr>
      <w:r>
        <w:rPr>
          <w:rFonts w:hint="eastAsia" w:ascii="宋体" w:hAnsi="宋体" w:cs="宋体"/>
          <w:sz w:val="28"/>
          <w:szCs w:val="28"/>
        </w:rPr>
        <w:t xml:space="preserve">     （四）成交方式：收到我司通知单位为成交单位，无收到通知单位为未成交单位。</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w:t>
      </w:r>
      <w:r>
        <w:rPr>
          <w:rFonts w:hint="eastAsia" w:ascii="宋体" w:hAnsi="宋体" w:cs="Arial"/>
          <w:b/>
          <w:color w:val="auto"/>
          <w:sz w:val="28"/>
          <w:szCs w:val="28"/>
          <w:highlight w:val="none"/>
          <w:lang w:val="en-US" w:eastAsia="zh-CN"/>
        </w:rPr>
        <w:t>四</w:t>
      </w:r>
      <w:r>
        <w:rPr>
          <w:rFonts w:hint="eastAsia" w:ascii="宋体" w:hAnsi="宋体" w:cs="Arial"/>
          <w:b/>
          <w:color w:val="auto"/>
          <w:sz w:val="28"/>
          <w:szCs w:val="28"/>
          <w:highlight w:val="none"/>
        </w:rPr>
        <w:t>、勘踏现场</w:t>
      </w:r>
    </w:p>
    <w:p>
      <w:pPr>
        <w:ind w:firstLine="560" w:firstLineChars="200"/>
        <w:rPr>
          <w:color w:val="auto"/>
          <w:sz w:val="28"/>
          <w:szCs w:val="28"/>
          <w:highlight w:val="none"/>
        </w:rPr>
      </w:pPr>
      <w:r>
        <w:rPr>
          <w:rFonts w:hint="eastAsia"/>
          <w:color w:val="auto"/>
          <w:sz w:val="28"/>
          <w:szCs w:val="28"/>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color w:val="auto"/>
          <w:sz w:val="28"/>
          <w:szCs w:val="28"/>
          <w:highlight w:val="none"/>
        </w:rPr>
        <w:t>2</w:t>
      </w:r>
      <w:r>
        <w:rPr>
          <w:rFonts w:hint="eastAsia"/>
          <w:color w:val="auto"/>
          <w:sz w:val="28"/>
          <w:szCs w:val="28"/>
          <w:highlight w:val="none"/>
          <w:lang w:val="en-US" w:eastAsia="zh-CN"/>
        </w:rPr>
        <w:t>5</w:t>
      </w:r>
      <w:r>
        <w:rPr>
          <w:rFonts w:hint="eastAsia"/>
          <w:color w:val="auto"/>
          <w:sz w:val="28"/>
          <w:szCs w:val="28"/>
          <w:highlight w:val="none"/>
        </w:rPr>
        <w:t>年</w:t>
      </w:r>
      <w:r>
        <w:rPr>
          <w:rFonts w:hint="eastAsia"/>
          <w:color w:val="auto"/>
          <w:sz w:val="28"/>
          <w:szCs w:val="28"/>
          <w:highlight w:val="none"/>
          <w:lang w:val="en-US" w:eastAsia="zh-CN"/>
        </w:rPr>
        <w:t>6</w:t>
      </w:r>
      <w:r>
        <w:rPr>
          <w:rFonts w:hint="eastAsia"/>
          <w:color w:val="auto"/>
          <w:sz w:val="28"/>
          <w:szCs w:val="28"/>
          <w:highlight w:val="none"/>
        </w:rPr>
        <w:t>月</w:t>
      </w:r>
      <w:r>
        <w:rPr>
          <w:rFonts w:hint="eastAsia"/>
          <w:color w:val="auto"/>
          <w:sz w:val="28"/>
          <w:szCs w:val="28"/>
          <w:highlight w:val="none"/>
          <w:lang w:val="en-US" w:eastAsia="zh-CN"/>
        </w:rPr>
        <w:t>9</w:t>
      </w:r>
      <w:r>
        <w:rPr>
          <w:rFonts w:hint="eastAsia"/>
          <w:color w:val="auto"/>
          <w:sz w:val="28"/>
          <w:szCs w:val="28"/>
          <w:highlight w:val="none"/>
        </w:rPr>
        <w:t>日</w:t>
      </w:r>
      <w:r>
        <w:rPr>
          <w:color w:val="auto"/>
          <w:sz w:val="28"/>
          <w:szCs w:val="28"/>
          <w:highlight w:val="none"/>
        </w:rPr>
        <w:t>1</w:t>
      </w:r>
      <w:r>
        <w:rPr>
          <w:rFonts w:hint="eastAsia"/>
          <w:color w:val="auto"/>
          <w:sz w:val="28"/>
          <w:szCs w:val="28"/>
          <w:highlight w:val="none"/>
          <w:lang w:val="en-US" w:eastAsia="zh-CN"/>
        </w:rPr>
        <w:t>4</w:t>
      </w:r>
      <w:r>
        <w:rPr>
          <w:rFonts w:hint="eastAsia"/>
          <w:color w:val="auto"/>
          <w:sz w:val="28"/>
          <w:szCs w:val="28"/>
          <w:highlight w:val="none"/>
        </w:rPr>
        <w:t>:</w:t>
      </w:r>
      <w:r>
        <w:rPr>
          <w:rFonts w:hint="eastAsia"/>
          <w:color w:val="auto"/>
          <w:sz w:val="28"/>
          <w:szCs w:val="28"/>
          <w:highlight w:val="none"/>
          <w:lang w:val="en-US" w:eastAsia="zh-CN"/>
        </w:rPr>
        <w:t>1</w:t>
      </w:r>
      <w:r>
        <w:rPr>
          <w:color w:val="auto"/>
          <w:sz w:val="28"/>
          <w:szCs w:val="28"/>
          <w:highlight w:val="none"/>
        </w:rPr>
        <w:t>0</w:t>
      </w:r>
      <w:r>
        <w:rPr>
          <w:rFonts w:hint="eastAsia"/>
          <w:color w:val="auto"/>
          <w:sz w:val="28"/>
          <w:szCs w:val="28"/>
          <w:highlight w:val="none"/>
        </w:rPr>
        <w:t>时，集中地点：广州市番禺区大学城明志街1号信息枢纽楼一楼西门。勘踏现场联系人梁工，联系电话：</w:t>
      </w:r>
      <w:r>
        <w:rPr>
          <w:color w:val="auto"/>
          <w:sz w:val="28"/>
          <w:szCs w:val="28"/>
          <w:highlight w:val="none"/>
        </w:rPr>
        <w:t>020-39302020</w:t>
      </w:r>
      <w:r>
        <w:rPr>
          <w:rFonts w:hint="eastAsia"/>
          <w:color w:val="auto"/>
          <w:sz w:val="28"/>
          <w:szCs w:val="28"/>
          <w:highlight w:val="none"/>
        </w:rPr>
        <w:t>。投标人未在规定时间勘踏现场的，甲方不再另行组织，由投标人自行前往勘踏。</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w:t>
      </w:r>
      <w:r>
        <w:rPr>
          <w:rFonts w:hint="eastAsia" w:ascii="宋体" w:hAnsi="宋体" w:cs="Arial"/>
          <w:b/>
          <w:color w:val="auto"/>
          <w:sz w:val="28"/>
          <w:szCs w:val="28"/>
          <w:highlight w:val="none"/>
          <w:lang w:val="en-US" w:eastAsia="zh-CN"/>
        </w:rPr>
        <w:t>五</w:t>
      </w:r>
      <w:r>
        <w:rPr>
          <w:rFonts w:hint="eastAsia" w:ascii="宋体" w:hAnsi="宋体" w:cs="Arial"/>
          <w:b/>
          <w:color w:val="auto"/>
          <w:sz w:val="28"/>
          <w:szCs w:val="28"/>
          <w:highlight w:val="none"/>
        </w:rPr>
        <w:t>、递交投标文件</w:t>
      </w:r>
    </w:p>
    <w:p>
      <w:pPr>
        <w:ind w:firstLine="560" w:firstLineChars="200"/>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（一）</w:t>
      </w:r>
      <w:r>
        <w:rPr>
          <w:rFonts w:hint="eastAsia" w:ascii="宋体" w:hAnsi="宋体" w:cs="Arial"/>
          <w:b/>
          <w:color w:val="auto"/>
          <w:sz w:val="28"/>
          <w:szCs w:val="28"/>
          <w:highlight w:val="none"/>
        </w:rPr>
        <w:t>投标单位以密封的形式（一式一份，无需装订）</w:t>
      </w:r>
      <w:r>
        <w:rPr>
          <w:rFonts w:hint="eastAsia" w:ascii="宋体" w:hAnsi="宋体" w:cs="Arial"/>
          <w:color w:val="auto"/>
          <w:sz w:val="28"/>
          <w:szCs w:val="28"/>
          <w:highlight w:val="none"/>
        </w:rPr>
        <w:t>提供投标文件到：广州市番禺区大学城明志街1号信息枢纽楼9楼采购合同部。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bookmarkStart w:id="0" w:name="_GoBack"/>
      <w:bookmarkEnd w:id="0"/>
      <w:r>
        <w:rPr>
          <w:rFonts w:hint="eastAsia" w:ascii="宋体" w:hAnsi="宋体" w:cs="Arial"/>
          <w:color w:val="auto"/>
          <w:sz w:val="28"/>
          <w:szCs w:val="28"/>
          <w:highlight w:val="none"/>
          <w:lang w:val="en-US" w:eastAsia="zh-CN"/>
        </w:rPr>
        <w:t>“</w:t>
      </w:r>
      <w:r>
        <w:rPr>
          <w:rFonts w:hint="eastAsia" w:ascii="宋体" w:hAnsi="宋体" w:cs="Arial"/>
          <w:color w:val="auto"/>
          <w:sz w:val="28"/>
          <w:szCs w:val="28"/>
          <w:highlight w:val="none"/>
        </w:rPr>
        <w:t>城投能源公司消防系统维护保养项目”字样。投标人递交投标文件后，请联系采购人确认</w:t>
      </w:r>
      <w:r>
        <w:rPr>
          <w:rFonts w:hint="eastAsia" w:ascii="宋体" w:hAnsi="宋体" w:cs="Arial"/>
          <w:color w:val="auto"/>
          <w:sz w:val="28"/>
          <w:szCs w:val="28"/>
          <w:highlight w:val="none"/>
          <w:lang w:eastAsia="zh-CN"/>
        </w:rPr>
        <w:t>。</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（二）投标文件递交截止时间：20</w:t>
      </w:r>
      <w:r>
        <w:rPr>
          <w:rFonts w:ascii="宋体" w:hAnsi="宋体" w:cs="Arial"/>
          <w:color w:val="auto"/>
          <w:sz w:val="28"/>
          <w:szCs w:val="28"/>
          <w:highlight w:val="none"/>
        </w:rPr>
        <w:t>2</w:t>
      </w:r>
      <w:r>
        <w:rPr>
          <w:rFonts w:hint="eastAsia" w:ascii="宋体" w:hAnsi="宋体" w:cs="Arial"/>
          <w:color w:val="auto"/>
          <w:sz w:val="28"/>
          <w:szCs w:val="28"/>
          <w:highlight w:val="none"/>
          <w:lang w:val="en-US" w:eastAsia="zh-CN"/>
        </w:rPr>
        <w:t>5</w:t>
      </w:r>
      <w:r>
        <w:rPr>
          <w:rFonts w:hint="eastAsia" w:ascii="宋体" w:hAnsi="宋体" w:cs="Arial"/>
          <w:color w:val="auto"/>
          <w:sz w:val="28"/>
          <w:szCs w:val="28"/>
          <w:highlight w:val="none"/>
        </w:rPr>
        <w:t>年</w:t>
      </w:r>
      <w:r>
        <w:rPr>
          <w:rFonts w:hint="eastAsia" w:ascii="宋体" w:hAnsi="宋体" w:cs="Arial"/>
          <w:color w:val="auto"/>
          <w:sz w:val="28"/>
          <w:szCs w:val="28"/>
          <w:highlight w:val="none"/>
          <w:lang w:val="en-US" w:eastAsia="zh-CN"/>
        </w:rPr>
        <w:t>6</w:t>
      </w:r>
      <w:r>
        <w:rPr>
          <w:rFonts w:hint="eastAsia" w:ascii="宋体" w:hAnsi="宋体" w:cs="Arial"/>
          <w:color w:val="auto"/>
          <w:sz w:val="28"/>
          <w:szCs w:val="28"/>
          <w:highlight w:val="none"/>
        </w:rPr>
        <w:t>月</w:t>
      </w:r>
      <w:r>
        <w:rPr>
          <w:rFonts w:hint="eastAsia" w:ascii="宋体" w:hAnsi="宋体" w:cs="Arial"/>
          <w:color w:val="auto"/>
          <w:sz w:val="28"/>
          <w:szCs w:val="28"/>
          <w:highlight w:val="none"/>
          <w:lang w:val="en-US" w:eastAsia="zh-CN"/>
        </w:rPr>
        <w:t>16</w:t>
      </w:r>
      <w:r>
        <w:rPr>
          <w:rFonts w:hint="eastAsia" w:ascii="宋体" w:hAnsi="宋体" w:cs="Arial"/>
          <w:color w:val="auto"/>
          <w:sz w:val="28"/>
          <w:szCs w:val="28"/>
          <w:highlight w:val="none"/>
        </w:rPr>
        <w:t>日北京时间</w:t>
      </w:r>
      <w:r>
        <w:rPr>
          <w:rFonts w:ascii="宋体" w:hAnsi="宋体" w:cs="Arial"/>
          <w:color w:val="auto"/>
          <w:sz w:val="28"/>
          <w:szCs w:val="28"/>
          <w:highlight w:val="none"/>
        </w:rPr>
        <w:t>1</w:t>
      </w:r>
      <w:r>
        <w:rPr>
          <w:rFonts w:hint="eastAsia" w:ascii="宋体" w:hAnsi="宋体" w:cs="Arial"/>
          <w:color w:val="auto"/>
          <w:sz w:val="28"/>
          <w:szCs w:val="28"/>
          <w:highlight w:val="none"/>
          <w:lang w:val="en-US" w:eastAsia="zh-CN"/>
        </w:rPr>
        <w:t>4</w:t>
      </w:r>
      <w:r>
        <w:rPr>
          <w:rFonts w:hint="eastAsia" w:ascii="宋体" w:hAnsi="宋体" w:cs="Arial"/>
          <w:color w:val="auto"/>
          <w:sz w:val="28"/>
          <w:szCs w:val="28"/>
          <w:highlight w:val="none"/>
        </w:rPr>
        <w:t>时</w:t>
      </w:r>
      <w:r>
        <w:rPr>
          <w:rFonts w:hint="eastAsia" w:ascii="宋体" w:hAnsi="宋体" w:cs="Arial"/>
          <w:color w:val="auto"/>
          <w:sz w:val="28"/>
          <w:szCs w:val="28"/>
          <w:highlight w:val="none"/>
          <w:lang w:val="en-US" w:eastAsia="zh-CN"/>
        </w:rPr>
        <w:t>0</w:t>
      </w:r>
      <w:r>
        <w:rPr>
          <w:rFonts w:ascii="宋体" w:hAnsi="宋体" w:cs="Arial"/>
          <w:color w:val="auto"/>
          <w:sz w:val="28"/>
          <w:szCs w:val="28"/>
          <w:highlight w:val="none"/>
        </w:rPr>
        <w:t>0</w:t>
      </w:r>
      <w:r>
        <w:rPr>
          <w:rFonts w:hint="eastAsia" w:ascii="宋体" w:hAnsi="宋体" w:cs="Arial"/>
          <w:color w:val="auto"/>
          <w:sz w:val="28"/>
          <w:szCs w:val="28"/>
          <w:highlight w:val="none"/>
        </w:rPr>
        <w:t>分前。递交的投标文件或投标文件信封未密封，或未在骑缝处盖章或签字，或逾期送达的采购方有权不予受理。</w:t>
      </w:r>
    </w:p>
    <w:p>
      <w:pPr>
        <w:ind w:firstLine="562" w:firstLineChars="200"/>
        <w:rPr>
          <w:rFonts w:hint="eastAsia" w:ascii="宋体" w:hAnsi="宋体" w:cs="Arial"/>
          <w:b/>
          <w:color w:val="auto"/>
          <w:sz w:val="28"/>
          <w:szCs w:val="28"/>
          <w:highlight w:val="none"/>
          <w:lang w:val="en-US" w:eastAsia="zh-CN"/>
        </w:rPr>
      </w:pPr>
      <w:r>
        <w:rPr>
          <w:rFonts w:ascii="宋体" w:hAnsi="宋体" w:cs="Arial"/>
          <w:b/>
          <w:color w:val="auto"/>
          <w:sz w:val="28"/>
          <w:szCs w:val="28"/>
          <w:highlight w:val="none"/>
        </w:rPr>
        <w:t>十</w:t>
      </w:r>
      <w:r>
        <w:rPr>
          <w:rFonts w:hint="eastAsia" w:ascii="宋体" w:hAnsi="宋体" w:cs="Arial"/>
          <w:b/>
          <w:color w:val="auto"/>
          <w:sz w:val="28"/>
          <w:szCs w:val="28"/>
          <w:highlight w:val="none"/>
          <w:lang w:val="en-US" w:eastAsia="zh-CN"/>
        </w:rPr>
        <w:t>六</w:t>
      </w:r>
      <w:r>
        <w:rPr>
          <w:rFonts w:hint="eastAsia" w:ascii="宋体" w:hAnsi="宋体" w:cs="Arial"/>
          <w:b/>
          <w:color w:val="auto"/>
          <w:sz w:val="28"/>
          <w:szCs w:val="28"/>
          <w:highlight w:val="none"/>
        </w:rPr>
        <w:t>、</w:t>
      </w:r>
      <w:r>
        <w:rPr>
          <w:rFonts w:hint="eastAsia" w:ascii="宋体" w:hAnsi="宋体" w:cs="Arial"/>
          <w:b/>
          <w:color w:val="auto"/>
          <w:sz w:val="28"/>
          <w:szCs w:val="28"/>
          <w:highlight w:val="none"/>
          <w:lang w:val="en-US" w:eastAsia="zh-CN"/>
        </w:rPr>
        <w:t>公开发布</w:t>
      </w:r>
    </w:p>
    <w:p>
      <w:pPr>
        <w:ind w:firstLine="560" w:firstLineChars="200"/>
        <w:rPr>
          <w:rFonts w:ascii="宋体" w:hAnsi="宋体" w:cs="Arial"/>
          <w:b/>
          <w:color w:val="auto"/>
          <w:sz w:val="28"/>
          <w:szCs w:val="28"/>
          <w:highlight w:val="none"/>
        </w:rPr>
      </w:pPr>
      <w:r>
        <w:rPr>
          <w:rFonts w:hint="eastAsia" w:ascii="宋体" w:hAnsi="宋体" w:cs="Arial"/>
          <w:color w:val="auto"/>
          <w:sz w:val="28"/>
          <w:szCs w:val="28"/>
          <w:highlight w:val="none"/>
        </w:rPr>
        <w:t>本竞选文件在广州国企阳光采购服务平台（http://ygcg.gzggzy.cn））、广州城投综合能源投资经营管理有限公司网站（网址：https://www.gzuci.com/）同时发布。本竞选文件在各媒体发布的文本如有不同之处，以在广州城投综合能源投资经营管理有限公司网站发布的文本为准</w:t>
      </w:r>
      <w:r>
        <w:rPr>
          <w:rFonts w:hint="eastAsia" w:cs="宋体" w:asciiTheme="minorEastAsia" w:hAnsiTheme="minorEastAsia"/>
          <w:color w:val="auto"/>
          <w:sz w:val="28"/>
          <w:szCs w:val="28"/>
          <w:highlight w:val="none"/>
        </w:rPr>
        <w:t>。</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十六、采购人地址和联系方式</w:t>
      </w:r>
    </w:p>
    <w:p>
      <w:pPr>
        <w:ind w:firstLine="560" w:firstLineChars="200"/>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采购人：</w:t>
      </w:r>
      <w:r>
        <w:rPr>
          <w:rFonts w:hint="eastAsia" w:ascii="宋体" w:hAnsi="宋体" w:cs="Arial"/>
          <w:color w:val="auto"/>
          <w:sz w:val="28"/>
          <w:szCs w:val="28"/>
          <w:highlight w:val="none"/>
          <w:lang w:eastAsia="zh-CN"/>
        </w:rPr>
        <w:t>广州城投综合能源投资经营管理有限公司</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联系地址：广州市番禺区大学城明志街</w:t>
      </w:r>
      <w:r>
        <w:rPr>
          <w:rFonts w:ascii="Arial" w:hAnsi="Arial" w:cs="Arial"/>
          <w:color w:val="auto"/>
          <w:sz w:val="28"/>
          <w:szCs w:val="28"/>
          <w:highlight w:val="none"/>
        </w:rPr>
        <w:t>1</w:t>
      </w:r>
      <w:r>
        <w:rPr>
          <w:rFonts w:hint="eastAsia" w:ascii="宋体" w:hAnsi="宋体" w:cs="Arial"/>
          <w:color w:val="auto"/>
          <w:sz w:val="28"/>
          <w:szCs w:val="28"/>
          <w:highlight w:val="none"/>
        </w:rPr>
        <w:t>号信息枢纽楼9楼</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联系人：</w:t>
      </w:r>
      <w:r>
        <w:rPr>
          <w:rFonts w:hint="eastAsia" w:ascii="宋体" w:hAnsi="宋体" w:cs="Arial"/>
          <w:color w:val="auto"/>
          <w:sz w:val="28"/>
          <w:szCs w:val="28"/>
          <w:highlight w:val="none"/>
          <w:lang w:val="en-US" w:eastAsia="zh-CN"/>
        </w:rPr>
        <w:t>詹</w:t>
      </w:r>
      <w:r>
        <w:rPr>
          <w:rFonts w:hint="eastAsia" w:ascii="宋体" w:hAnsi="宋体" w:cs="Arial"/>
          <w:color w:val="auto"/>
          <w:sz w:val="28"/>
          <w:szCs w:val="28"/>
          <w:highlight w:val="none"/>
        </w:rPr>
        <w:t>工</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联系电话：0</w:t>
      </w:r>
      <w:r>
        <w:rPr>
          <w:rFonts w:ascii="宋体" w:hAnsi="宋体" w:cs="Arial"/>
          <w:color w:val="auto"/>
          <w:sz w:val="28"/>
          <w:szCs w:val="28"/>
          <w:highlight w:val="none"/>
        </w:rPr>
        <w:t>20-3930207</w:t>
      </w:r>
      <w:r>
        <w:rPr>
          <w:rFonts w:hint="eastAsia" w:ascii="宋体" w:hAnsi="宋体" w:cs="Arial"/>
          <w:color w:val="auto"/>
          <w:sz w:val="28"/>
          <w:szCs w:val="28"/>
          <w:highlight w:val="none"/>
          <w:lang w:val="en-US" w:eastAsia="zh-CN"/>
        </w:rPr>
        <w:t>7</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附件1：报价一览表</w:t>
      </w:r>
    </w:p>
    <w:p>
      <w:pPr>
        <w:ind w:firstLine="560" w:firstLineChars="200"/>
        <w:rPr>
          <w:rFonts w:hint="default" w:ascii="宋体" w:hAnsi="宋体" w:cs="Arial"/>
          <w:color w:val="auto"/>
          <w:sz w:val="28"/>
          <w:szCs w:val="28"/>
          <w:highlight w:val="none"/>
        </w:rPr>
      </w:pPr>
      <w:r>
        <w:rPr>
          <w:rFonts w:hint="eastAsia" w:ascii="宋体" w:hAnsi="宋体" w:cs="Arial"/>
          <w:color w:val="auto"/>
          <w:sz w:val="28"/>
          <w:szCs w:val="28"/>
          <w:highlight w:val="none"/>
          <w:lang w:val="en-US" w:eastAsia="zh-CN"/>
        </w:rPr>
        <w:t xml:space="preserve">附件1.2 </w:t>
      </w:r>
      <w:r>
        <w:rPr>
          <w:rFonts w:hint="eastAsia" w:ascii="宋体" w:hAnsi="宋体" w:cs="Arial"/>
          <w:color w:val="auto"/>
          <w:sz w:val="28"/>
          <w:szCs w:val="28"/>
          <w:highlight w:val="none"/>
        </w:rPr>
        <w:t>租户二次装修接入调试报价表</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附件2：供应商调查表</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附件3：法定代表人身份证明书</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附件4：法定代表人授权委托证明书</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附件5：投标人资格审查表</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附件6：投标文件有效性审查表</w:t>
      </w:r>
    </w:p>
    <w:p>
      <w:pPr>
        <w:ind w:firstLine="560" w:firstLineChars="200"/>
        <w:rPr>
          <w:rFonts w:hint="eastAsia" w:ascii="宋体" w:hAnsi="宋体" w:cs="Arial"/>
          <w:color w:val="auto"/>
          <w:sz w:val="28"/>
          <w:szCs w:val="28"/>
          <w:highlight w:val="none"/>
        </w:rPr>
      </w:pPr>
      <w:r>
        <w:rPr>
          <w:rFonts w:hint="eastAsia" w:ascii="宋体" w:hAnsi="宋体" w:cs="Arial"/>
          <w:color w:val="auto"/>
          <w:sz w:val="28"/>
          <w:szCs w:val="28"/>
          <w:highlight w:val="none"/>
        </w:rPr>
        <w:t>附件7：投标人声明</w:t>
      </w:r>
    </w:p>
    <w:p>
      <w:pPr>
        <w:ind w:firstLine="560" w:firstLineChars="200"/>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lang w:val="en-US" w:eastAsia="zh-CN"/>
        </w:rPr>
        <w:t>附件8：消防图纸</w:t>
      </w:r>
    </w:p>
    <w:p>
      <w:pPr>
        <w:pStyle w:val="6"/>
        <w:spacing w:line="360" w:lineRule="auto"/>
        <w:ind w:left="0" w:leftChars="0" w:right="1120" w:firstLine="2520" w:firstLineChars="900"/>
        <w:rPr>
          <w:color w:val="auto"/>
          <w:sz w:val="28"/>
          <w:szCs w:val="28"/>
          <w:highlight w:val="none"/>
        </w:rPr>
      </w:pPr>
    </w:p>
    <w:p>
      <w:pPr>
        <w:pStyle w:val="6"/>
        <w:spacing w:line="360" w:lineRule="auto"/>
        <w:ind w:left="0" w:leftChars="0" w:right="1120" w:firstLine="1400" w:firstLineChars="500"/>
        <w:rPr>
          <w:rFonts w:hint="eastAsia" w:eastAsia="宋体"/>
          <w:color w:val="auto"/>
          <w:sz w:val="28"/>
          <w:szCs w:val="28"/>
          <w:highlight w:val="none"/>
          <w:lang w:eastAsia="zh-CN"/>
        </w:rPr>
      </w:pPr>
      <w:r>
        <w:rPr>
          <w:rFonts w:hint="eastAsia"/>
          <w:color w:val="auto"/>
          <w:sz w:val="28"/>
          <w:szCs w:val="28"/>
          <w:highlight w:val="none"/>
        </w:rPr>
        <w:t>采购人：</w:t>
      </w:r>
      <w:r>
        <w:rPr>
          <w:rFonts w:hint="eastAsia"/>
          <w:color w:val="auto"/>
          <w:sz w:val="28"/>
          <w:szCs w:val="28"/>
          <w:highlight w:val="none"/>
          <w:lang w:eastAsia="zh-CN"/>
        </w:rPr>
        <w:t>广州城投综合能源投资经营管理有限公司</w:t>
      </w:r>
    </w:p>
    <w:p>
      <w:pPr>
        <w:spacing w:line="360" w:lineRule="auto"/>
        <w:ind w:firstLine="4760" w:firstLineChars="1700"/>
        <w:rPr>
          <w:color w:val="auto"/>
          <w:sz w:val="28"/>
          <w:szCs w:val="28"/>
          <w:highlight w:val="none"/>
        </w:rPr>
      </w:pPr>
      <w:r>
        <w:rPr>
          <w:rFonts w:hint="eastAsia"/>
          <w:color w:val="auto"/>
          <w:sz w:val="28"/>
          <w:szCs w:val="28"/>
          <w:highlight w:val="none"/>
        </w:rPr>
        <w:t>20</w:t>
      </w:r>
      <w:r>
        <w:rPr>
          <w:color w:val="auto"/>
          <w:sz w:val="28"/>
          <w:szCs w:val="28"/>
          <w:highlight w:val="none"/>
        </w:rPr>
        <w:t>2</w:t>
      </w:r>
      <w:r>
        <w:rPr>
          <w:rFonts w:hint="eastAsia"/>
          <w:color w:val="auto"/>
          <w:sz w:val="28"/>
          <w:szCs w:val="28"/>
          <w:highlight w:val="none"/>
          <w:lang w:val="en-US" w:eastAsia="zh-CN"/>
        </w:rPr>
        <w:t>5</w:t>
      </w:r>
      <w:r>
        <w:rPr>
          <w:rFonts w:hint="eastAsia"/>
          <w:color w:val="auto"/>
          <w:sz w:val="28"/>
          <w:szCs w:val="28"/>
          <w:highlight w:val="none"/>
        </w:rPr>
        <w:t>年</w:t>
      </w:r>
      <w:r>
        <w:rPr>
          <w:rFonts w:hint="eastAsia"/>
          <w:color w:val="auto"/>
          <w:sz w:val="28"/>
          <w:szCs w:val="28"/>
          <w:highlight w:val="none"/>
          <w:lang w:val="en-US" w:eastAsia="zh-CN"/>
        </w:rPr>
        <w:t>6</w:t>
      </w:r>
      <w:r>
        <w:rPr>
          <w:rFonts w:hint="eastAsia"/>
          <w:color w:val="auto"/>
          <w:sz w:val="28"/>
          <w:szCs w:val="28"/>
          <w:highlight w:val="none"/>
        </w:rPr>
        <w:t>月</w:t>
      </w:r>
      <w:r>
        <w:rPr>
          <w:rFonts w:hint="eastAsia"/>
          <w:color w:val="auto"/>
          <w:sz w:val="28"/>
          <w:szCs w:val="28"/>
          <w:highlight w:val="none"/>
          <w:lang w:val="en-US" w:eastAsia="zh-CN"/>
        </w:rPr>
        <w:t>5</w:t>
      </w:r>
      <w:r>
        <w:rPr>
          <w:rFonts w:hint="eastAsia"/>
          <w:color w:val="auto"/>
          <w:sz w:val="28"/>
          <w:szCs w:val="28"/>
          <w:highlight w:val="none"/>
        </w:rPr>
        <w:t>日</w:t>
      </w:r>
    </w:p>
    <w:p>
      <w:pPr>
        <w:spacing w:line="240" w:lineRule="auto"/>
        <w:rPr>
          <w:rFonts w:hint="eastAsia" w:ascii="宋体" w:hAnsi="宋体" w:cs="Arial"/>
          <w:color w:val="auto"/>
          <w:sz w:val="30"/>
          <w:szCs w:val="30"/>
          <w:highlight w:val="none"/>
        </w:rPr>
      </w:pPr>
      <w:r>
        <w:rPr>
          <w:rFonts w:hint="eastAsia" w:ascii="宋体" w:hAnsi="宋体" w:cs="Arial"/>
          <w:color w:val="auto"/>
          <w:sz w:val="30"/>
          <w:szCs w:val="30"/>
          <w:highlight w:val="none"/>
        </w:rPr>
        <w:br w:type="page"/>
      </w:r>
    </w:p>
    <w:p>
      <w:pPr>
        <w:widowControl/>
        <w:spacing w:line="240" w:lineRule="auto"/>
        <w:jc w:val="left"/>
        <w:rPr>
          <w:rFonts w:hint="eastAsia" w:ascii="宋体" w:hAnsi="宋体" w:cs="Arial"/>
          <w:color w:val="auto"/>
          <w:sz w:val="30"/>
          <w:szCs w:val="30"/>
          <w:highlight w:val="none"/>
        </w:rPr>
      </w:pPr>
      <w:r>
        <w:rPr>
          <w:rFonts w:hint="eastAsia" w:ascii="宋体" w:hAnsi="宋体" w:cs="Arial"/>
          <w:color w:val="auto"/>
          <w:sz w:val="30"/>
          <w:szCs w:val="30"/>
          <w:highlight w:val="none"/>
        </w:rPr>
        <w:t>附件1</w:t>
      </w:r>
    </w:p>
    <w:p>
      <w:pPr>
        <w:spacing w:line="400" w:lineRule="exact"/>
        <w:rPr>
          <w:rFonts w:hint="default" w:ascii="宋体" w:hAnsi="宋体" w:eastAsia="宋体" w:cs="Arial"/>
          <w:color w:val="auto"/>
          <w:sz w:val="30"/>
          <w:szCs w:val="30"/>
          <w:highlight w:val="none"/>
          <w:lang w:val="en-US" w:eastAsia="zh-CN"/>
        </w:rPr>
      </w:pPr>
      <w:r>
        <w:rPr>
          <w:rFonts w:hint="eastAsia" w:ascii="宋体" w:hAnsi="宋体" w:cs="Arial"/>
          <w:color w:val="auto"/>
          <w:sz w:val="30"/>
          <w:szCs w:val="30"/>
          <w:highlight w:val="none"/>
          <w:lang w:val="en-US" w:eastAsia="zh-CN"/>
        </w:rPr>
        <w:t>附件1.1</w:t>
      </w:r>
    </w:p>
    <w:p>
      <w:pPr>
        <w:pStyle w:val="9"/>
        <w:ind w:firstLine="0" w:firstLineChars="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报价一览表</w:t>
      </w:r>
    </w:p>
    <w:p>
      <w:pPr>
        <w:spacing w:line="360" w:lineRule="auto"/>
        <w:rPr>
          <w:rFonts w:hint="eastAsia"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Cs w:val="21"/>
          <w:highlight w:val="none"/>
          <w:lang w:eastAsia="zh-CN"/>
        </w:rPr>
        <w:t>城投能源公司消防系统维护保养项目</w:t>
      </w:r>
    </w:p>
    <w:tbl>
      <w:tblPr>
        <w:tblStyle w:val="1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color w:val="auto"/>
                <w:sz w:val="24"/>
                <w:highlight w:val="none"/>
              </w:rPr>
            </w:pPr>
            <w:r>
              <w:rPr>
                <w:rFonts w:hint="eastAsia" w:hAnsi="宋体"/>
                <w:bCs/>
                <w:color w:val="auto"/>
                <w:sz w:val="24"/>
                <w:highlight w:val="none"/>
              </w:rPr>
              <w:t>序号</w:t>
            </w:r>
          </w:p>
        </w:tc>
        <w:tc>
          <w:tcPr>
            <w:tcW w:w="2268" w:type="dxa"/>
            <w:vAlign w:val="center"/>
          </w:tcPr>
          <w:p>
            <w:pPr>
              <w:rPr>
                <w:rFonts w:hAnsi="宋体"/>
                <w:bCs/>
                <w:color w:val="auto"/>
                <w:sz w:val="24"/>
                <w:highlight w:val="none"/>
              </w:rPr>
            </w:pPr>
            <w:r>
              <w:rPr>
                <w:rFonts w:hint="eastAsia" w:hAnsi="宋体"/>
                <w:bCs/>
                <w:color w:val="auto"/>
                <w:sz w:val="24"/>
                <w:highlight w:val="none"/>
              </w:rPr>
              <w:t>项目名称</w:t>
            </w:r>
          </w:p>
        </w:tc>
        <w:tc>
          <w:tcPr>
            <w:tcW w:w="5996" w:type="dxa"/>
            <w:gridSpan w:val="2"/>
            <w:vAlign w:val="center"/>
          </w:tcPr>
          <w:p>
            <w:pP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int="eastAsia" w:hAnsi="宋体"/>
                <w:color w:val="auto"/>
                <w:sz w:val="24"/>
                <w:highlight w:val="none"/>
              </w:rPr>
              <w:t>1</w:t>
            </w:r>
          </w:p>
        </w:tc>
        <w:tc>
          <w:tcPr>
            <w:tcW w:w="2268" w:type="dxa"/>
            <w:vAlign w:val="center"/>
          </w:tcPr>
          <w:p>
            <w:pPr>
              <w:rPr>
                <w:rFonts w:hAnsi="宋体"/>
                <w:color w:val="auto"/>
                <w:sz w:val="24"/>
                <w:highlight w:val="none"/>
              </w:rPr>
            </w:pPr>
            <w:r>
              <w:rPr>
                <w:rFonts w:hint="eastAsia" w:hAnsi="宋体"/>
                <w:color w:val="auto"/>
                <w:sz w:val="24"/>
                <w:highlight w:val="none"/>
              </w:rPr>
              <w:t>投标总价</w:t>
            </w:r>
          </w:p>
        </w:tc>
        <w:tc>
          <w:tcPr>
            <w:tcW w:w="599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int="eastAsia" w:hAnsi="宋体"/>
                <w:color w:val="auto"/>
                <w:sz w:val="24"/>
                <w:highlight w:val="none"/>
              </w:rPr>
            </w:pPr>
            <w:r>
              <w:rPr>
                <w:rFonts w:hint="eastAsia" w:hAnsi="宋体"/>
                <w:color w:val="auto"/>
                <w:sz w:val="24"/>
                <w:highlight w:val="none"/>
              </w:rPr>
              <w:t>小写：</w:t>
            </w:r>
          </w:p>
          <w:p>
            <w:pPr>
              <w:rPr>
                <w:rFonts w:hint="default" w:hAnsi="宋体" w:eastAsia="宋体"/>
                <w:color w:val="auto"/>
                <w:sz w:val="24"/>
                <w:highlight w:val="none"/>
                <w:lang w:val="en-US" w:eastAsia="zh-CN"/>
              </w:rPr>
            </w:pPr>
            <w:r>
              <w:rPr>
                <w:rFonts w:hint="eastAsia" w:hAnsi="宋体"/>
                <w:color w:val="auto"/>
                <w:sz w:val="24"/>
                <w:highlight w:val="none"/>
                <w:lang w:val="en-US" w:eastAsia="zh-CN"/>
              </w:rPr>
              <w:t>已含增值税专票税（</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int="eastAsia" w:hAnsi="宋体"/>
                <w:color w:val="auto"/>
                <w:sz w:val="24"/>
                <w:highlight w:val="none"/>
                <w:lang w:val="en-US" w:eastAsia="zh-CN"/>
              </w:rPr>
            </w:pPr>
          </w:p>
        </w:tc>
        <w:tc>
          <w:tcPr>
            <w:tcW w:w="2268" w:type="dxa"/>
            <w:vAlign w:val="center"/>
          </w:tcPr>
          <w:p>
            <w:pPr>
              <w:rPr>
                <w:rFonts w:hint="default" w:hAnsi="宋体"/>
                <w:color w:val="auto"/>
                <w:sz w:val="24"/>
                <w:highlight w:val="none"/>
                <w:lang w:val="en-US" w:eastAsia="zh-CN"/>
              </w:rPr>
            </w:pPr>
            <w:r>
              <w:rPr>
                <w:rFonts w:hint="eastAsia" w:hAnsi="宋体"/>
                <w:color w:val="auto"/>
                <w:sz w:val="24"/>
                <w:highlight w:val="none"/>
                <w:lang w:val="en-US" w:eastAsia="zh-CN"/>
              </w:rPr>
              <w:t>不含税为</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int="eastAsia" w:hAnsi="宋体" w:eastAsia="宋体"/>
                <w:color w:val="auto"/>
                <w:sz w:val="24"/>
                <w:highlight w:val="none"/>
                <w:lang w:val="en-US" w:eastAsia="zh-CN"/>
              </w:rPr>
            </w:pPr>
            <w:r>
              <w:rPr>
                <w:rFonts w:hint="eastAsia" w:hAnsi="宋体"/>
                <w:color w:val="auto"/>
                <w:sz w:val="24"/>
                <w:highlight w:val="none"/>
                <w:lang w:val="en-US" w:eastAsia="zh-CN"/>
              </w:rPr>
              <w:t>其中</w:t>
            </w:r>
          </w:p>
        </w:tc>
        <w:tc>
          <w:tcPr>
            <w:tcW w:w="2268" w:type="dxa"/>
            <w:vAlign w:val="center"/>
          </w:tcPr>
          <w:p>
            <w:pPr>
              <w:rPr>
                <w:rFonts w:hint="default" w:hAnsi="宋体" w:eastAsia="宋体"/>
                <w:color w:val="auto"/>
                <w:sz w:val="24"/>
                <w:highlight w:val="none"/>
                <w:lang w:val="en-US" w:eastAsia="zh-CN"/>
              </w:rPr>
            </w:pPr>
            <w:r>
              <w:rPr>
                <w:rFonts w:hint="eastAsia" w:hAnsi="宋体"/>
                <w:color w:val="auto"/>
                <w:sz w:val="24"/>
                <w:highlight w:val="none"/>
                <w:lang w:val="en-US" w:eastAsia="zh-CN"/>
              </w:rPr>
              <w:t>冷站维保费用</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p>
        </w:tc>
        <w:tc>
          <w:tcPr>
            <w:tcW w:w="2268" w:type="dxa"/>
            <w:vAlign w:val="center"/>
          </w:tcPr>
          <w:p>
            <w:pPr>
              <w:rPr>
                <w:rFonts w:hAnsi="宋体"/>
                <w:color w:val="auto"/>
                <w:sz w:val="24"/>
                <w:highlight w:val="none"/>
              </w:rPr>
            </w:pPr>
            <w:r>
              <w:rPr>
                <w:rFonts w:hint="eastAsia" w:hAnsi="宋体"/>
                <w:color w:val="auto"/>
                <w:sz w:val="24"/>
                <w:highlight w:val="none"/>
                <w:lang w:val="en-US" w:eastAsia="zh-CN"/>
              </w:rPr>
              <w:t>信息枢纽楼维保费用</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p>
        </w:tc>
        <w:tc>
          <w:tcPr>
            <w:tcW w:w="2268" w:type="dxa"/>
            <w:vAlign w:val="center"/>
          </w:tcPr>
          <w:p>
            <w:pPr>
              <w:rPr>
                <w:rFonts w:hint="default" w:hAnsi="宋体"/>
                <w:color w:val="auto"/>
                <w:sz w:val="24"/>
                <w:highlight w:val="none"/>
                <w:lang w:val="en-US" w:eastAsia="zh-CN"/>
              </w:rPr>
            </w:pPr>
            <w:r>
              <w:rPr>
                <w:rFonts w:hint="eastAsia" w:hAnsi="宋体"/>
                <w:color w:val="auto"/>
                <w:sz w:val="24"/>
                <w:highlight w:val="none"/>
                <w:lang w:val="en-US" w:eastAsia="zh-CN"/>
              </w:rPr>
              <w:t>综合管沟维保费用</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p>
        </w:tc>
        <w:tc>
          <w:tcPr>
            <w:tcW w:w="2268" w:type="dxa"/>
            <w:vAlign w:val="center"/>
          </w:tcPr>
          <w:p>
            <w:pPr>
              <w:rPr>
                <w:rFonts w:hint="default" w:hAnsi="宋体"/>
                <w:color w:val="auto"/>
                <w:sz w:val="24"/>
                <w:highlight w:val="none"/>
                <w:lang w:val="en-US" w:eastAsia="zh-CN"/>
              </w:rPr>
            </w:pPr>
            <w:r>
              <w:rPr>
                <w:rFonts w:hint="eastAsia" w:hAnsi="宋体"/>
                <w:color w:val="auto"/>
                <w:sz w:val="24"/>
                <w:highlight w:val="none"/>
                <w:lang w:val="en-US" w:eastAsia="zh-CN"/>
              </w:rPr>
              <w:t>过江隧道维保费用</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Ansi="宋体"/>
                <w:color w:val="auto"/>
                <w:sz w:val="24"/>
                <w:highlight w:val="none"/>
              </w:rPr>
              <w:t>2</w:t>
            </w:r>
          </w:p>
        </w:tc>
        <w:tc>
          <w:tcPr>
            <w:tcW w:w="2268" w:type="dxa"/>
            <w:vAlign w:val="center"/>
          </w:tcPr>
          <w:p>
            <w:pPr>
              <w:rPr>
                <w:rFonts w:hint="eastAsia" w:hAnsi="宋体"/>
                <w:color w:val="auto"/>
                <w:sz w:val="24"/>
                <w:highlight w:val="none"/>
              </w:rPr>
            </w:pPr>
            <w:r>
              <w:rPr>
                <w:rFonts w:hint="eastAsia" w:hAnsi="宋体"/>
                <w:color w:val="auto"/>
                <w:sz w:val="24"/>
                <w:highlight w:val="none"/>
              </w:rPr>
              <w:t>服务期限</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color w:val="auto"/>
                <w:sz w:val="24"/>
                <w:highlight w:val="none"/>
              </w:rPr>
            </w:pPr>
            <w:r>
              <w:rPr>
                <w:rFonts w:hAnsi="宋体"/>
                <w:color w:val="auto"/>
                <w:sz w:val="24"/>
                <w:highlight w:val="none"/>
              </w:rPr>
              <w:t>3</w:t>
            </w:r>
          </w:p>
        </w:tc>
        <w:tc>
          <w:tcPr>
            <w:tcW w:w="2268" w:type="dxa"/>
            <w:vMerge w:val="restart"/>
            <w:vAlign w:val="center"/>
          </w:tcPr>
          <w:p>
            <w:pPr>
              <w:rPr>
                <w:rFonts w:hAnsi="宋体"/>
                <w:color w:val="auto"/>
                <w:sz w:val="24"/>
                <w:highlight w:val="none"/>
              </w:rPr>
            </w:pPr>
            <w:r>
              <w:rPr>
                <w:rFonts w:hint="eastAsia" w:hAnsi="宋体"/>
                <w:color w:val="auto"/>
                <w:sz w:val="24"/>
                <w:highlight w:val="none"/>
              </w:rPr>
              <w:t>拟委派的项目</w:t>
            </w:r>
          </w:p>
          <w:p>
            <w:pPr>
              <w:rPr>
                <w:rFonts w:hAnsi="宋体"/>
                <w:color w:val="auto"/>
                <w:sz w:val="24"/>
                <w:highlight w:val="none"/>
              </w:rPr>
            </w:pPr>
            <w:r>
              <w:rPr>
                <w:rFonts w:hint="eastAsia" w:hAnsi="宋体"/>
                <w:color w:val="auto"/>
                <w:sz w:val="24"/>
                <w:highlight w:val="none"/>
              </w:rPr>
              <w:t>负责人</w:t>
            </w:r>
          </w:p>
        </w:tc>
        <w:tc>
          <w:tcPr>
            <w:tcW w:w="2126" w:type="dxa"/>
            <w:vAlign w:val="center"/>
          </w:tcPr>
          <w:p>
            <w:pPr>
              <w:rPr>
                <w:rFonts w:hAnsi="宋体"/>
                <w:color w:val="auto"/>
                <w:sz w:val="24"/>
                <w:highlight w:val="none"/>
              </w:rPr>
            </w:pPr>
            <w:r>
              <w:rPr>
                <w:rFonts w:hint="eastAsia" w:hAnsi="宋体"/>
                <w:color w:val="auto"/>
                <w:sz w:val="24"/>
                <w:highlight w:val="none"/>
              </w:rPr>
              <w:t>姓名</w:t>
            </w:r>
          </w:p>
        </w:tc>
        <w:tc>
          <w:tcPr>
            <w:tcW w:w="3870"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color w:val="auto"/>
                <w:sz w:val="24"/>
                <w:highlight w:val="none"/>
              </w:rPr>
            </w:pPr>
          </w:p>
        </w:tc>
        <w:tc>
          <w:tcPr>
            <w:tcW w:w="2268" w:type="dxa"/>
            <w:vMerge w:val="continue"/>
            <w:vAlign w:val="center"/>
          </w:tcPr>
          <w:p>
            <w:pPr>
              <w:rPr>
                <w:rFonts w:hAnsi="宋体"/>
                <w:color w:val="auto"/>
                <w:sz w:val="24"/>
                <w:highlight w:val="none"/>
              </w:rPr>
            </w:pPr>
          </w:p>
        </w:tc>
        <w:tc>
          <w:tcPr>
            <w:tcW w:w="2126" w:type="dxa"/>
            <w:vAlign w:val="center"/>
          </w:tcPr>
          <w:p>
            <w:pPr>
              <w:rPr>
                <w:rFonts w:hAnsi="宋体"/>
                <w:color w:val="auto"/>
                <w:sz w:val="24"/>
                <w:highlight w:val="none"/>
              </w:rPr>
            </w:pPr>
            <w:r>
              <w:rPr>
                <w:rFonts w:hint="eastAsia" w:hAnsi="宋体"/>
                <w:color w:val="auto"/>
                <w:sz w:val="24"/>
                <w:highlight w:val="none"/>
              </w:rPr>
              <w:t>技术职称</w:t>
            </w:r>
          </w:p>
        </w:tc>
        <w:tc>
          <w:tcPr>
            <w:tcW w:w="3870" w:type="dxa"/>
            <w:vAlign w:val="center"/>
          </w:tcPr>
          <w:p>
            <w:pPr>
              <w:rPr>
                <w:rFonts w:hAnsi="宋体"/>
                <w:color w:val="auto"/>
                <w:sz w:val="24"/>
                <w:highlight w:val="none"/>
              </w:rPr>
            </w:pPr>
          </w:p>
        </w:tc>
      </w:tr>
    </w:tbl>
    <w:p>
      <w:pPr>
        <w:rPr>
          <w:rFonts w:hAnsi="宋体"/>
          <w:color w:val="auto"/>
          <w:highlight w:val="none"/>
        </w:rPr>
      </w:pPr>
    </w:p>
    <w:p>
      <w:pPr>
        <w:spacing w:line="360" w:lineRule="auto"/>
        <w:rPr>
          <w:rFonts w:hAnsi="宋体"/>
          <w:color w:val="auto"/>
          <w:highlight w:val="none"/>
        </w:rPr>
      </w:pPr>
      <w:r>
        <w:rPr>
          <w:rFonts w:hint="eastAsia" w:hAnsi="宋体"/>
          <w:color w:val="auto"/>
          <w:highlight w:val="none"/>
        </w:rPr>
        <w:t>注：（1）投标总价为人民币报价。</w:t>
      </w:r>
    </w:p>
    <w:p>
      <w:pPr>
        <w:spacing w:line="360" w:lineRule="auto"/>
        <w:ind w:firstLine="420" w:firstLineChars="200"/>
        <w:rPr>
          <w:rFonts w:hAnsi="宋体"/>
          <w:color w:val="auto"/>
          <w:highlight w:val="none"/>
        </w:rPr>
      </w:pPr>
      <w:r>
        <w:rPr>
          <w:rFonts w:hint="eastAsia" w:hAnsi="宋体"/>
          <w:color w:val="auto"/>
          <w:highlight w:val="none"/>
        </w:rPr>
        <w:t>（2）投标总价是所有需采购人支付的本次项目采购的金额总数，应包括竞选文件要求的全部内容，投标人完成本项目（如果中标）所必须的</w:t>
      </w:r>
      <w:r>
        <w:rPr>
          <w:rFonts w:hint="eastAsia" w:hAnsi="宋体"/>
          <w:bCs/>
          <w:color w:val="auto"/>
          <w:highlight w:val="none"/>
        </w:rPr>
        <w:t>所有成本费用和投标人应承担的一切税费</w:t>
      </w:r>
      <w:r>
        <w:rPr>
          <w:rFonts w:hint="eastAsia" w:hAnsi="宋体"/>
          <w:color w:val="auto"/>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color w:val="auto"/>
          <w:highlight w:val="none"/>
        </w:rPr>
      </w:pPr>
      <w:r>
        <w:rPr>
          <w:rFonts w:hint="eastAsia" w:hAnsi="宋体"/>
          <w:color w:val="auto"/>
          <w:highlight w:val="none"/>
        </w:rPr>
        <w:t>（3）若用小写表示的金额和用大写表示的金额不一致，以大写表示的金额为准。</w:t>
      </w: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hint="eastAsia" w:hAnsi="宋体"/>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5</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p>
    <w:p>
      <w:pPr>
        <w:rPr>
          <w:rFonts w:hint="eastAsia" w:hAnsi="宋体"/>
          <w:color w:val="auto"/>
          <w:szCs w:val="21"/>
          <w:highlight w:val="none"/>
        </w:rPr>
      </w:pPr>
      <w:r>
        <w:rPr>
          <w:rFonts w:hint="eastAsia" w:hAnsi="宋体"/>
          <w:color w:val="auto"/>
          <w:szCs w:val="21"/>
          <w:highlight w:val="none"/>
        </w:rPr>
        <w:br w:type="page"/>
      </w:r>
    </w:p>
    <w:p>
      <w:pPr>
        <w:spacing w:line="560" w:lineRule="exact"/>
        <w:ind w:firstLine="0" w:firstLineChars="0"/>
        <w:rPr>
          <w:rFonts w:hint="default" w:eastAsia="宋体"/>
          <w:color w:val="auto"/>
          <w:sz w:val="28"/>
          <w:szCs w:val="28"/>
          <w:highlight w:val="none"/>
          <w:lang w:val="en-US" w:eastAsia="zh-CN"/>
        </w:rPr>
      </w:pPr>
      <w:r>
        <w:rPr>
          <w:rFonts w:hint="eastAsia"/>
          <w:color w:val="auto"/>
          <w:sz w:val="28"/>
          <w:szCs w:val="28"/>
          <w:highlight w:val="none"/>
          <w:lang w:val="en-US" w:eastAsia="zh-CN"/>
        </w:rPr>
        <w:t>附件1.2</w:t>
      </w:r>
    </w:p>
    <w:p>
      <w:pPr>
        <w:spacing w:line="560" w:lineRule="exact"/>
        <w:ind w:firstLine="2800" w:firstLineChars="1000"/>
        <w:rPr>
          <w:color w:val="auto"/>
          <w:sz w:val="28"/>
          <w:szCs w:val="28"/>
          <w:highlight w:val="none"/>
        </w:rPr>
      </w:pPr>
      <w:r>
        <w:rPr>
          <w:rFonts w:hint="eastAsia"/>
          <w:color w:val="auto"/>
          <w:sz w:val="28"/>
          <w:szCs w:val="28"/>
          <w:highlight w:val="none"/>
        </w:rPr>
        <w:t>租户二次装修接入调试报价表</w:t>
      </w:r>
    </w:p>
    <w:tbl>
      <w:tblPr>
        <w:tblStyle w:val="17"/>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52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接入点数</w:t>
            </w:r>
          </w:p>
        </w:tc>
        <w:tc>
          <w:tcPr>
            <w:tcW w:w="5250"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作  内  容</w:t>
            </w:r>
          </w:p>
        </w:tc>
        <w:tc>
          <w:tcPr>
            <w:tcW w:w="2445"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接入调试费用（元）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131—200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201—250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251—350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bl>
    <w:p>
      <w:pPr>
        <w:spacing w:line="5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注：1、点数指区域内烟感、温感，破玻按钮、水流指示等需报警显示的消防报警配件个数；</w:t>
      </w:r>
    </w:p>
    <w:p>
      <w:pPr>
        <w:numPr>
          <w:ilvl w:val="-1"/>
          <w:numId w:val="0"/>
        </w:numPr>
        <w:spacing w:line="560" w:lineRule="exact"/>
        <w:ind w:left="420" w:leftChars="200" w:firstLine="0" w:firstLineChars="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2、</w:t>
      </w:r>
      <w:r>
        <w:rPr>
          <w:rFonts w:hint="eastAsia" w:asciiTheme="minorEastAsia" w:hAnsiTheme="minorEastAsia" w:eastAsiaTheme="minorEastAsia"/>
          <w:color w:val="auto"/>
          <w:sz w:val="28"/>
          <w:szCs w:val="28"/>
          <w:highlight w:val="none"/>
        </w:rPr>
        <w:t>因采购方自用办公区需要接入消防系统的，维保单位应免费接入和调试。</w:t>
      </w:r>
    </w:p>
    <w:p>
      <w:pPr>
        <w:numPr>
          <w:ilvl w:val="-1"/>
          <w:numId w:val="0"/>
        </w:numPr>
        <w:spacing w:line="560" w:lineRule="exact"/>
        <w:ind w:left="420" w:leftChars="200" w:firstLine="0" w:firstLineChars="0"/>
        <w:rPr>
          <w:rFonts w:hint="eastAsia" w:asciiTheme="minorEastAsia" w:hAnsiTheme="minorEastAsia" w:eastAsiaTheme="minorEastAsia"/>
          <w:color w:val="auto"/>
          <w:sz w:val="28"/>
          <w:szCs w:val="28"/>
          <w:highlight w:val="none"/>
        </w:rPr>
      </w:pP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hint="eastAsia" w:hAnsi="宋体"/>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5</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p>
    <w:p>
      <w:pPr>
        <w:rPr>
          <w:rFonts w:hint="eastAsia" w:hAnsi="宋体"/>
          <w:color w:val="auto"/>
          <w:szCs w:val="21"/>
          <w:highlight w:val="none"/>
        </w:rPr>
      </w:pPr>
      <w:r>
        <w:rPr>
          <w:rFonts w:hint="eastAsia" w:hAnsi="宋体"/>
          <w:color w:val="auto"/>
          <w:szCs w:val="21"/>
          <w:highlight w:val="none"/>
        </w:rPr>
        <w:br w:type="page"/>
      </w:r>
    </w:p>
    <w:p>
      <w:pPr>
        <w:spacing w:line="240" w:lineRule="auto"/>
        <w:rPr>
          <w:rFonts w:ascii="宋体" w:hAnsi="宋体" w:cs="Arial"/>
          <w:color w:val="auto"/>
          <w:sz w:val="30"/>
          <w:szCs w:val="30"/>
          <w:highlight w:val="none"/>
        </w:rPr>
      </w:pPr>
      <w:r>
        <w:rPr>
          <w:rFonts w:hint="eastAsia" w:ascii="宋体" w:hAnsi="宋体" w:cs="Arial"/>
          <w:color w:val="auto"/>
          <w:sz w:val="30"/>
          <w:szCs w:val="30"/>
          <w:highlight w:val="none"/>
        </w:rPr>
        <w:t>附件</w:t>
      </w:r>
      <w:r>
        <w:rPr>
          <w:rFonts w:hint="eastAsia" w:ascii="宋体" w:hAnsi="宋体" w:cs="Arial"/>
          <w:color w:val="auto"/>
          <w:sz w:val="30"/>
          <w:szCs w:val="30"/>
          <w:highlight w:val="none"/>
          <w:lang w:val="en-US" w:eastAsia="zh-CN"/>
        </w:rPr>
        <w:t>2</w:t>
      </w:r>
    </w:p>
    <w:tbl>
      <w:tblPr>
        <w:tblStyle w:val="17"/>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城投能源公司消防系统维护保养项目</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color w:val="auto"/>
          <w:sz w:val="28"/>
          <w:szCs w:val="28"/>
          <w:highlight w:val="none"/>
        </w:rPr>
        <w:t>投标单位</w:t>
      </w:r>
      <w:r>
        <w:rPr>
          <w:rFonts w:hint="eastAsia"/>
          <w:color w:val="auto"/>
          <w:sz w:val="28"/>
          <w:szCs w:val="28"/>
          <w:highlight w:val="none"/>
        </w:rPr>
        <w:t>（盖章）：</w:t>
      </w: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5</w:t>
      </w:r>
      <w:r>
        <w:rPr>
          <w:rFonts w:hint="eastAsia"/>
          <w:color w:val="auto"/>
          <w:sz w:val="28"/>
          <w:szCs w:val="28"/>
          <w:highlight w:val="none"/>
        </w:rPr>
        <w:t xml:space="preserve">年 </w:t>
      </w:r>
      <w:r>
        <w:rPr>
          <w:color w:val="auto"/>
          <w:sz w:val="28"/>
          <w:szCs w:val="28"/>
          <w:highlight w:val="none"/>
        </w:rPr>
        <w:t xml:space="preserve"> </w:t>
      </w:r>
      <w:r>
        <w:rPr>
          <w:rFonts w:hint="eastAsia"/>
          <w:color w:val="auto"/>
          <w:sz w:val="28"/>
          <w:szCs w:val="28"/>
          <w:highlight w:val="none"/>
        </w:rPr>
        <w:t xml:space="preserve">月 </w:t>
      </w:r>
      <w:r>
        <w:rPr>
          <w:color w:val="auto"/>
          <w:sz w:val="28"/>
          <w:szCs w:val="28"/>
          <w:highlight w:val="none"/>
        </w:rPr>
        <w:t xml:space="preserve"> </w:t>
      </w:r>
      <w:r>
        <w:rPr>
          <w:rFonts w:hint="eastAsia"/>
          <w:color w:val="auto"/>
          <w:sz w:val="28"/>
          <w:szCs w:val="28"/>
          <w:highlight w:val="none"/>
        </w:rPr>
        <w:t>日</w:t>
      </w:r>
    </w:p>
    <w:p>
      <w:pPr>
        <w:spacing w:line="400" w:lineRule="exact"/>
        <w:ind w:left="560" w:hanging="560" w:hangingChars="200"/>
        <w:rPr>
          <w:rFonts w:ascii="宋体" w:hAnsi="宋体"/>
          <w:bCs/>
          <w:color w:val="auto"/>
          <w:sz w:val="30"/>
          <w:szCs w:val="30"/>
          <w:highlight w:val="none"/>
        </w:rPr>
      </w:pPr>
      <w:r>
        <w:rPr>
          <w:color w:val="auto"/>
          <w:sz w:val="28"/>
          <w:szCs w:val="28"/>
          <w:highlight w:val="none"/>
        </w:rPr>
        <w:br w:type="page"/>
      </w:r>
      <w:r>
        <w:rPr>
          <w:rFonts w:hint="eastAsia" w:ascii="宋体" w:hAnsi="宋体"/>
          <w:bCs/>
          <w:color w:val="auto"/>
          <w:sz w:val="30"/>
          <w:szCs w:val="30"/>
          <w:highlight w:val="none"/>
        </w:rPr>
        <w:t>附件</w:t>
      </w:r>
      <w:r>
        <w:rPr>
          <w:rFonts w:ascii="宋体" w:hAnsi="宋体"/>
          <w:bCs/>
          <w:color w:val="auto"/>
          <w:sz w:val="30"/>
          <w:szCs w:val="30"/>
          <w:highlight w:val="none"/>
        </w:rPr>
        <w:t>3</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法定代表人身份证明书</w:t>
      </w:r>
    </w:p>
    <w:p>
      <w:pPr>
        <w:spacing w:line="500" w:lineRule="exact"/>
        <w:jc w:val="center"/>
        <w:rPr>
          <w:b/>
          <w:bCs/>
          <w:color w:val="auto"/>
          <w:szCs w:val="21"/>
          <w:highlight w:val="none"/>
        </w:rPr>
      </w:pPr>
    </w:p>
    <w:p>
      <w:pPr>
        <w:spacing w:line="500" w:lineRule="exact"/>
        <w:ind w:firstLine="560" w:firstLineChars="200"/>
        <w:rPr>
          <w:rFonts w:ascii="宋体" w:hAnsi="宋体" w:cs="宋体"/>
          <w:color w:val="auto"/>
          <w:sz w:val="28"/>
          <w:highlight w:val="none"/>
        </w:rPr>
      </w:pP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在我单位任</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职务，是我单位法定代表人，身份证号为</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，特此证明。</w:t>
      </w:r>
    </w:p>
    <w:p>
      <w:pPr>
        <w:spacing w:line="500" w:lineRule="exact"/>
        <w:ind w:firstLine="627" w:firstLineChars="224"/>
        <w:rPr>
          <w:rFonts w:ascii="宋体" w:hAnsi="宋体" w:cs="宋体"/>
          <w:color w:val="auto"/>
          <w:sz w:val="28"/>
          <w:highlight w:val="none"/>
        </w:rPr>
      </w:pP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rPr>
          <w:rFonts w:hAnsi="宋体" w:cs="宋体"/>
          <w:color w:val="auto"/>
          <w:sz w:val="28"/>
          <w:szCs w:val="28"/>
          <w:highlight w:val="none"/>
        </w:rPr>
      </w:pPr>
    </w:p>
    <w:p>
      <w:pPr>
        <w:spacing w:line="500" w:lineRule="exact"/>
        <w:rPr>
          <w:rFonts w:ascii="宋体" w:hAnsi="宋体" w:cs="宋体"/>
          <w:color w:val="auto"/>
          <w:sz w:val="28"/>
          <w:highlight w:val="none"/>
        </w:rPr>
      </w:pPr>
      <w:r>
        <w:rPr>
          <w:rFonts w:hint="eastAsia" w:hAnsi="宋体" w:cs="宋体"/>
          <w:color w:val="auto"/>
          <w:sz w:val="28"/>
          <w:szCs w:val="28"/>
          <w:highlight w:val="none"/>
        </w:rPr>
        <w:t>日期：202</w:t>
      </w:r>
      <w:r>
        <w:rPr>
          <w:rFonts w:hint="eastAsia" w:hAnsi="宋体" w:cs="宋体"/>
          <w:color w:val="auto"/>
          <w:sz w:val="28"/>
          <w:szCs w:val="28"/>
          <w:highlight w:val="none"/>
          <w:lang w:val="en-US" w:eastAsia="zh-CN"/>
        </w:rPr>
        <w:t>5</w:t>
      </w:r>
      <w:r>
        <w:rPr>
          <w:rFonts w:hint="eastAsia" w:hAnsi="宋体" w:cs="宋体"/>
          <w:color w:val="auto"/>
          <w:sz w:val="28"/>
          <w:szCs w:val="28"/>
          <w:highlight w:val="none"/>
        </w:rPr>
        <w:t xml:space="preserve">年 </w:t>
      </w:r>
      <w:r>
        <w:rPr>
          <w:rFonts w:hAnsi="宋体" w:cs="宋体"/>
          <w:color w:val="auto"/>
          <w:sz w:val="28"/>
          <w:szCs w:val="28"/>
          <w:highlight w:val="none"/>
        </w:rPr>
        <w:t xml:space="preserve"> </w:t>
      </w:r>
      <w:r>
        <w:rPr>
          <w:rFonts w:hint="eastAsia" w:hAnsi="宋体" w:cs="宋体"/>
          <w:color w:val="auto"/>
          <w:sz w:val="28"/>
          <w:szCs w:val="28"/>
          <w:highlight w:val="none"/>
        </w:rPr>
        <w:t xml:space="preserve">月 </w:t>
      </w:r>
      <w:r>
        <w:rPr>
          <w:rFonts w:hAnsi="宋体" w:cs="宋体"/>
          <w:color w:val="auto"/>
          <w:sz w:val="28"/>
          <w:szCs w:val="28"/>
          <w:highlight w:val="none"/>
        </w:rPr>
        <w:t xml:space="preserve"> </w:t>
      </w:r>
      <w:r>
        <w:rPr>
          <w:rFonts w:hint="eastAsia" w:hAnsi="宋体" w:cs="宋体"/>
          <w:color w:val="auto"/>
          <w:sz w:val="28"/>
          <w:szCs w:val="28"/>
          <w:highlight w:val="none"/>
        </w:rPr>
        <w:t>日</w:t>
      </w: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rPr>
          <w:rFonts w:ascii="宋体" w:hAnsi="宋体" w:cs="Arial"/>
          <w:color w:val="auto"/>
          <w:sz w:val="28"/>
          <w:szCs w:val="28"/>
          <w:highlight w:val="none"/>
        </w:rPr>
      </w:pPr>
      <w:r>
        <w:rPr>
          <w:rFonts w:hint="eastAsia" w:ascii="宋体" w:hAnsi="宋体" w:cs="Arial"/>
          <w:color w:val="auto"/>
          <w:sz w:val="28"/>
          <w:szCs w:val="28"/>
          <w:highlight w:val="none"/>
        </w:rPr>
        <w:t>附：法定代表人身份证正反面或其他身份证明材料复印件</w:t>
      </w:r>
    </w:p>
    <w:p>
      <w:pPr>
        <w:spacing w:line="360" w:lineRule="auto"/>
        <w:rPr>
          <w:rFonts w:ascii="宋体" w:hAnsi="宋体" w:cs="Arial"/>
          <w:color w:val="auto"/>
          <w:sz w:val="28"/>
          <w:szCs w:val="28"/>
          <w:highlight w:val="none"/>
        </w:rPr>
      </w:pPr>
    </w:p>
    <w:p>
      <w:pPr>
        <w:spacing w:line="360" w:lineRule="auto"/>
        <w:rPr>
          <w:rFonts w:ascii="宋体" w:hAnsi="宋体" w:cs="Arial"/>
          <w:color w:val="auto"/>
          <w:sz w:val="30"/>
          <w:szCs w:val="30"/>
          <w:highlight w:val="none"/>
        </w:rPr>
      </w:pPr>
      <w:r>
        <w:rPr>
          <w:rFonts w:hint="eastAsia" w:ascii="宋体" w:hAnsi="宋体" w:cs="Arial"/>
          <w:color w:val="auto"/>
          <w:sz w:val="28"/>
          <w:szCs w:val="28"/>
          <w:highlight w:val="none"/>
        </w:rPr>
        <w:br w:type="page"/>
      </w:r>
      <w:r>
        <w:rPr>
          <w:rFonts w:hint="eastAsia" w:ascii="宋体" w:hAnsi="宋体" w:cs="黑体"/>
          <w:color w:val="auto"/>
          <w:sz w:val="30"/>
          <w:szCs w:val="30"/>
          <w:highlight w:val="none"/>
        </w:rPr>
        <w:t>附件</w:t>
      </w:r>
      <w:r>
        <w:rPr>
          <w:rFonts w:ascii="宋体" w:hAnsi="宋体" w:cs="黑体"/>
          <w:color w:val="auto"/>
          <w:sz w:val="30"/>
          <w:szCs w:val="30"/>
          <w:highlight w:val="none"/>
        </w:rPr>
        <w:t>4</w:t>
      </w:r>
    </w:p>
    <w:p>
      <w:pPr>
        <w:spacing w:line="500" w:lineRule="exact"/>
        <w:ind w:firstLine="2168" w:firstLineChars="600"/>
        <w:rPr>
          <w:rFonts w:eastAsia="黑体"/>
          <w:b/>
          <w:bCs/>
          <w:color w:val="auto"/>
          <w:sz w:val="36"/>
          <w:highlight w:val="none"/>
        </w:rPr>
      </w:pPr>
      <w:r>
        <w:rPr>
          <w:rFonts w:hint="eastAsia" w:eastAsia="黑体"/>
          <w:b/>
          <w:bCs/>
          <w:color w:val="auto"/>
          <w:sz w:val="36"/>
          <w:highlight w:val="none"/>
        </w:rPr>
        <w:t>法定代表人授权委托证明书</w:t>
      </w:r>
    </w:p>
    <w:p>
      <w:pPr>
        <w:pStyle w:val="20"/>
        <w:spacing w:line="360" w:lineRule="auto"/>
        <w:ind w:firstLine="424" w:firstLineChars="177"/>
        <w:rPr>
          <w:rFonts w:hAnsi="宋体"/>
          <w:bCs/>
          <w:color w:val="auto"/>
          <w:sz w:val="24"/>
          <w:szCs w:val="24"/>
          <w:highlight w:val="none"/>
        </w:rPr>
      </w:pPr>
    </w:p>
    <w:p>
      <w:pPr>
        <w:pStyle w:val="20"/>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w:t>
      </w:r>
      <w:r>
        <w:rPr>
          <w:rFonts w:hint="eastAsia" w:hAnsi="宋体"/>
          <w:bCs/>
          <w:color w:val="auto"/>
          <w:sz w:val="24"/>
          <w:szCs w:val="24"/>
          <w:highlight w:val="none"/>
          <w:u w:val="single"/>
        </w:rPr>
        <w:t>（委托代理人姓名）</w:t>
      </w:r>
      <w:r>
        <w:rPr>
          <w:rFonts w:hint="eastAsia" w:hAnsi="宋体"/>
          <w:bCs/>
          <w:color w:val="auto"/>
          <w:sz w:val="24"/>
          <w:szCs w:val="24"/>
          <w:highlight w:val="none"/>
        </w:rPr>
        <w:t>为采购方委托代理人，其权限是：</w:t>
      </w:r>
      <w:r>
        <w:rPr>
          <w:rFonts w:hint="eastAsia" w:hAnsi="宋体"/>
          <w:color w:val="auto"/>
          <w:sz w:val="24"/>
          <w:szCs w:val="24"/>
          <w:highlight w:val="none"/>
        </w:rPr>
        <w:t xml:space="preserve">办理                       </w:t>
      </w:r>
      <w:r>
        <w:rPr>
          <w:rFonts w:hint="eastAsia" w:hAnsi="宋体"/>
          <w:color w:val="auto"/>
          <w:sz w:val="24"/>
          <w:szCs w:val="24"/>
          <w:highlight w:val="none"/>
          <w:u w:val="single"/>
          <w:lang w:eastAsia="zh-CN"/>
        </w:rPr>
        <w:t>广州城投综合能源投资经营管理有限公司</w:t>
      </w:r>
      <w:r>
        <w:rPr>
          <w:rFonts w:hint="eastAsia" w:hAnsi="宋体"/>
          <w:color w:val="auto"/>
          <w:sz w:val="24"/>
          <w:szCs w:val="24"/>
          <w:highlight w:val="none"/>
        </w:rPr>
        <w:t>组织的“</w:t>
      </w:r>
      <w:r>
        <w:rPr>
          <w:rFonts w:hint="eastAsia" w:hAnsi="宋体"/>
          <w:color w:val="auto"/>
          <w:sz w:val="24"/>
          <w:szCs w:val="24"/>
          <w:highlight w:val="none"/>
          <w:u w:val="single"/>
          <w:lang w:eastAsia="zh-CN"/>
        </w:rPr>
        <w:t>城投能源公司消防系统维护保养项目</w:t>
      </w:r>
      <w:r>
        <w:rPr>
          <w:rFonts w:hint="eastAsia" w:hAnsi="宋体"/>
          <w:color w:val="auto"/>
          <w:sz w:val="24"/>
          <w:szCs w:val="24"/>
          <w:highlight w:val="none"/>
        </w:rPr>
        <w:t>”的投标和合同执行，以采购方的名义处理一切与之有关的事宜。</w:t>
      </w:r>
    </w:p>
    <w:p>
      <w:pPr>
        <w:pStyle w:val="20"/>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2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2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2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2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2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20"/>
        <w:spacing w:line="360" w:lineRule="auto"/>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19"/>
        <w:spacing w:line="360" w:lineRule="auto"/>
        <w:jc w:val="both"/>
        <w:rPr>
          <w:rFonts w:hAnsi="宋体"/>
          <w:color w:val="auto"/>
          <w:sz w:val="24"/>
          <w:szCs w:val="24"/>
          <w:highlight w:val="none"/>
        </w:rPr>
      </w:pPr>
    </w:p>
    <w:p>
      <w:pPr>
        <w:pStyle w:val="19"/>
        <w:spacing w:line="360" w:lineRule="auto"/>
        <w:jc w:val="both"/>
        <w:rPr>
          <w:rFonts w:hAnsi="宋体" w:eastAsia="宋体" w:cs="宋体"/>
          <w:color w:val="auto"/>
          <w:sz w:val="28"/>
          <w:highlight w:val="none"/>
        </w:rPr>
      </w:pPr>
    </w:p>
    <w:p>
      <w:pPr>
        <w:pStyle w:val="19"/>
        <w:spacing w:line="360" w:lineRule="auto"/>
        <w:jc w:val="both"/>
        <w:rPr>
          <w:rFonts w:hAnsi="宋体" w:eastAsia="宋体" w:cs="宋体"/>
          <w:color w:val="auto"/>
          <w:sz w:val="28"/>
          <w:highlight w:val="none"/>
        </w:rPr>
      </w:pPr>
    </w:p>
    <w:p>
      <w:pPr>
        <w:pStyle w:val="19"/>
        <w:spacing w:line="360" w:lineRule="auto"/>
        <w:jc w:val="both"/>
        <w:rPr>
          <w:rFonts w:hAnsi="宋体" w:eastAsia="宋体" w:cs="宋体"/>
          <w:color w:val="auto"/>
          <w:sz w:val="28"/>
          <w:highlight w:val="none"/>
        </w:rPr>
      </w:pPr>
    </w:p>
    <w:p>
      <w:pPr>
        <w:pStyle w:val="19"/>
        <w:spacing w:line="360" w:lineRule="auto"/>
        <w:jc w:val="both"/>
        <w:rPr>
          <w:rFonts w:hAnsi="宋体" w:eastAsia="宋体" w:cs="宋体"/>
          <w:color w:val="auto"/>
          <w:sz w:val="28"/>
          <w:highlight w:val="none"/>
        </w:rPr>
      </w:pPr>
    </w:p>
    <w:p>
      <w:pPr>
        <w:pStyle w:val="19"/>
        <w:spacing w:line="360" w:lineRule="auto"/>
        <w:jc w:val="both"/>
        <w:rPr>
          <w:rFonts w:hAnsi="宋体" w:eastAsia="宋体" w:cs="宋体"/>
          <w:color w:val="auto"/>
          <w:sz w:val="28"/>
          <w:highlight w:val="none"/>
        </w:rPr>
      </w:pPr>
    </w:p>
    <w:p>
      <w:pPr>
        <w:pStyle w:val="19"/>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（单位盖章）：</w:t>
      </w:r>
    </w:p>
    <w:p>
      <w:pPr>
        <w:pStyle w:val="19"/>
        <w:spacing w:line="360" w:lineRule="auto"/>
        <w:jc w:val="both"/>
        <w:rPr>
          <w:rFonts w:hAnsi="宋体" w:eastAsia="宋体" w:cs="宋体"/>
          <w:color w:val="auto"/>
          <w:sz w:val="24"/>
          <w:szCs w:val="24"/>
          <w:highlight w:val="none"/>
        </w:rPr>
      </w:pPr>
    </w:p>
    <w:p>
      <w:pPr>
        <w:pStyle w:val="19"/>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法定代表人（签字或盖章）：</w:t>
      </w:r>
    </w:p>
    <w:p>
      <w:pPr>
        <w:pStyle w:val="19"/>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被授权人（签字或盖章）：</w:t>
      </w:r>
    </w:p>
    <w:p>
      <w:pPr>
        <w:pStyle w:val="19"/>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日期： 202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年   月   日</w:t>
      </w:r>
    </w:p>
    <w:p>
      <w:pPr>
        <w:rPr>
          <w:color w:val="auto"/>
          <w:sz w:val="24"/>
          <w:highlight w:val="none"/>
        </w:rPr>
      </w:pPr>
      <w:r>
        <w:rPr>
          <w:rFonts w:hint="eastAsia" w:hAnsi="宋体" w:cs="宋体"/>
          <w:color w:val="auto"/>
          <w:sz w:val="24"/>
          <w:highlight w:val="none"/>
          <w:lang w:val="zh-CN"/>
        </w:rPr>
        <w:t>说明：法定代表人亲自办理投标事宜的，无需提交本证明书。</w:t>
      </w:r>
    </w:p>
    <w:p>
      <w:pPr>
        <w:spacing w:line="360" w:lineRule="auto"/>
        <w:rPr>
          <w:color w:val="auto"/>
          <w:sz w:val="28"/>
          <w:szCs w:val="28"/>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rPr>
          <w:rFonts w:hAnsi="宋体"/>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5</w:t>
      </w:r>
    </w:p>
    <w:p>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投标人资格审查表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cs="宋体"/>
          <w:color w:val="auto"/>
          <w:kern w:val="0"/>
          <w:szCs w:val="21"/>
          <w:highlight w:val="none"/>
          <w:lang w:eastAsia="zh-CN"/>
        </w:rPr>
        <w:t>城投能源公司消防系统维护保养项目</w:t>
      </w:r>
    </w:p>
    <w:tbl>
      <w:tblPr>
        <w:tblStyle w:val="17"/>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509"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549" w:type="dxa"/>
            <w:vAlign w:val="center"/>
          </w:tcPr>
          <w:p>
            <w:pPr>
              <w:rPr>
                <w:rFonts w:ascii="宋体" w:hAnsi="宋体"/>
                <w:b/>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509"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2</w:t>
            </w:r>
          </w:p>
        </w:tc>
        <w:tc>
          <w:tcPr>
            <w:tcW w:w="6509"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法定代表人证明书原件或法定代表人授权委托书原件</w:t>
            </w:r>
          </w:p>
        </w:tc>
        <w:tc>
          <w:tcPr>
            <w:tcW w:w="1549"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c>
          <w:tcPr>
            <w:tcW w:w="6509" w:type="dxa"/>
            <w:vAlign w:val="center"/>
          </w:tcPr>
          <w:p>
            <w:pPr>
              <w:rPr>
                <w:rFonts w:ascii="宋体" w:hAnsi="宋体" w:cs="宋体"/>
                <w:color w:val="auto"/>
                <w:szCs w:val="21"/>
                <w:highlight w:val="none"/>
              </w:rPr>
            </w:pPr>
            <w:r>
              <w:rPr>
                <w:rFonts w:hint="eastAsia" w:asciiTheme="minorEastAsia" w:hAnsiTheme="minorEastAsia"/>
                <w:color w:val="auto"/>
                <w:sz w:val="24"/>
                <w:szCs w:val="24"/>
                <w:lang w:val="en-US" w:eastAsia="zh-CN"/>
              </w:rPr>
              <w:t>具有在社会消防技术服务信息系统(网址:https://shhxf.119.gov.cn/)登记备案（提供证明，加盖公章）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c>
          <w:tcPr>
            <w:tcW w:w="6509"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投标人近3年内(20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年1月1日至今)</w:t>
            </w:r>
            <w:r>
              <w:rPr>
                <w:rFonts w:hint="eastAsia" w:asciiTheme="minorEastAsia" w:hAnsiTheme="minorEastAsia"/>
                <w:color w:val="auto"/>
                <w:sz w:val="24"/>
                <w:szCs w:val="24"/>
                <w:highlight w:val="none"/>
              </w:rPr>
              <w:t>具有</w:t>
            </w:r>
            <w:r>
              <w:rPr>
                <w:rFonts w:hint="eastAsia" w:asciiTheme="minorEastAsia" w:hAnsiTheme="minorEastAsia"/>
                <w:color w:val="auto"/>
                <w:sz w:val="24"/>
                <w:szCs w:val="24"/>
                <w:highlight w:val="none"/>
                <w:lang w:val="en-US" w:eastAsia="zh-CN"/>
              </w:rPr>
              <w:t>类似消防维保业绩</w:t>
            </w:r>
            <w:r>
              <w:rPr>
                <w:rFonts w:hint="eastAsia" w:asciiTheme="minorEastAsia" w:hAnsiTheme="minorEastAsia"/>
                <w:color w:val="auto"/>
                <w:sz w:val="24"/>
                <w:szCs w:val="24"/>
                <w:highlight w:val="none"/>
              </w:rPr>
              <w:t>，提供合同关键页复印件，包括但不限于项目名称、金额及实施内容、合同盖章、签订日期，加盖单位公章</w:t>
            </w:r>
            <w:r>
              <w:rPr>
                <w:rFonts w:hint="eastAsia" w:ascii="宋体" w:hAnsi="宋体" w:cs="宋体"/>
                <w:color w:val="auto"/>
                <w:szCs w:val="21"/>
                <w:highlight w:val="none"/>
                <w:lang w:eastAsia="zh-CN"/>
              </w:rPr>
              <w:t>。</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p>
        </w:tc>
        <w:tc>
          <w:tcPr>
            <w:tcW w:w="6509"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549" w:type="dxa"/>
            <w:vAlign w:val="center"/>
          </w:tcPr>
          <w:p>
            <w:pPr>
              <w:spacing w:line="360" w:lineRule="auto"/>
              <w:rPr>
                <w:rFonts w:ascii="宋体" w:hAnsi="宋体"/>
                <w:b/>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w:t>
      </w:r>
    </w:p>
    <w:p>
      <w:pPr>
        <w:numPr>
          <w:ilvl w:val="0"/>
          <w:numId w:val="6"/>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6"/>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6"/>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6"/>
        </w:numPr>
        <w:adjustRightInd w:val="0"/>
        <w:snapToGrid w:val="0"/>
        <w:spacing w:line="400" w:lineRule="exact"/>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adjustRightInd w:val="0"/>
        <w:snapToGrid w:val="0"/>
        <w:spacing w:line="400" w:lineRule="exact"/>
        <w:rPr>
          <w:rFonts w:ascii="宋体" w:hAnsi="宋体"/>
          <w:color w:val="auto"/>
          <w:szCs w:val="21"/>
          <w:highlight w:val="none"/>
        </w:rPr>
      </w:pP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rPr>
          <w:rFonts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spacing w:line="400" w:lineRule="exact"/>
        <w:rPr>
          <w:rFonts w:hAnsi="宋体"/>
          <w:color w:val="auto"/>
          <w:szCs w:val="21"/>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6</w:t>
      </w:r>
    </w:p>
    <w:p>
      <w:pPr>
        <w:jc w:val="center"/>
        <w:rPr>
          <w:rFonts w:ascii="宋体" w:hAnsi="宋体" w:cs="宋体"/>
          <w:b/>
          <w:bCs/>
          <w:color w:val="auto"/>
          <w:sz w:val="24"/>
          <w:highlight w:val="none"/>
        </w:rPr>
      </w:pPr>
      <w:r>
        <w:rPr>
          <w:rFonts w:hint="eastAsia" w:ascii="宋体" w:hAnsi="宋体" w:cs="宋体"/>
          <w:b/>
          <w:bCs/>
          <w:color w:val="auto"/>
          <w:sz w:val="36"/>
          <w:szCs w:val="36"/>
          <w:highlight w:val="none"/>
        </w:rPr>
        <w:t>投标文件有效性审查表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bCs/>
          <w:color w:val="auto"/>
          <w:szCs w:val="21"/>
          <w:highlight w:val="none"/>
          <w:lang w:eastAsia="zh-CN"/>
        </w:rPr>
        <w:t>城投能源公司消防系统维护保养项目</w:t>
      </w:r>
    </w:p>
    <w:tbl>
      <w:tblPr>
        <w:tblStyle w:val="17"/>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投标文件按竞选文件规定的格式填写，</w:t>
            </w:r>
            <w:r>
              <w:rPr>
                <w:rFonts w:hint="eastAsia" w:ascii="宋体" w:hAnsi="宋体"/>
                <w:szCs w:val="21"/>
                <w:lang w:val="en-US" w:eastAsia="zh-CN"/>
              </w:rPr>
              <w:t>不存在</w:t>
            </w:r>
            <w:r>
              <w:rPr>
                <w:rFonts w:hint="eastAsia" w:ascii="宋体" w:hAnsi="宋体"/>
                <w:szCs w:val="21"/>
              </w:rPr>
              <w:t>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3</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投标人未被列入“信用中国”网站(www.creditchina.gov.cn)记录失信被执行人名单,须提供“信用中国”网站(www.creditchina.gov.cn)的信用记录查询结果截图或信用信息报告并打印页面加盖公章。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4</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投标人提供：投标人声明没有处于被责令停业或破产状态，且资产未被重组、接管和冻结，声明在投标活动中3年内没有重大违法活动和涉嫌违规行为的文件。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lang w:val="en-US" w:eastAsia="zh-CN"/>
              </w:rPr>
              <w:t>投标文件不存在：</w:t>
            </w: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rFonts w:ascii="宋体" w:hAnsi="宋体"/>
                <w:szCs w:val="21"/>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rFonts w:ascii="宋体" w:hAnsi="宋体"/>
                <w:szCs w:val="21"/>
              </w:rPr>
            </w:pPr>
            <w:r>
              <w:rPr>
                <w:rFonts w:hint="eastAsia" w:ascii="宋体" w:hAnsi="宋体" w:cs="宋体"/>
                <w:szCs w:val="21"/>
              </w:rPr>
              <w:t>投标报价</w:t>
            </w:r>
            <w:r>
              <w:rPr>
                <w:rFonts w:hint="eastAsia" w:ascii="宋体" w:hAnsi="宋体" w:cs="宋体"/>
                <w:szCs w:val="21"/>
                <w:lang w:val="en-US" w:eastAsia="zh-CN"/>
              </w:rPr>
              <w:t>未</w:t>
            </w:r>
            <w:r>
              <w:rPr>
                <w:rFonts w:hint="eastAsia" w:ascii="宋体" w:hAnsi="宋体" w:cs="宋体"/>
                <w:szCs w:val="21"/>
              </w:rPr>
              <w:t>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lang w:val="en-US" w:eastAsia="zh-CN"/>
              </w:rPr>
              <w:t>8</w:t>
            </w:r>
          </w:p>
        </w:tc>
        <w:tc>
          <w:tcPr>
            <w:tcW w:w="6410" w:type="dxa"/>
            <w:shd w:val="clear" w:color="auto" w:fill="auto"/>
            <w:vAlign w:val="center"/>
          </w:tcPr>
          <w:p>
            <w:pPr>
              <w:rPr>
                <w:szCs w:val="21"/>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line="400" w:lineRule="exact"/>
        <w:ind w:firstLine="420" w:firstLineChars="200"/>
        <w:rPr>
          <w:rFonts w:hint="eastAsia"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numPr>
          <w:ilvl w:val="0"/>
          <w:numId w:val="7"/>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7"/>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7"/>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7"/>
        </w:numPr>
        <w:adjustRightInd w:val="0"/>
        <w:snapToGrid w:val="0"/>
        <w:spacing w:line="400" w:lineRule="exact"/>
        <w:ind w:firstLine="424" w:firstLineChars="202"/>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spacing w:line="400" w:lineRule="exact"/>
        <w:ind w:left="420"/>
        <w:rPr>
          <w:rFonts w:ascii="宋体" w:hAnsi="宋体"/>
          <w:bCs/>
          <w:color w:val="auto"/>
          <w:szCs w:val="21"/>
          <w:highlight w:val="none"/>
        </w:rPr>
      </w:pPr>
    </w:p>
    <w:p>
      <w:pPr>
        <w:spacing w:line="400" w:lineRule="exact"/>
        <w:ind w:left="420"/>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ind w:left="420"/>
        <w:rPr>
          <w:rFonts w:hint="eastAsia"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   月   日</w:t>
      </w: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sectPr>
          <w:footerReference r:id="rId3" w:type="default"/>
          <w:pgSz w:w="11906" w:h="16838"/>
          <w:pgMar w:top="1134" w:right="1418" w:bottom="1134" w:left="1418" w:header="851" w:footer="992" w:gutter="0"/>
          <w:cols w:space="720" w:num="1"/>
          <w:docGrid w:type="lines" w:linePitch="312" w:charSpace="0"/>
        </w:sectPr>
      </w:pPr>
    </w:p>
    <w:p>
      <w:pPr>
        <w:pStyle w:val="5"/>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附件7</w:t>
      </w:r>
    </w:p>
    <w:p>
      <w:pPr>
        <w:pStyle w:val="5"/>
        <w:rPr>
          <w:rFonts w:hint="eastAsia" w:asciiTheme="minorEastAsia" w:hAnsiTheme="minorEastAsia" w:eastAsiaTheme="minorEastAsia" w:cstheme="minorEastAsia"/>
          <w:sz w:val="32"/>
          <w:szCs w:val="32"/>
          <w:lang w:val="en-US" w:eastAsia="zh-CN"/>
        </w:rPr>
      </w:pPr>
    </w:p>
    <w:p>
      <w:pPr>
        <w:pStyle w:val="5"/>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投标人声明</w:t>
      </w:r>
    </w:p>
    <w:p>
      <w:pPr>
        <w:pStyle w:val="5"/>
        <w:rPr>
          <w:rFonts w:hint="eastAsia" w:asciiTheme="minorEastAsia" w:hAnsiTheme="minorEastAsia" w:eastAsiaTheme="minorEastAsia" w:cstheme="minorEastAsia"/>
          <w:b/>
          <w:bCs/>
          <w:sz w:val="32"/>
          <w:szCs w:val="32"/>
          <w:lang w:val="en-US" w:eastAsia="zh-CN"/>
        </w:rPr>
      </w:pPr>
    </w:p>
    <w:p>
      <w:pPr>
        <w:pStyle w:val="5"/>
        <w:spacing w:line="360" w:lineRule="auto"/>
        <w:ind w:firstLine="960" w:firstLineChars="3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我司</w:t>
      </w:r>
      <w:r>
        <w:rPr>
          <w:rFonts w:hint="eastAsia" w:asciiTheme="minorEastAsia" w:hAnsiTheme="minorEastAsia" w:eastAsiaTheme="minorEastAsia" w:cstheme="minorEastAsia"/>
          <w:b w:val="0"/>
          <w:bCs w:val="0"/>
          <w:sz w:val="32"/>
          <w:szCs w:val="32"/>
        </w:rPr>
        <w:t>没有处于被责令停业或破产状态，且资产未被重组、接管和冻结，在投标活动中3年内没有重大违法活动和涉嫌违规行为。</w:t>
      </w:r>
    </w:p>
    <w:p>
      <w:pPr>
        <w:pStyle w:val="5"/>
        <w:rPr>
          <w:rFonts w:hint="eastAsia" w:asciiTheme="minorEastAsia" w:hAnsiTheme="minorEastAsia" w:eastAsiaTheme="minorEastAsia" w:cstheme="minorEastAsia"/>
          <w:b/>
          <w:bCs/>
          <w:sz w:val="32"/>
          <w:szCs w:val="32"/>
        </w:rPr>
      </w:pPr>
    </w:p>
    <w:p>
      <w:pPr>
        <w:pStyle w:val="5"/>
        <w:rPr>
          <w:rFonts w:hint="eastAsia" w:asciiTheme="minorEastAsia" w:hAnsiTheme="minorEastAsia" w:eastAsiaTheme="minorEastAsia" w:cstheme="minorEastAsia"/>
          <w:b/>
          <w:bCs/>
          <w:sz w:val="32"/>
          <w:szCs w:val="32"/>
        </w:rPr>
      </w:pPr>
    </w:p>
    <w:p>
      <w:pPr>
        <w:pStyle w:val="5"/>
        <w:rPr>
          <w:rFonts w:hint="eastAsia" w:asciiTheme="minorEastAsia" w:hAnsiTheme="minorEastAsia" w:eastAsiaTheme="minorEastAsia" w:cstheme="minorEastAsia"/>
          <w:b/>
          <w:bCs/>
          <w:sz w:val="32"/>
          <w:szCs w:val="32"/>
        </w:rPr>
      </w:pPr>
    </w:p>
    <w:p>
      <w:pPr>
        <w:pStyle w:val="5"/>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 xml:space="preserve">  公司（公章）</w:t>
      </w:r>
    </w:p>
    <w:p>
      <w:pPr>
        <w:pStyle w:val="5"/>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年  月   日</w:t>
      </w:r>
    </w:p>
    <w:p>
      <w:pPr>
        <w:pStyle w:val="5"/>
        <w:rPr>
          <w:rFonts w:hint="eastAsia" w:asciiTheme="minorEastAsia" w:hAnsiTheme="minorEastAsia" w:eastAsiaTheme="minorEastAsia" w:cstheme="minorEastAsia"/>
          <w:b/>
          <w:bCs/>
          <w:sz w:val="32"/>
          <w:szCs w:val="32"/>
          <w:lang w:val="en-US" w:eastAsia="zh-CN"/>
        </w:rPr>
      </w:pPr>
    </w:p>
    <w:p>
      <w:pPr>
        <w:spacing w:line="400" w:lineRule="exact"/>
        <w:ind w:left="420"/>
        <w:rPr>
          <w:rFonts w:hint="eastAsia" w:ascii="宋体" w:hAnsi="宋体"/>
          <w:color w:val="auto"/>
          <w:szCs w:val="21"/>
          <w:highlight w:val="none"/>
        </w:rPr>
        <w:sectPr>
          <w:pgSz w:w="11906" w:h="16838"/>
          <w:pgMar w:top="1134" w:right="1418" w:bottom="1134" w:left="1418" w:header="851" w:footer="992" w:gutter="0"/>
          <w:cols w:space="720" w:num="1"/>
          <w:docGrid w:type="lines" w:linePitch="312" w:charSpace="0"/>
        </w:sect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0"/>
        <w:rPr>
          <w:rFonts w:hint="eastAsia" w:ascii="宋体" w:hAnsi="宋体" w:cs="Arial"/>
          <w:color w:val="auto"/>
          <w:sz w:val="30"/>
          <w:szCs w:val="30"/>
          <w:highlight w:val="yellow"/>
          <w:lang w:val="en-US" w:eastAsia="zh-CN"/>
        </w:rPr>
      </w:pPr>
      <w:r>
        <w:rPr>
          <w:rFonts w:hint="eastAsia" w:ascii="宋体" w:hAnsi="宋体" w:cs="Arial"/>
          <w:color w:val="auto"/>
          <w:sz w:val="30"/>
          <w:szCs w:val="30"/>
          <w:highlight w:val="none"/>
          <w:lang w:val="en-US" w:eastAsia="zh-CN"/>
        </w:rPr>
        <w:t>附件8</w:t>
      </w:r>
    </w:p>
    <w:p>
      <w:pPr>
        <w:spacing w:line="400" w:lineRule="exact"/>
        <w:ind w:left="0"/>
        <w:jc w:val="center"/>
        <w:rPr>
          <w:rFonts w:hint="eastAsia" w:ascii="宋体" w:hAnsi="宋体" w:cs="Arial"/>
          <w:color w:val="auto"/>
          <w:sz w:val="30"/>
          <w:szCs w:val="30"/>
          <w:highlight w:val="none"/>
          <w:lang w:val="en-US" w:eastAsia="zh-CN"/>
        </w:rPr>
      </w:pPr>
      <w:r>
        <w:rPr>
          <w:rFonts w:hint="eastAsia" w:ascii="宋体" w:hAnsi="宋体" w:cs="Arial"/>
          <w:color w:val="auto"/>
          <w:sz w:val="30"/>
          <w:szCs w:val="30"/>
          <w:highlight w:val="none"/>
          <w:lang w:val="en-US" w:eastAsia="zh-CN"/>
        </w:rPr>
        <w:t>消防图纸（另册）</w:t>
      </w: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p>
    <w:p>
      <w:pPr>
        <w:widowControl/>
        <w:ind w:firstLine="600" w:firstLineChars="200"/>
        <w:jc w:val="left"/>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说明：第1-6页为冷站消防图纸，第7-12页为综合管沟消防图纸，第13-14页为过江隧道消防图纸</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26</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72DE5B4"/>
    <w:multiLevelType w:val="singleLevel"/>
    <w:tmpl w:val="572DE5B4"/>
    <w:lvl w:ilvl="0" w:tentative="0">
      <w:start w:val="1"/>
      <w:numFmt w:val="decimal"/>
      <w:suff w:val="nothing"/>
      <w:lvlText w:val="%1."/>
      <w:lvlJc w:val="left"/>
    </w:lvl>
  </w:abstractNum>
  <w:abstractNum w:abstractNumId="6">
    <w:nsid w:val="58A1B6D2"/>
    <w:multiLevelType w:val="singleLevel"/>
    <w:tmpl w:val="58A1B6D2"/>
    <w:lvl w:ilvl="0" w:tentative="0">
      <w:start w:val="2"/>
      <w:numFmt w:val="decimal"/>
      <w:suff w:val="nothing"/>
      <w:lvlText w:val="%1、"/>
      <w:lvlJc w:val="left"/>
      <w:rPr>
        <w:rFonts w:cs="Times New Roman"/>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0F7025"/>
    <w:rsid w:val="001013A8"/>
    <w:rsid w:val="00105509"/>
    <w:rsid w:val="001300D3"/>
    <w:rsid w:val="00146B63"/>
    <w:rsid w:val="00150E7B"/>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4A4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06EBC"/>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C6CD1"/>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18"/>
    <w:rsid w:val="006567A6"/>
    <w:rsid w:val="00666B5D"/>
    <w:rsid w:val="00690C78"/>
    <w:rsid w:val="00694033"/>
    <w:rsid w:val="006A3B53"/>
    <w:rsid w:val="006B14D1"/>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26F08"/>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D3F0E"/>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418"/>
    <w:rsid w:val="009D042E"/>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0371"/>
    <w:rsid w:val="00AA6E44"/>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28B6"/>
    <w:rsid w:val="00F74258"/>
    <w:rsid w:val="00F91977"/>
    <w:rsid w:val="00FA0034"/>
    <w:rsid w:val="00FB25F3"/>
    <w:rsid w:val="00FC33B2"/>
    <w:rsid w:val="00FC3A89"/>
    <w:rsid w:val="00FD50E2"/>
    <w:rsid w:val="00FE225B"/>
    <w:rsid w:val="01586AB7"/>
    <w:rsid w:val="02B11D60"/>
    <w:rsid w:val="042B4404"/>
    <w:rsid w:val="05F33E19"/>
    <w:rsid w:val="08A607DC"/>
    <w:rsid w:val="11445536"/>
    <w:rsid w:val="13033C28"/>
    <w:rsid w:val="13B94E90"/>
    <w:rsid w:val="16FA62BC"/>
    <w:rsid w:val="19180489"/>
    <w:rsid w:val="1ABE7643"/>
    <w:rsid w:val="214926E0"/>
    <w:rsid w:val="230F7CC1"/>
    <w:rsid w:val="25720196"/>
    <w:rsid w:val="25B9357B"/>
    <w:rsid w:val="3C823756"/>
    <w:rsid w:val="3C9B5EFD"/>
    <w:rsid w:val="3E13186C"/>
    <w:rsid w:val="471A023A"/>
    <w:rsid w:val="489B4841"/>
    <w:rsid w:val="49F31C4D"/>
    <w:rsid w:val="4BB4029A"/>
    <w:rsid w:val="50055DC9"/>
    <w:rsid w:val="5F541C1B"/>
    <w:rsid w:val="5FA63A90"/>
    <w:rsid w:val="656F3231"/>
    <w:rsid w:val="68CF3EB1"/>
    <w:rsid w:val="697F115B"/>
    <w:rsid w:val="6AB5708C"/>
    <w:rsid w:val="710C628C"/>
    <w:rsid w:val="722A7097"/>
    <w:rsid w:val="775E28B1"/>
    <w:rsid w:val="796C3466"/>
    <w:rsid w:val="7AE054DD"/>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4">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nhideWhenUsed/>
    <w:qFormat/>
    <w:uiPriority w:val="99"/>
    <w:rPr>
      <w:b/>
      <w:bCs/>
    </w:rPr>
  </w:style>
  <w:style w:type="paragraph" w:styleId="4">
    <w:name w:val="annotation text"/>
    <w:basedOn w:val="1"/>
    <w:link w:val="27"/>
    <w:semiHidden/>
    <w:unhideWhenUsed/>
    <w:qFormat/>
    <w:uiPriority w:val="99"/>
    <w:pPr>
      <w:jc w:val="left"/>
    </w:pPr>
  </w:style>
  <w:style w:type="paragraph" w:styleId="5">
    <w:name w:val="Normal Indent"/>
    <w:basedOn w:val="1"/>
    <w:qFormat/>
    <w:uiPriority w:val="0"/>
    <w:pPr>
      <w:ind w:firstLine="420"/>
    </w:pPr>
    <w:rPr>
      <w:szCs w:val="20"/>
    </w:rPr>
  </w:style>
  <w:style w:type="paragraph" w:styleId="6">
    <w:name w:val="Closing"/>
    <w:basedOn w:val="1"/>
    <w:qFormat/>
    <w:uiPriority w:val="0"/>
    <w:pPr>
      <w:ind w:left="100" w:leftChars="2100"/>
    </w:pPr>
    <w:rPr>
      <w:rFonts w:ascii="宋体"/>
      <w:sz w:val="24"/>
    </w:rPr>
  </w:style>
  <w:style w:type="paragraph" w:styleId="7">
    <w:name w:val="Body Text"/>
    <w:basedOn w:val="1"/>
    <w:next w:val="1"/>
    <w:unhideWhenUsed/>
    <w:qFormat/>
    <w:uiPriority w:val="99"/>
    <w:pPr>
      <w:spacing w:after="120"/>
    </w:pPr>
  </w:style>
  <w:style w:type="paragraph" w:styleId="8">
    <w:name w:val="Body Text Indent"/>
    <w:basedOn w:val="1"/>
    <w:link w:val="32"/>
    <w:qFormat/>
    <w:uiPriority w:val="0"/>
    <w:pPr>
      <w:spacing w:after="120"/>
      <w:ind w:left="420" w:leftChars="200"/>
    </w:pPr>
    <w:rPr>
      <w:rFonts w:ascii="Calibri" w:hAnsi="Calibri"/>
      <w:szCs w:val="22"/>
    </w:rPr>
  </w:style>
  <w:style w:type="paragraph" w:styleId="9">
    <w:name w:val="Plain Text"/>
    <w:basedOn w:val="1"/>
    <w:link w:val="26"/>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0">
    <w:name w:val="Balloon Text"/>
    <w:basedOn w:val="1"/>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纯文本1"/>
    <w:basedOn w:val="1"/>
    <w:qFormat/>
    <w:uiPriority w:val="0"/>
    <w:pPr>
      <w:widowControl/>
      <w:jc w:val="left"/>
    </w:pPr>
    <w:rPr>
      <w:rFonts w:ascii="宋体" w:hAnsi="Courier New" w:eastAsia="微软雅黑"/>
      <w:kern w:val="0"/>
      <w:sz w:val="20"/>
      <w:szCs w:val="21"/>
    </w:rPr>
  </w:style>
  <w:style w:type="paragraph" w:customStyle="1" w:styleId="20">
    <w:name w:val="1_0"/>
    <w:basedOn w:val="1"/>
    <w:next w:val="19"/>
    <w:qFormat/>
    <w:uiPriority w:val="0"/>
    <w:rPr>
      <w:rFonts w:ascii="宋体" w:hAnsi="Courier New"/>
      <w:szCs w:val="22"/>
    </w:rPr>
  </w:style>
  <w:style w:type="paragraph" w:customStyle="1" w:styleId="21">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2">
    <w:name w:val="页脚 Char"/>
    <w:link w:val="11"/>
    <w:qFormat/>
    <w:uiPriority w:val="99"/>
    <w:rPr>
      <w:kern w:val="2"/>
      <w:sz w:val="18"/>
      <w:szCs w:val="18"/>
    </w:rPr>
  </w:style>
  <w:style w:type="character" w:customStyle="1" w:styleId="23">
    <w:name w:val="apple-style-span"/>
    <w:basedOn w:val="14"/>
    <w:qFormat/>
    <w:uiPriority w:val="0"/>
  </w:style>
  <w:style w:type="character" w:customStyle="1" w:styleId="24">
    <w:name w:val="页眉 Char"/>
    <w:link w:val="12"/>
    <w:qFormat/>
    <w:uiPriority w:val="0"/>
    <w:rPr>
      <w:kern w:val="2"/>
      <w:sz w:val="18"/>
      <w:szCs w:val="18"/>
    </w:rPr>
  </w:style>
  <w:style w:type="character" w:customStyle="1" w:styleId="25">
    <w:name w:val="style141"/>
    <w:qFormat/>
    <w:uiPriority w:val="0"/>
    <w:rPr>
      <w:rFonts w:hint="eastAsia" w:ascii="宋体" w:hAnsi="宋体" w:eastAsia="宋体"/>
      <w:sz w:val="18"/>
      <w:szCs w:val="18"/>
    </w:rPr>
  </w:style>
  <w:style w:type="character" w:customStyle="1" w:styleId="26">
    <w:name w:val="纯文本 Char"/>
    <w:basedOn w:val="14"/>
    <w:link w:val="9"/>
    <w:qFormat/>
    <w:uiPriority w:val="0"/>
    <w:rPr>
      <w:rFonts w:ascii="宋体" w:hAnsi="Courier New" w:eastAsia="微软雅黑" w:cs="Courier New"/>
      <w:sz w:val="22"/>
      <w:szCs w:val="21"/>
    </w:rPr>
  </w:style>
  <w:style w:type="character" w:customStyle="1" w:styleId="27">
    <w:name w:val="批注文字 Char"/>
    <w:basedOn w:val="14"/>
    <w:link w:val="4"/>
    <w:semiHidden/>
    <w:qFormat/>
    <w:uiPriority w:val="99"/>
    <w:rPr>
      <w:kern w:val="2"/>
      <w:sz w:val="21"/>
      <w:szCs w:val="24"/>
    </w:rPr>
  </w:style>
  <w:style w:type="character" w:customStyle="1" w:styleId="28">
    <w:name w:val="批注主题 Char"/>
    <w:basedOn w:val="27"/>
    <w:link w:val="3"/>
    <w:semiHidden/>
    <w:qFormat/>
    <w:uiPriority w:val="99"/>
    <w:rPr>
      <w:b/>
      <w:bCs/>
      <w:kern w:val="2"/>
      <w:sz w:val="21"/>
      <w:szCs w:val="24"/>
    </w:rPr>
  </w:style>
  <w:style w:type="paragraph" w:styleId="29">
    <w:name w:val="List Paragraph"/>
    <w:basedOn w:val="1"/>
    <w:qFormat/>
    <w:uiPriority w:val="34"/>
    <w:pPr>
      <w:ind w:firstLine="420" w:firstLineChars="200"/>
    </w:pPr>
  </w:style>
  <w:style w:type="character" w:customStyle="1" w:styleId="30">
    <w:name w:val="标题 1 Char"/>
    <w:basedOn w:val="14"/>
    <w:link w:val="2"/>
    <w:qFormat/>
    <w:uiPriority w:val="9"/>
    <w:rPr>
      <w:rFonts w:ascii="宋体" w:hAnsi="宋体"/>
      <w:b/>
      <w:bCs/>
      <w:snapToGrid w:val="0"/>
      <w:kern w:val="44"/>
      <w:sz w:val="48"/>
      <w:szCs w:val="48"/>
    </w:rPr>
  </w:style>
  <w:style w:type="character" w:customStyle="1" w:styleId="31">
    <w:name w:val="font01"/>
    <w:basedOn w:val="14"/>
    <w:qFormat/>
    <w:uiPriority w:val="0"/>
    <w:rPr>
      <w:rFonts w:hint="eastAsia" w:ascii="宋体" w:hAnsi="宋体" w:eastAsia="宋体" w:cs="宋体"/>
      <w:color w:val="000000"/>
      <w:sz w:val="22"/>
      <w:szCs w:val="22"/>
      <w:u w:val="none"/>
      <w:vertAlign w:val="superscript"/>
    </w:rPr>
  </w:style>
  <w:style w:type="character" w:customStyle="1" w:styleId="32">
    <w:name w:val="正文文本缩进 Char"/>
    <w:basedOn w:val="14"/>
    <w:link w:val="8"/>
    <w:qFormat/>
    <w:uiPriority w:val="0"/>
    <w:rPr>
      <w:rFonts w:ascii="Calibri" w:hAnsi="Calibri"/>
      <w:kern w:val="2"/>
      <w:sz w:val="21"/>
      <w:szCs w:val="22"/>
    </w:rPr>
  </w:style>
  <w:style w:type="paragraph" w:customStyle="1" w:styleId="3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29</Pages>
  <Words>2362</Words>
  <Characters>13465</Characters>
  <Lines>112</Lines>
  <Paragraphs>31</Paragraphs>
  <TotalTime>16</TotalTime>
  <ScaleCrop>false</ScaleCrop>
  <LinksUpToDate>false</LinksUpToDate>
  <CharactersWithSpaces>15796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2025-06-05T01:56:03Z</dcterms:modified>
  <dc:title>广州大学城投资经营管理有限公司</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