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28"/>
          <w:lang w:eastAsia="zh-CN"/>
        </w:rPr>
      </w:pPr>
      <w:bookmarkStart w:id="0" w:name="_Hlk102747051"/>
      <w:bookmarkEnd w:id="0"/>
      <w:r>
        <w:rPr>
          <w:rFonts w:hint="eastAsia"/>
          <w:b/>
          <w:sz w:val="28"/>
          <w:szCs w:val="28"/>
          <w:lang w:eastAsia="zh-CN"/>
        </w:rPr>
        <w:t>广州城投综合能源投资经营管理有限公司</w:t>
      </w:r>
    </w:p>
    <w:p>
      <w:pPr>
        <w:spacing w:before="0" w:beforeLines="-2147483648" w:after="0" w:afterLines="-2147483648" w:line="360" w:lineRule="auto"/>
        <w:jc w:val="center"/>
        <w:rPr>
          <w:rFonts w:hint="eastAsia" w:eastAsia="宋体"/>
          <w:b/>
          <w:sz w:val="28"/>
          <w:szCs w:val="28"/>
          <w:lang w:eastAsia="zh-CN"/>
        </w:rPr>
      </w:pPr>
      <w:r>
        <w:rPr>
          <w:rFonts w:hint="eastAsia"/>
          <w:b/>
          <w:sz w:val="28"/>
          <w:szCs w:val="28"/>
          <w:lang w:eastAsia="zh-CN"/>
        </w:rPr>
        <w:t>2024年冬季检修外管网隔离改造工程</w:t>
      </w: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ascii="宋体"/>
          <w:sz w:val="24"/>
          <w:lang w:eastAsia="zh-CN"/>
        </w:rPr>
        <w:t>2024年冬季检修外管网隔离改造工程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项目地点：广州番禺区大学城</w:t>
      </w:r>
    </w:p>
    <w:p>
      <w:pPr>
        <w:numPr>
          <w:ilvl w:val="0"/>
          <w:numId w:val="2"/>
        </w:numPr>
        <w:spacing w:before="120" w:beforeLines="50" w:after="120" w:afterLines="50" w:line="360" w:lineRule="auto"/>
        <w:ind w:left="0" w:firstLine="480" w:firstLineChars="200"/>
        <w:rPr>
          <w:sz w:val="24"/>
        </w:rPr>
      </w:pPr>
      <w:r>
        <w:rPr>
          <w:rFonts w:hint="eastAsia"/>
          <w:sz w:val="24"/>
        </w:rPr>
        <w:t>采购限价：人民币</w:t>
      </w:r>
      <w:r>
        <w:rPr>
          <w:rFonts w:hint="eastAsia"/>
          <w:sz w:val="24"/>
          <w:lang w:val="en-US" w:eastAsia="zh-CN"/>
        </w:rPr>
        <w:t>16</w:t>
      </w:r>
      <w:r>
        <w:rPr>
          <w:rFonts w:hint="eastAsia"/>
          <w:sz w:val="24"/>
        </w:rPr>
        <w:t>万元（投标报价超过采购限价为无效投标）。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line="440" w:lineRule="exact"/>
        <w:ind w:firstLine="480" w:firstLineChars="2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我司冷冻水管网运行已超20年，外管网已出现多处排污管锈蚀存在漏水风险，手动阀出现内漏导致无法分区隔断或造成各冷站间窜水，影响冷站运行等情况。为保证冷站供冷质量及后续管网的安全稳定运行，有必要在冬季利用停冷期间，对管网放水，对存在内漏手动阀进行更换，便于各区域的隔离检修及解决各冷站间串水的问题；对已锈蚀严重的存在漏水风险的排污管、排气管进行更换或封堵，减少外管网泄漏的风险。</w:t>
      </w:r>
    </w:p>
    <w:p>
      <w:pPr>
        <w:pStyle w:val="2"/>
        <w:rPr>
          <w:rFonts w:hint="default"/>
          <w:lang w:val="en-US" w:eastAsia="zh-CN"/>
        </w:rPr>
      </w:pP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必须是具有独立承担民事责任能力的在中华人民共和国境内注册的法人，具备有效的工商营业执照、企业法人组织机构代码证书、税务登记证书（或三证合一），按国家法律经营；</w:t>
      </w:r>
    </w:p>
    <w:p>
      <w:pPr>
        <w:pStyle w:val="36"/>
        <w:numPr>
          <w:ilvl w:val="0"/>
          <w:numId w:val="3"/>
        </w:numPr>
        <w:spacing w:before="120" w:beforeLines="50" w:after="120" w:afterLines="50" w:line="360" w:lineRule="auto"/>
        <w:ind w:left="0" w:firstLine="480"/>
        <w:rPr>
          <w:rFonts w:ascii="宋体" w:hAnsi="宋体"/>
          <w:sz w:val="24"/>
        </w:rPr>
      </w:pPr>
      <w:bookmarkStart w:id="1" w:name="OLE_LINK1"/>
      <w:r>
        <w:rPr>
          <w:rFonts w:hint="eastAsia" w:ascii="宋体" w:hAnsi="宋体"/>
          <w:sz w:val="24"/>
        </w:rPr>
        <w:t>投标人未被列入“信用中国”网站(www.creditchina.gov.cn)记录失信被执行人名单,须提供“信用中国”网站(www.creditchina.gov.cn)的信用记录查询结果截图或信用信息报告并打印页面加盖公章</w:t>
      </w:r>
      <w:bookmarkEnd w:id="1"/>
      <w:r>
        <w:rPr>
          <w:rFonts w:hint="eastAsia" w:ascii="宋体" w:hAnsi="宋体"/>
          <w:sz w:val="24"/>
          <w:lang w:eastAsia="zh-CN"/>
        </w:rPr>
        <w:t>；</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投标人声明：没有处于被责令停业或破产状态，且资产未被重组、接管和冻结，声明在投标活动中3 年内没有重大违法活动和涉嫌违规行为。(</w:t>
      </w:r>
      <w:r>
        <w:rPr>
          <w:rFonts w:hint="eastAsia" w:ascii="宋体" w:hAnsi="宋体"/>
          <w:sz w:val="24"/>
          <w:lang w:val="en-US" w:eastAsia="zh-CN"/>
        </w:rPr>
        <w:t>见附件7</w:t>
      </w:r>
      <w:r>
        <w:rPr>
          <w:rFonts w:hint="eastAsia" w:ascii="宋体" w:hAnsi="宋体"/>
          <w:sz w:val="24"/>
        </w:rPr>
        <w:t>)</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具有机电工程施工总承包叁级及以上资质；或具有建筑机电安装工程专业承包叁级及以上资质</w:t>
      </w:r>
      <w:r>
        <w:rPr>
          <w:rFonts w:hint="eastAsia"/>
          <w:sz w:val="24"/>
          <w:lang w:eastAsia="zh-CN"/>
        </w:rPr>
        <w:t>；</w:t>
      </w:r>
      <w:r>
        <w:rPr>
          <w:rFonts w:hint="eastAsia"/>
          <w:sz w:val="24"/>
        </w:rPr>
        <w:t>或具有市政公用工程施工总承包叁级及以上资质；</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投标人近3年内(2021年1月1日至今)完成过类似项目业绩（需提供合同等相关证明材料复印件；</w:t>
      </w:r>
    </w:p>
    <w:p>
      <w:pPr>
        <w:pStyle w:val="36"/>
        <w:numPr>
          <w:ilvl w:val="0"/>
          <w:numId w:val="3"/>
        </w:numPr>
        <w:spacing w:before="120" w:beforeLines="50" w:after="120" w:afterLines="50" w:line="360" w:lineRule="auto"/>
        <w:ind w:left="0" w:firstLine="480"/>
        <w:rPr>
          <w:rFonts w:ascii="宋体" w:hAnsi="宋体"/>
          <w:sz w:val="24"/>
        </w:rPr>
      </w:pPr>
      <w:r>
        <w:rPr>
          <w:rFonts w:hint="eastAsia" w:ascii="宋体" w:hAnsi="宋体"/>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项目工作范围</w:t>
      </w:r>
    </w:p>
    <w:p>
      <w:pPr>
        <w:numPr>
          <w:ilvl w:val="0"/>
          <w:numId w:val="4"/>
        </w:numPr>
        <w:spacing w:line="440" w:lineRule="exact"/>
        <w:ind w:firstLine="960" w:firstLineChars="40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工作范围</w:t>
      </w:r>
    </w:p>
    <w:tbl>
      <w:tblPr>
        <w:tblStyle w:val="24"/>
        <w:tblW w:w="102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10"/>
        <w:gridCol w:w="1898"/>
        <w:gridCol w:w="2422"/>
        <w:gridCol w:w="785"/>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37"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10"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施工地点</w:t>
            </w:r>
          </w:p>
        </w:tc>
        <w:tc>
          <w:tcPr>
            <w:tcW w:w="1898" w:type="dxa"/>
            <w:vAlign w:val="center"/>
          </w:tcPr>
          <w:p>
            <w:pPr>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详细位置</w:t>
            </w:r>
          </w:p>
        </w:tc>
        <w:tc>
          <w:tcPr>
            <w:tcW w:w="2422"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工作范围</w:t>
            </w:r>
          </w:p>
        </w:tc>
        <w:tc>
          <w:tcPr>
            <w:tcW w:w="785" w:type="dxa"/>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3201"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spacing w:line="360" w:lineRule="auto"/>
              <w:jc w:val="center"/>
              <w:rPr>
                <w:rFonts w:hint="eastAsia" w:asciiTheme="minorEastAsia" w:hAnsiTheme="minorEastAsia" w:eastAsiaTheme="minorEastAsia" w:cstheme="minorEastAsia"/>
                <w:sz w:val="24"/>
              </w:rPr>
            </w:pPr>
          </w:p>
        </w:tc>
        <w:tc>
          <w:tcPr>
            <w:tcW w:w="1210"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4#冷站</w:t>
            </w:r>
          </w:p>
        </w:tc>
        <w:tc>
          <w:tcPr>
            <w:tcW w:w="1898" w:type="dxa"/>
            <w:vAlign w:val="center"/>
          </w:tcPr>
          <w:p>
            <w:pPr>
              <w:spacing w:line="360" w:lineRule="auto"/>
              <w:jc w:val="left"/>
              <w:rPr>
                <w:rFonts w:hint="eastAsia" w:asciiTheme="minorEastAsia" w:hAnsiTheme="minorEastAsia" w:eastAsiaTheme="minorEastAsia" w:cstheme="minorEastAsia"/>
                <w:sz w:val="24"/>
              </w:rPr>
            </w:pPr>
          </w:p>
        </w:tc>
        <w:tc>
          <w:tcPr>
            <w:tcW w:w="2422" w:type="dxa"/>
            <w:vAlign w:val="center"/>
          </w:tcPr>
          <w:p>
            <w:pPr>
              <w:spacing w:line="360" w:lineRule="auto"/>
              <w:jc w:val="left"/>
              <w:rPr>
                <w:rFonts w:hint="eastAsia" w:asciiTheme="minorEastAsia" w:hAnsiTheme="minorEastAsia" w:eastAsiaTheme="minorEastAsia" w:cstheme="minorEastAsia"/>
                <w:sz w:val="24"/>
              </w:rPr>
            </w:pPr>
          </w:p>
        </w:tc>
        <w:tc>
          <w:tcPr>
            <w:tcW w:w="785" w:type="dxa"/>
            <w:vAlign w:val="center"/>
          </w:tcPr>
          <w:p>
            <w:pPr>
              <w:spacing w:line="360" w:lineRule="auto"/>
              <w:jc w:val="center"/>
              <w:rPr>
                <w:rFonts w:hint="eastAsia" w:asciiTheme="minorEastAsia" w:hAnsiTheme="minorEastAsia" w:eastAsiaTheme="minorEastAsia" w:cstheme="minorEastAsia"/>
                <w:sz w:val="24"/>
              </w:rPr>
            </w:pPr>
          </w:p>
        </w:tc>
        <w:tc>
          <w:tcPr>
            <w:tcW w:w="3201"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1</w:t>
            </w: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内环路</w:t>
            </w:r>
          </w:p>
        </w:tc>
        <w:tc>
          <w:tcPr>
            <w:tcW w:w="1898" w:type="dxa"/>
            <w:vAlign w:val="center"/>
          </w:tcPr>
          <w:p>
            <w:pPr>
              <w:spacing w:line="360" w:lineRule="auto"/>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枢纽楼北侧</w:t>
            </w:r>
          </w:p>
        </w:tc>
        <w:tc>
          <w:tcPr>
            <w:tcW w:w="2422"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4SN01-500阀门井内供、回水阀门更换</w:t>
            </w:r>
          </w:p>
        </w:tc>
        <w:tc>
          <w:tcPr>
            <w:tcW w:w="785"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3201"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拆除原有DN500阀门，更换新阀门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2</w:t>
            </w: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广工一路</w:t>
            </w:r>
          </w:p>
        </w:tc>
        <w:tc>
          <w:tcPr>
            <w:tcW w:w="1898" w:type="dxa"/>
            <w:vAlign w:val="center"/>
          </w:tcPr>
          <w:p>
            <w:pPr>
              <w:spacing w:line="360" w:lineRule="auto"/>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广工一路公交站附近</w:t>
            </w:r>
          </w:p>
        </w:tc>
        <w:tc>
          <w:tcPr>
            <w:tcW w:w="2422"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4SZ03-25阀门井排气管</w:t>
            </w:r>
            <w:r>
              <w:rPr>
                <w:rFonts w:hint="eastAsia" w:asciiTheme="minorEastAsia" w:hAnsiTheme="minorEastAsia" w:cstheme="minorEastAsia"/>
                <w:sz w:val="24"/>
                <w:lang w:val="en-US" w:eastAsia="zh-CN"/>
              </w:rPr>
              <w:t>更换</w:t>
            </w:r>
          </w:p>
        </w:tc>
        <w:tc>
          <w:tcPr>
            <w:tcW w:w="785"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3201" w:type="dxa"/>
            <w:vAlign w:val="center"/>
          </w:tcPr>
          <w:p>
            <w:pPr>
              <w:spacing w:line="360" w:lineRule="auto"/>
              <w:jc w:val="left"/>
              <w:rPr>
                <w:rFonts w:hint="eastAsia" w:asciiTheme="minorEastAsia" w:hAnsiTheme="minorEastAsia" w:eastAsiaTheme="minorEastAsia" w:cstheme="minorEastAsia"/>
                <w:sz w:val="24"/>
              </w:rPr>
            </w:pPr>
            <w:r>
              <w:rPr>
                <w:rFonts w:hint="eastAsia" w:ascii="宋体" w:hAnsi="宋体" w:eastAsia="宋体" w:cs="宋体"/>
                <w:sz w:val="24"/>
              </w:rPr>
              <w:t>开挖，更换主管至排</w:t>
            </w:r>
            <w:r>
              <w:rPr>
                <w:rFonts w:hint="eastAsia" w:ascii="宋体" w:hAnsi="宋体" w:eastAsia="宋体" w:cs="宋体"/>
                <w:sz w:val="24"/>
                <w:lang w:val="en-US" w:eastAsia="zh-CN"/>
              </w:rPr>
              <w:t>气</w:t>
            </w:r>
            <w:r>
              <w:rPr>
                <w:rFonts w:hint="eastAsia" w:ascii="宋体" w:hAnsi="宋体" w:eastAsia="宋体" w:cs="宋体"/>
                <w:sz w:val="24"/>
              </w:rPr>
              <w:t>井的排</w:t>
            </w:r>
            <w:r>
              <w:rPr>
                <w:rFonts w:hint="eastAsia" w:ascii="宋体" w:hAnsi="宋体" w:eastAsia="宋体" w:cs="宋体"/>
                <w:sz w:val="24"/>
                <w:lang w:val="en-US" w:eastAsia="zh-CN"/>
              </w:rPr>
              <w:t>气</w:t>
            </w:r>
            <w:r>
              <w:rPr>
                <w:rFonts w:hint="eastAsia" w:ascii="宋体" w:hAnsi="宋体" w:eastAsia="宋体" w:cs="宋体"/>
                <w:sz w:val="24"/>
              </w:rPr>
              <w:t>管、排</w:t>
            </w:r>
            <w:r>
              <w:rPr>
                <w:rFonts w:hint="eastAsia" w:ascii="宋体" w:hAnsi="宋体" w:eastAsia="宋体" w:cs="宋体"/>
                <w:sz w:val="24"/>
                <w:lang w:val="en-US" w:eastAsia="zh-CN"/>
              </w:rPr>
              <w:t>气</w:t>
            </w:r>
            <w:r>
              <w:rPr>
                <w:rFonts w:hint="eastAsia" w:ascii="宋体" w:hAnsi="宋体" w:eastAsia="宋体" w:cs="宋体"/>
                <w:sz w:val="24"/>
              </w:rPr>
              <w:t>阀，</w:t>
            </w:r>
            <w:r>
              <w:rPr>
                <w:rFonts w:hint="eastAsia" w:asciiTheme="minorEastAsia" w:hAnsiTheme="minorEastAsia" w:eastAsiaTheme="minorEastAsia" w:cstheme="minorEastAsia"/>
                <w:sz w:val="24"/>
              </w:rPr>
              <w:t>保温，</w:t>
            </w:r>
            <w:r>
              <w:rPr>
                <w:rFonts w:hint="eastAsia" w:ascii="宋体" w:hAnsi="宋体" w:eastAsia="宋体" w:cs="宋体"/>
                <w:sz w:val="24"/>
              </w:rPr>
              <w:t>回填，恢复路面/绿化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3</w:t>
            </w: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中环路</w:t>
            </w:r>
          </w:p>
        </w:tc>
        <w:tc>
          <w:tcPr>
            <w:tcW w:w="1898" w:type="dxa"/>
            <w:vAlign w:val="center"/>
          </w:tcPr>
          <w:p>
            <w:pPr>
              <w:spacing w:line="360" w:lineRule="auto"/>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中环路与广工一路十字路口</w:t>
            </w:r>
          </w:p>
        </w:tc>
        <w:tc>
          <w:tcPr>
            <w:tcW w:w="2422"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4SZ04-150阀门井排污管拆除封堵</w:t>
            </w:r>
          </w:p>
        </w:tc>
        <w:tc>
          <w:tcPr>
            <w:tcW w:w="785"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3201"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开挖主管，切断排污管，封堵，保温，回填，恢复路面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4</w:t>
            </w: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内环路</w:t>
            </w:r>
          </w:p>
        </w:tc>
        <w:tc>
          <w:tcPr>
            <w:tcW w:w="1898" w:type="dxa"/>
            <w:vAlign w:val="center"/>
          </w:tcPr>
          <w:p>
            <w:pPr>
              <w:spacing w:line="360" w:lineRule="auto"/>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内环路中心南大街公交站附近</w:t>
            </w:r>
          </w:p>
        </w:tc>
        <w:tc>
          <w:tcPr>
            <w:tcW w:w="2422"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4SZ07-150阀门井排污管拆除封堵</w:t>
            </w:r>
          </w:p>
        </w:tc>
        <w:tc>
          <w:tcPr>
            <w:tcW w:w="785"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3201"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开挖主管，切断排污管，封堵，保温，回填，恢复绿化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5</w:t>
            </w: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内环路</w:t>
            </w:r>
          </w:p>
        </w:tc>
        <w:tc>
          <w:tcPr>
            <w:tcW w:w="1898" w:type="dxa"/>
            <w:vAlign w:val="center"/>
          </w:tcPr>
          <w:p>
            <w:pPr>
              <w:spacing w:line="360" w:lineRule="auto"/>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内环路（南二路公园附近）</w:t>
            </w:r>
          </w:p>
        </w:tc>
        <w:tc>
          <w:tcPr>
            <w:tcW w:w="2422"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4SZ08-25阀门井排气管</w:t>
            </w:r>
            <w:r>
              <w:rPr>
                <w:rFonts w:hint="eastAsia" w:asciiTheme="minorEastAsia" w:hAnsiTheme="minorEastAsia" w:cstheme="minorEastAsia"/>
                <w:sz w:val="24"/>
                <w:lang w:val="en-US" w:eastAsia="zh-CN"/>
              </w:rPr>
              <w:t>更换</w:t>
            </w:r>
          </w:p>
        </w:tc>
        <w:tc>
          <w:tcPr>
            <w:tcW w:w="785"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3201" w:type="dxa"/>
            <w:vAlign w:val="center"/>
          </w:tcPr>
          <w:p>
            <w:pPr>
              <w:spacing w:line="360" w:lineRule="auto"/>
              <w:jc w:val="left"/>
              <w:rPr>
                <w:rFonts w:hint="eastAsia" w:asciiTheme="minorEastAsia" w:hAnsiTheme="minorEastAsia" w:eastAsiaTheme="minorEastAsia" w:cstheme="minorEastAsia"/>
                <w:sz w:val="24"/>
              </w:rPr>
            </w:pPr>
            <w:r>
              <w:rPr>
                <w:rFonts w:hint="eastAsia" w:ascii="宋体" w:hAnsi="宋体" w:eastAsia="宋体" w:cs="宋体"/>
                <w:sz w:val="24"/>
              </w:rPr>
              <w:t>开挖，更换主管至排</w:t>
            </w:r>
            <w:r>
              <w:rPr>
                <w:rFonts w:hint="eastAsia" w:ascii="宋体" w:hAnsi="宋体" w:eastAsia="宋体" w:cs="宋体"/>
                <w:sz w:val="24"/>
                <w:lang w:val="en-US" w:eastAsia="zh-CN"/>
              </w:rPr>
              <w:t>气</w:t>
            </w:r>
            <w:r>
              <w:rPr>
                <w:rFonts w:hint="eastAsia" w:ascii="宋体" w:hAnsi="宋体" w:eastAsia="宋体" w:cs="宋体"/>
                <w:sz w:val="24"/>
              </w:rPr>
              <w:t>井的排</w:t>
            </w:r>
            <w:r>
              <w:rPr>
                <w:rFonts w:hint="eastAsia" w:ascii="宋体" w:hAnsi="宋体" w:eastAsia="宋体" w:cs="宋体"/>
                <w:sz w:val="24"/>
                <w:lang w:val="en-US" w:eastAsia="zh-CN"/>
              </w:rPr>
              <w:t>气</w:t>
            </w:r>
            <w:r>
              <w:rPr>
                <w:rFonts w:hint="eastAsia" w:ascii="宋体" w:hAnsi="宋体" w:eastAsia="宋体" w:cs="宋体"/>
                <w:sz w:val="24"/>
              </w:rPr>
              <w:t>管、排</w:t>
            </w:r>
            <w:r>
              <w:rPr>
                <w:rFonts w:hint="eastAsia" w:ascii="宋体" w:hAnsi="宋体" w:eastAsia="宋体" w:cs="宋体"/>
                <w:sz w:val="24"/>
                <w:lang w:val="en-US" w:eastAsia="zh-CN"/>
              </w:rPr>
              <w:t>气</w:t>
            </w:r>
            <w:r>
              <w:rPr>
                <w:rFonts w:hint="eastAsia" w:ascii="宋体" w:hAnsi="宋体" w:eastAsia="宋体" w:cs="宋体"/>
                <w:sz w:val="24"/>
              </w:rPr>
              <w:t>阀，</w:t>
            </w:r>
            <w:r>
              <w:rPr>
                <w:rFonts w:hint="eastAsia" w:asciiTheme="minorEastAsia" w:hAnsiTheme="minorEastAsia" w:eastAsiaTheme="minorEastAsia" w:cstheme="minorEastAsia"/>
                <w:sz w:val="24"/>
              </w:rPr>
              <w:t>保温，</w:t>
            </w:r>
            <w:r>
              <w:rPr>
                <w:rFonts w:hint="eastAsia" w:ascii="宋体" w:hAnsi="宋体" w:eastAsia="宋体" w:cs="宋体"/>
                <w:sz w:val="24"/>
              </w:rPr>
              <w:t>回填，恢复绿化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rPr>
            </w:pP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2#冷站</w:t>
            </w:r>
          </w:p>
        </w:tc>
        <w:tc>
          <w:tcPr>
            <w:tcW w:w="1898" w:type="dxa"/>
            <w:vAlign w:val="center"/>
          </w:tcPr>
          <w:p>
            <w:pPr>
              <w:spacing w:line="360" w:lineRule="auto"/>
              <w:jc w:val="left"/>
              <w:rPr>
                <w:rFonts w:hint="eastAsia" w:asciiTheme="minorEastAsia" w:hAnsiTheme="minorEastAsia" w:eastAsiaTheme="minorEastAsia" w:cstheme="minorEastAsia"/>
                <w:sz w:val="24"/>
              </w:rPr>
            </w:pPr>
          </w:p>
        </w:tc>
        <w:tc>
          <w:tcPr>
            <w:tcW w:w="2422" w:type="dxa"/>
            <w:vAlign w:val="center"/>
          </w:tcPr>
          <w:p>
            <w:pPr>
              <w:spacing w:line="360" w:lineRule="auto"/>
              <w:jc w:val="left"/>
              <w:rPr>
                <w:rFonts w:hint="eastAsia" w:asciiTheme="minorEastAsia" w:hAnsiTheme="minorEastAsia" w:eastAsiaTheme="minorEastAsia" w:cstheme="minorEastAsia"/>
                <w:sz w:val="24"/>
              </w:rPr>
            </w:pPr>
          </w:p>
        </w:tc>
        <w:tc>
          <w:tcPr>
            <w:tcW w:w="785" w:type="dxa"/>
            <w:vAlign w:val="center"/>
          </w:tcPr>
          <w:p>
            <w:pPr>
              <w:spacing w:line="360" w:lineRule="auto"/>
              <w:jc w:val="center"/>
              <w:rPr>
                <w:rFonts w:hint="eastAsia" w:asciiTheme="minorEastAsia" w:hAnsiTheme="minorEastAsia" w:eastAsiaTheme="minorEastAsia" w:cstheme="minorEastAsia"/>
                <w:sz w:val="24"/>
              </w:rPr>
            </w:pPr>
          </w:p>
        </w:tc>
        <w:tc>
          <w:tcPr>
            <w:tcW w:w="3201"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6</w:t>
            </w:r>
          </w:p>
        </w:tc>
        <w:tc>
          <w:tcPr>
            <w:tcW w:w="1210"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广药</w:t>
            </w:r>
          </w:p>
        </w:tc>
        <w:tc>
          <w:tcPr>
            <w:tcW w:w="1898" w:type="dxa"/>
            <w:vAlign w:val="center"/>
          </w:tcPr>
          <w:p>
            <w:pPr>
              <w:spacing w:line="360" w:lineRule="auto"/>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广药生活区学生活动中心北侧</w:t>
            </w:r>
          </w:p>
        </w:tc>
        <w:tc>
          <w:tcPr>
            <w:tcW w:w="2422"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2GYY04-500阀门井内供、回水阀门更换</w:t>
            </w:r>
          </w:p>
        </w:tc>
        <w:tc>
          <w:tcPr>
            <w:tcW w:w="785"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1项</w:t>
            </w:r>
          </w:p>
        </w:tc>
        <w:tc>
          <w:tcPr>
            <w:tcW w:w="3201" w:type="dxa"/>
            <w:vAlign w:val="center"/>
          </w:tcPr>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拆除原有DN500阀门，更换新阀门</w:t>
            </w:r>
          </w:p>
        </w:tc>
      </w:tr>
    </w:tbl>
    <w:p>
      <w:pPr>
        <w:rPr>
          <w:rFonts w:ascii="宋体" w:hAnsi="宋体" w:cs="宋体"/>
          <w:sz w:val="28"/>
          <w:szCs w:val="28"/>
        </w:rPr>
      </w:pPr>
      <w:r>
        <w:rPr>
          <w:rFonts w:hint="eastAsia" w:asciiTheme="minorEastAsia" w:hAnsiTheme="minorEastAsia" w:eastAsiaTheme="minorEastAsia" w:cstheme="minorEastAsia"/>
          <w:sz w:val="24"/>
        </w:rPr>
        <w:t>（二）</w:t>
      </w:r>
      <w:r>
        <w:rPr>
          <w:rFonts w:hint="eastAsia" w:ascii="宋体" w:hAnsi="宋体" w:cs="宋体"/>
          <w:sz w:val="28"/>
          <w:szCs w:val="28"/>
        </w:rPr>
        <w:t>位置及现场情况</w:t>
      </w:r>
    </w:p>
    <w:tbl>
      <w:tblPr>
        <w:tblStyle w:val="24"/>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01"/>
        <w:gridCol w:w="3601"/>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blHeader/>
          <w:jc w:val="center"/>
        </w:trPr>
        <w:tc>
          <w:tcPr>
            <w:tcW w:w="611"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01"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施工地点</w:t>
            </w:r>
          </w:p>
        </w:tc>
        <w:tc>
          <w:tcPr>
            <w:tcW w:w="3601"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位置</w:t>
            </w:r>
          </w:p>
        </w:tc>
        <w:tc>
          <w:tcPr>
            <w:tcW w:w="3380"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11" w:type="dxa"/>
            <w:vAlign w:val="center"/>
          </w:tcPr>
          <w:p>
            <w:pPr>
              <w:spacing w:line="360" w:lineRule="auto"/>
              <w:jc w:val="center"/>
              <w:rPr>
                <w:rFonts w:hint="eastAsia" w:asciiTheme="minorEastAsia" w:hAnsiTheme="minorEastAsia" w:eastAsiaTheme="minorEastAsia" w:cstheme="minorEastAsia"/>
                <w:sz w:val="24"/>
              </w:rPr>
            </w:pPr>
          </w:p>
        </w:tc>
        <w:tc>
          <w:tcPr>
            <w:tcW w:w="1101" w:type="dxa"/>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4#冷站</w:t>
            </w:r>
          </w:p>
        </w:tc>
        <w:tc>
          <w:tcPr>
            <w:tcW w:w="3601" w:type="dxa"/>
            <w:vAlign w:val="center"/>
          </w:tcPr>
          <w:p>
            <w:pPr>
              <w:spacing w:line="360" w:lineRule="auto"/>
              <w:jc w:val="left"/>
              <w:rPr>
                <w:rFonts w:hint="eastAsia" w:asciiTheme="minorEastAsia" w:hAnsiTheme="minorEastAsia" w:eastAsiaTheme="minorEastAsia" w:cstheme="minorEastAsia"/>
                <w:sz w:val="24"/>
              </w:rPr>
            </w:pPr>
          </w:p>
        </w:tc>
        <w:tc>
          <w:tcPr>
            <w:tcW w:w="3380" w:type="dxa"/>
            <w:vAlign w:val="center"/>
          </w:tcPr>
          <w:p>
            <w:pPr>
              <w:spacing w:line="360" w:lineRule="auto"/>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1</w:t>
            </w:r>
          </w:p>
        </w:tc>
        <w:tc>
          <w:tcPr>
            <w:tcW w:w="11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内环路</w:t>
            </w:r>
          </w:p>
        </w:tc>
        <w:tc>
          <w:tcPr>
            <w:tcW w:w="3601"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1945640" cy="1990725"/>
                  <wp:effectExtent l="0" t="0" r="16510" b="9525"/>
                  <wp:docPr id="32" name="图片 32" descr="4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 - 副本"/>
                          <pic:cNvPicPr>
                            <a:picLocks noChangeAspect="1"/>
                          </pic:cNvPicPr>
                        </pic:nvPicPr>
                        <pic:blipFill>
                          <a:blip r:embed="rId4"/>
                          <a:stretch>
                            <a:fillRect/>
                          </a:stretch>
                        </pic:blipFill>
                        <pic:spPr>
                          <a:xfrm>
                            <a:off x="0" y="0"/>
                            <a:ext cx="1945640" cy="1990725"/>
                          </a:xfrm>
                          <a:prstGeom prst="rect">
                            <a:avLst/>
                          </a:prstGeom>
                        </pic:spPr>
                      </pic:pic>
                    </a:graphicData>
                  </a:graphic>
                </wp:inline>
              </w:drawing>
            </w:r>
          </w:p>
        </w:tc>
        <w:tc>
          <w:tcPr>
            <w:tcW w:w="338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030095" cy="2199005"/>
                  <wp:effectExtent l="0" t="0" r="8255" b="10795"/>
                  <wp:docPr id="6" name="图片 6" descr="05accb8ccdf18d20342975d566c1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accb8ccdf18d20342975d566c15d7"/>
                          <pic:cNvPicPr>
                            <a:picLocks noChangeAspect="1"/>
                          </pic:cNvPicPr>
                        </pic:nvPicPr>
                        <pic:blipFill>
                          <a:blip r:embed="rId5"/>
                          <a:srcRect t="18074" r="-1107"/>
                          <a:stretch>
                            <a:fillRect/>
                          </a:stretch>
                        </pic:blipFill>
                        <pic:spPr>
                          <a:xfrm>
                            <a:off x="0" y="0"/>
                            <a:ext cx="2030095" cy="21990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2</w:t>
            </w:r>
          </w:p>
        </w:tc>
        <w:tc>
          <w:tcPr>
            <w:tcW w:w="11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广工一路</w:t>
            </w:r>
          </w:p>
        </w:tc>
        <w:tc>
          <w:tcPr>
            <w:tcW w:w="3601"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146300" cy="2184400"/>
                  <wp:effectExtent l="0" t="0" r="6350" b="6350"/>
                  <wp:docPr id="36" name="图片 36" descr="6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6 - 副本"/>
                          <pic:cNvPicPr>
                            <a:picLocks noChangeAspect="1"/>
                          </pic:cNvPicPr>
                        </pic:nvPicPr>
                        <pic:blipFill>
                          <a:blip r:embed="rId6"/>
                          <a:stretch>
                            <a:fillRect/>
                          </a:stretch>
                        </pic:blipFill>
                        <pic:spPr>
                          <a:xfrm>
                            <a:off x="0" y="0"/>
                            <a:ext cx="2146300" cy="2184400"/>
                          </a:xfrm>
                          <a:prstGeom prst="rect">
                            <a:avLst/>
                          </a:prstGeom>
                        </pic:spPr>
                      </pic:pic>
                    </a:graphicData>
                  </a:graphic>
                </wp:inline>
              </w:drawing>
            </w:r>
          </w:p>
        </w:tc>
        <w:tc>
          <w:tcPr>
            <w:tcW w:w="338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1981200" cy="2162810"/>
                  <wp:effectExtent l="0" t="0" r="0" b="8890"/>
                  <wp:docPr id="37" name="图片 37" descr="IMG_20240829_15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0240829_155132"/>
                          <pic:cNvPicPr>
                            <a:picLocks noChangeAspect="1"/>
                          </pic:cNvPicPr>
                        </pic:nvPicPr>
                        <pic:blipFill>
                          <a:blip r:embed="rId7"/>
                          <a:srcRect t="18439" r="160"/>
                          <a:stretch>
                            <a:fillRect/>
                          </a:stretch>
                        </pic:blipFill>
                        <pic:spPr>
                          <a:xfrm>
                            <a:off x="0" y="0"/>
                            <a:ext cx="1981200" cy="2162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3</w:t>
            </w:r>
          </w:p>
        </w:tc>
        <w:tc>
          <w:tcPr>
            <w:tcW w:w="11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中环路</w:t>
            </w:r>
          </w:p>
        </w:tc>
        <w:tc>
          <w:tcPr>
            <w:tcW w:w="3601"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160270" cy="1983740"/>
                  <wp:effectExtent l="0" t="0" r="11430" b="16510"/>
                  <wp:docPr id="38" name="图片 3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7"/>
                          <pic:cNvPicPr>
                            <a:picLocks noChangeAspect="1"/>
                          </pic:cNvPicPr>
                        </pic:nvPicPr>
                        <pic:blipFill>
                          <a:blip r:embed="rId8"/>
                          <a:stretch>
                            <a:fillRect/>
                          </a:stretch>
                        </pic:blipFill>
                        <pic:spPr>
                          <a:xfrm>
                            <a:off x="0" y="0"/>
                            <a:ext cx="2160270" cy="1983740"/>
                          </a:xfrm>
                          <a:prstGeom prst="rect">
                            <a:avLst/>
                          </a:prstGeom>
                        </pic:spPr>
                      </pic:pic>
                    </a:graphicData>
                  </a:graphic>
                </wp:inline>
              </w:drawing>
            </w:r>
          </w:p>
        </w:tc>
        <w:tc>
          <w:tcPr>
            <w:tcW w:w="338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019935" cy="1915795"/>
                  <wp:effectExtent l="0" t="0" r="18415" b="8255"/>
                  <wp:docPr id="39" name="图片 39" descr="IMG_20240829_15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0240829_154157"/>
                          <pic:cNvPicPr>
                            <a:picLocks noChangeAspect="1"/>
                          </pic:cNvPicPr>
                        </pic:nvPicPr>
                        <pic:blipFill>
                          <a:blip r:embed="rId9"/>
                          <a:srcRect l="5455" t="19806" r="160" b="13218"/>
                          <a:stretch>
                            <a:fillRect/>
                          </a:stretch>
                        </pic:blipFill>
                        <pic:spPr>
                          <a:xfrm>
                            <a:off x="0" y="0"/>
                            <a:ext cx="2019935" cy="19157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4</w:t>
            </w:r>
          </w:p>
        </w:tc>
        <w:tc>
          <w:tcPr>
            <w:tcW w:w="11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内环路</w:t>
            </w:r>
          </w:p>
        </w:tc>
        <w:tc>
          <w:tcPr>
            <w:tcW w:w="3601"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148840" cy="2061845"/>
                  <wp:effectExtent l="0" t="0" r="3810" b="14605"/>
                  <wp:docPr id="40" name="图片 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8"/>
                          <pic:cNvPicPr>
                            <a:picLocks noChangeAspect="1"/>
                          </pic:cNvPicPr>
                        </pic:nvPicPr>
                        <pic:blipFill>
                          <a:blip r:embed="rId10"/>
                          <a:stretch>
                            <a:fillRect/>
                          </a:stretch>
                        </pic:blipFill>
                        <pic:spPr>
                          <a:xfrm>
                            <a:off x="0" y="0"/>
                            <a:ext cx="2148840" cy="2061845"/>
                          </a:xfrm>
                          <a:prstGeom prst="rect">
                            <a:avLst/>
                          </a:prstGeom>
                        </pic:spPr>
                      </pic:pic>
                    </a:graphicData>
                  </a:graphic>
                </wp:inline>
              </w:drawing>
            </w:r>
          </w:p>
        </w:tc>
        <w:tc>
          <w:tcPr>
            <w:tcW w:w="338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1986915" cy="2316480"/>
                  <wp:effectExtent l="0" t="0" r="13335" b="7620"/>
                  <wp:docPr id="41" name="图片 41" descr="IMG_20240829_15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0240829_153253"/>
                          <pic:cNvPicPr>
                            <a:picLocks noChangeAspect="1"/>
                          </pic:cNvPicPr>
                        </pic:nvPicPr>
                        <pic:blipFill>
                          <a:blip r:embed="rId11"/>
                          <a:srcRect l="6656" t="4861" r="1536" b="15038"/>
                          <a:stretch>
                            <a:fillRect/>
                          </a:stretch>
                        </pic:blipFill>
                        <pic:spPr>
                          <a:xfrm>
                            <a:off x="0" y="0"/>
                            <a:ext cx="1986915" cy="23164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5</w:t>
            </w:r>
          </w:p>
        </w:tc>
        <w:tc>
          <w:tcPr>
            <w:tcW w:w="11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内环路</w:t>
            </w:r>
          </w:p>
        </w:tc>
        <w:tc>
          <w:tcPr>
            <w:tcW w:w="3601"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154555" cy="2004060"/>
                  <wp:effectExtent l="0" t="0" r="17145" b="15240"/>
                  <wp:docPr id="44" name="图片 44" descr="9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9 - 副本"/>
                          <pic:cNvPicPr>
                            <a:picLocks noChangeAspect="1"/>
                          </pic:cNvPicPr>
                        </pic:nvPicPr>
                        <pic:blipFill>
                          <a:blip r:embed="rId12"/>
                          <a:stretch>
                            <a:fillRect/>
                          </a:stretch>
                        </pic:blipFill>
                        <pic:spPr>
                          <a:xfrm>
                            <a:off x="0" y="0"/>
                            <a:ext cx="2154555" cy="2004060"/>
                          </a:xfrm>
                          <a:prstGeom prst="rect">
                            <a:avLst/>
                          </a:prstGeom>
                        </pic:spPr>
                      </pic:pic>
                    </a:graphicData>
                  </a:graphic>
                </wp:inline>
              </w:drawing>
            </w:r>
          </w:p>
        </w:tc>
        <w:tc>
          <w:tcPr>
            <w:tcW w:w="338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1981200" cy="2115185"/>
                  <wp:effectExtent l="0" t="0" r="0" b="18415"/>
                  <wp:docPr id="45" name="图片 45" descr="IMG_20240829_15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0240829_152654"/>
                          <pic:cNvPicPr>
                            <a:picLocks noChangeAspect="1"/>
                          </pic:cNvPicPr>
                        </pic:nvPicPr>
                        <pic:blipFill>
                          <a:blip r:embed="rId13"/>
                          <a:srcRect t="20235" r="160"/>
                          <a:stretch>
                            <a:fillRect/>
                          </a:stretch>
                        </pic:blipFill>
                        <pic:spPr>
                          <a:xfrm>
                            <a:off x="0" y="0"/>
                            <a:ext cx="1981200" cy="21151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1" w:type="dxa"/>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val="en-US" w:eastAsia="zh-CN"/>
              </w:rPr>
              <w:t>6</w:t>
            </w:r>
          </w:p>
        </w:tc>
        <w:tc>
          <w:tcPr>
            <w:tcW w:w="110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广药</w:t>
            </w:r>
          </w:p>
        </w:tc>
        <w:tc>
          <w:tcPr>
            <w:tcW w:w="3601"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drawing>
                <wp:inline distT="0" distB="0" distL="114300" distR="114300">
                  <wp:extent cx="2179320" cy="2204085"/>
                  <wp:effectExtent l="0" t="0" r="11430" b="5715"/>
                  <wp:docPr id="52" name="图片 52" descr="10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10 - 副本"/>
                          <pic:cNvPicPr>
                            <a:picLocks noChangeAspect="1"/>
                          </pic:cNvPicPr>
                        </pic:nvPicPr>
                        <pic:blipFill>
                          <a:blip r:embed="rId14"/>
                          <a:stretch>
                            <a:fillRect/>
                          </a:stretch>
                        </pic:blipFill>
                        <pic:spPr>
                          <a:xfrm>
                            <a:off x="0" y="0"/>
                            <a:ext cx="2179320" cy="2204085"/>
                          </a:xfrm>
                          <a:prstGeom prst="rect">
                            <a:avLst/>
                          </a:prstGeom>
                        </pic:spPr>
                      </pic:pic>
                    </a:graphicData>
                  </a:graphic>
                </wp:inline>
              </w:drawing>
            </w:r>
          </w:p>
        </w:tc>
        <w:tc>
          <w:tcPr>
            <w:tcW w:w="3380" w:type="dxa"/>
            <w:vAlign w:val="center"/>
          </w:tcPr>
          <w:p>
            <w:pPr>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lang w:eastAsia="zh-CN"/>
              </w:rPr>
              <w:drawing>
                <wp:inline distT="0" distB="0" distL="114300" distR="114300">
                  <wp:extent cx="2261870" cy="1697355"/>
                  <wp:effectExtent l="0" t="0" r="17145" b="5080"/>
                  <wp:docPr id="7" name="图片 7" descr="微信图片_2024090210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902103202"/>
                          <pic:cNvPicPr>
                            <a:picLocks noChangeAspect="1"/>
                          </pic:cNvPicPr>
                        </pic:nvPicPr>
                        <pic:blipFill>
                          <a:blip r:embed="rId15"/>
                          <a:stretch>
                            <a:fillRect/>
                          </a:stretch>
                        </pic:blipFill>
                        <pic:spPr>
                          <a:xfrm rot="5400000">
                            <a:off x="0" y="0"/>
                            <a:ext cx="2261870" cy="1697355"/>
                          </a:xfrm>
                          <a:prstGeom prst="rect">
                            <a:avLst/>
                          </a:prstGeom>
                        </pic:spPr>
                      </pic:pic>
                    </a:graphicData>
                  </a:graphic>
                </wp:inline>
              </w:drawing>
            </w:r>
          </w:p>
        </w:tc>
      </w:tr>
    </w:tbl>
    <w:p>
      <w:pPr>
        <w:pStyle w:val="2"/>
        <w:numPr>
          <w:ilvl w:val="-1"/>
          <w:numId w:val="0"/>
        </w:numPr>
        <w:ind w:firstLine="0"/>
        <w:rPr>
          <w:rFonts w:hint="default"/>
          <w:lang w:val="en-US" w:eastAsia="zh-CN"/>
        </w:rPr>
      </w:pPr>
    </w:p>
    <w:p>
      <w:pPr>
        <w:numPr>
          <w:ilvl w:val="0"/>
          <w:numId w:val="1"/>
        </w:numPr>
        <w:spacing w:before="120" w:beforeLines="50" w:after="120" w:afterLines="50" w:line="36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工程量及材料说明</w:t>
      </w:r>
    </w:p>
    <w:p>
      <w:pPr>
        <w:pStyle w:val="2"/>
        <w:numPr>
          <w:ilvl w:val="0"/>
          <w:numId w:val="5"/>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rPr>
        <w:t>本项目由投标人包工包料，投标人应根据竞选文件及结合现场实际情况综合考虑再进行报价，投标人的投标报价应包括按竞选文件要求完成本项的全部费用。</w:t>
      </w:r>
      <w:r>
        <w:rPr>
          <w:rFonts w:hint="eastAsia" w:asciiTheme="minorEastAsia" w:hAnsiTheme="minorEastAsia" w:eastAsiaTheme="minorEastAsia" w:cstheme="minorEastAsia"/>
          <w:b/>
          <w:bCs/>
          <w:sz w:val="24"/>
          <w:szCs w:val="24"/>
          <w:lang w:val="en-US" w:eastAsia="zh-CN"/>
        </w:rPr>
        <w:t>。投标报价请按下表《工程量清单表》计算报价明细表。</w:t>
      </w:r>
    </w:p>
    <w:p>
      <w:pPr>
        <w:pStyle w:val="2"/>
        <w:numPr>
          <w:ilvl w:val="-1"/>
          <w:numId w:val="0"/>
        </w:numPr>
        <w:ind w:firstLine="0"/>
        <w:rPr>
          <w:rFonts w:hint="eastAsia" w:asciiTheme="minorEastAsia" w:hAnsiTheme="minorEastAsia" w:eastAsiaTheme="minorEastAsia" w:cstheme="minorEastAsia"/>
          <w:b/>
          <w:bCs/>
          <w:sz w:val="24"/>
          <w:szCs w:val="24"/>
          <w:lang w:val="en-US" w:eastAsia="zh-CN"/>
        </w:rPr>
      </w:pPr>
    </w:p>
    <w:p>
      <w:pPr>
        <w:spacing w:before="120" w:beforeLines="50" w:after="120" w:afterLines="50" w:line="360" w:lineRule="auto"/>
        <w:ind w:firstLine="480" w:firstLineChars="20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（一）</w:t>
      </w:r>
      <w:r>
        <w:rPr>
          <w:rFonts w:hint="eastAsia" w:asciiTheme="minorEastAsia" w:hAnsiTheme="minorEastAsia" w:eastAsiaTheme="minorEastAsia" w:cstheme="minorEastAsia"/>
          <w:b/>
          <w:sz w:val="24"/>
        </w:rPr>
        <w:t>主要工程量清单</w:t>
      </w:r>
    </w:p>
    <w:p>
      <w:pPr>
        <w:pStyle w:val="2"/>
        <w:numPr>
          <w:ilvl w:val="-1"/>
          <w:numId w:val="0"/>
        </w:numPr>
        <w:ind w:firstLine="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工程量清单表</w:t>
      </w:r>
    </w:p>
    <w:tbl>
      <w:tblPr>
        <w:tblStyle w:val="24"/>
        <w:tblW w:w="86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596"/>
        <w:gridCol w:w="3984"/>
        <w:gridCol w:w="660"/>
        <w:gridCol w:w="624"/>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项目特征</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4SN01-500阀门井供回水阀门更换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井盖移开</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1.混凝土盖板吊起移开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阀门更换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1.拆除旧阀门，DN500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2.抽排水，井内清理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3.安装新阀门，DN500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法兰更换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1.拆除保温层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2.拆除旧法兰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3.焊接新法兰（含短管）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4.刷防锈漆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管道保温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1.管道保温（热收缩套及现场发泡补口）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2.规格：DN500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3.保温层采用发泡聚氨酯材料，厚度不小于5cm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4.保护层采用高密度聚乙烯材料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井盖恢复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1.混凝土盖板移回原位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2.周边修补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4SZ03-25阀门井排气管更换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土方开挖与回填</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1.保护性拆除地砖，绿化清理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2.人工机械开挖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3.土壤类别:综合；开挖大小：综合考虑；深度约1.2m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4.原土回填压实，管周需回填石粉至管顶上10cm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5.废料运弃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1.拆除主管至排气井的排气管，排气管DN25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2.抽排水，井壁穿洞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3.保温管道安装，DN25，主管至排气井（含弯头），主管DN1000，排气管DN25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4.刷防腐漆，井壁修复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阀门更换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1.拆除排气阀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2.安装新阀门，DN25，自动排气阀（带截止阀）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管道保温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1.管道保温（热收缩套及现场发泡补口）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2.规格：DN25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3.保温层采用发泡聚氨酯材料，厚度不小于5cm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4.保护层采用高密度聚乙烯材料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地砖恢复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1.底层夯实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2.基层：水泥石粉稳定层20cm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3.地砖恢复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绿篱恢复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1.土面整理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2.绿篱种类:原绿篱品种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3.铺种方式:原位置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4.包成活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4SZ04-150阀门井排污管拆除封堵</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土方开挖与回填</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1.保护性拆除地砖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2.人工机械开挖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3.土壤类别:综合；开挖大小：综合考虑；深度约3.5m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4.原土回填压实，管周需回填石粉至管顶上10cm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5.废料运弃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管道封堵</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1.拆除主管与排污管周边保温层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2.贴主管切除排污管，主管DN800,排污管DN150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3.抽排水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4.切口焊接堵漏钢板，弧形板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5.刷防腐漆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管道保温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1.管道保温（热收缩套及现场发泡补口）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2.规格：DN150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3.保温层采用发泡聚氨酯材料，厚度不小于5cm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4.保护层采用高密度聚乙烯材料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阀门井回填</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1.拆除回收阀门、井盖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2.井内回填土方，压实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地砖恢复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1.底层夯实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2.基层：水泥石粉稳定层20cm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3.地砖恢复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4SZ07-150阀门井排污管拆除封堵</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土方开挖与回填</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1.表面清理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2.人工机械开挖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3.土壤类别:综合；开挖大小：综合考虑；深度约2.9m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4.原土回填压实，管周需回填石粉至管顶上10cm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5.废料运弃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管道封堵</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1.拆除主管与排污管周边保温层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2.贴主管切除排污管，主管DN500,排污管DN150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3.抽排水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4.切口焊接堵漏钢板，弧形板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5.刷防腐漆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管道保温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1.管道保温（热收缩套及现场发泡补口）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2.规格：DN150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3.保温层采用发泡聚氨酯材料，厚度不小于5cm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4.保护层采用高密度聚乙烯材料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阀门井回填</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1.拆除回收阀门、井盖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2.井内回填土方，压实</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1.底层夯实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2.基层：水泥石粉稳定层20cm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3.彩色透水混凝土恢复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绿篱恢复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1.土面整理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2.绿篱种类:原绿篱品种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3.铺种方式:原位置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4.包成活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4SZ08-25阀门井排气管更换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土方开挖与回填</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1.表面清理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2.人工机械开挖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3.土壤类别:综合；开挖大小：综合考虑；深度约1.3m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4.原土回填压实，管周需回填石粉至管顶上10cm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5.废料运弃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1.拆除主管至排气井的排气管，排气管DN25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2.抽排水，井壁穿洞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3.保温管道安装，DN25，主管至排气井（含弯头），主管DN500，排气管DN25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4.刷防腐漆，井壁修复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阀门更换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1.拆除排气阀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2.安装新阀门，DN25，自动排气阀（带截止阀）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管道保温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1.管道保温（热收缩套及现场发泡补口）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2.规格：DN25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3.保温层采用发泡聚氨酯材料，厚度不小于5cm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4.保护层采用高密度聚乙烯材料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供回水各1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绿篱恢复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1.土面整理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2.绿篱种类:原绿篱品种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3.铺种方式:原位置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4.包成活</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2GYY04-500阀门井供回水阀门更换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井盖移开</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1.混凝土盖板吊起移开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阀门更换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1.拆除旧阀门，DN500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2.抽排水，井内清理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3.安装新阀门，DN500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法兰更换</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1.拆除保温层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2.拆除旧法兰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3.焊接新法兰（含短管）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4.刷防锈漆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管道保温</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1.管道保温（热收缩套及现场发泡补口）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2.规格：DN500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3.保温层采用发泡聚氨酯材料，厚度不小于5cm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4.保护层采用高密度聚乙烯材料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井盖恢复</w:t>
            </w:r>
          </w:p>
        </w:tc>
        <w:tc>
          <w:tcPr>
            <w:tcW w:w="3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1.混凝土盖板移回原位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2.周边修补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r>
    </w:tbl>
    <w:p>
      <w:pPr>
        <w:pStyle w:val="2"/>
        <w:rPr>
          <w:rFonts w:asciiTheme="minorEastAsia" w:hAnsiTheme="minorEastAsia" w:eastAsiaTheme="minorEastAsia" w:cstheme="minorEastAsia"/>
          <w:sz w:val="24"/>
          <w:szCs w:val="24"/>
        </w:rPr>
      </w:pPr>
    </w:p>
    <w:p>
      <w:pPr>
        <w:spacing w:before="120" w:beforeLines="50" w:after="120" w:afterLines="50"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注</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本项目材料、机械、器具等均由乙方提供，工程量清单报价时建议按上述表格人工、材料分开单列报价</w:t>
      </w:r>
      <w:r>
        <w:rPr>
          <w:rFonts w:hint="eastAsia" w:asciiTheme="minorEastAsia" w:hAnsiTheme="minorEastAsia" w:eastAsiaTheme="minorEastAsia" w:cstheme="minorEastAsia"/>
          <w:sz w:val="24"/>
        </w:rPr>
        <w:t>。</w:t>
      </w:r>
    </w:p>
    <w:p>
      <w:pPr>
        <w:numPr>
          <w:ilvl w:val="-1"/>
          <w:numId w:val="0"/>
        </w:numPr>
        <w:spacing w:before="120" w:beforeLines="50" w:after="120" w:afterLines="50"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材料要求及说明</w:t>
      </w:r>
    </w:p>
    <w:p>
      <w:pPr>
        <w:numPr>
          <w:ilvl w:val="-1"/>
          <w:numId w:val="0"/>
        </w:numPr>
        <w:spacing w:before="120" w:beforeLines="50" w:after="120" w:afterLines="50" w:line="240" w:lineRule="auto"/>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手动阀：蜗轮法兰蝶阀，PN16，连接方式：法兰，结构：中线软密封，零泄漏、免维护、双向密封，包胶</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阀体：球磨铸铁QT450-10/三元乙丙EPDM，阀板：不锈钢304，阀轴：不锈钢2Cr13，介质：冷冻水，品牌：依博罗阀门（北京）有限公司、阀安格水处理系统（太仓）有限公司、博雷（中国）控制系统有限公司。</w:t>
      </w:r>
      <w:r>
        <w:rPr>
          <w:rFonts w:hint="eastAsia" w:asciiTheme="minorEastAsia" w:hAnsiTheme="minorEastAsia" w:eastAsiaTheme="minorEastAsia" w:cstheme="minorEastAsia"/>
          <w:bCs/>
          <w:sz w:val="24"/>
          <w:szCs w:val="24"/>
          <w:lang w:val="en-US" w:eastAsia="zh-CN"/>
        </w:rPr>
        <w:t>阀门</w:t>
      </w:r>
      <w:r>
        <w:rPr>
          <w:rFonts w:hint="eastAsia" w:asciiTheme="minorEastAsia" w:hAnsiTheme="minorEastAsia" w:eastAsiaTheme="minorEastAsia" w:cstheme="minorEastAsia"/>
          <w:bCs/>
          <w:sz w:val="24"/>
          <w:szCs w:val="24"/>
        </w:rPr>
        <w:t>到货</w:t>
      </w:r>
      <w:r>
        <w:rPr>
          <w:rFonts w:hint="eastAsia" w:asciiTheme="minorEastAsia" w:hAnsiTheme="minorEastAsia" w:eastAsiaTheme="minorEastAsia" w:cstheme="minorEastAsia"/>
          <w:bCs/>
          <w:sz w:val="24"/>
          <w:szCs w:val="24"/>
          <w:lang w:val="en-US" w:eastAsia="zh-CN"/>
        </w:rPr>
        <w:t>后</w:t>
      </w:r>
      <w:r>
        <w:rPr>
          <w:rFonts w:hint="eastAsia" w:asciiTheme="minorEastAsia" w:hAnsiTheme="minorEastAsia" w:eastAsiaTheme="minorEastAsia" w:cstheme="minorEastAsia"/>
          <w:bCs/>
          <w:sz w:val="24"/>
          <w:szCs w:val="24"/>
        </w:rPr>
        <w:t>需经</w:t>
      </w:r>
      <w:r>
        <w:rPr>
          <w:rFonts w:hint="eastAsia" w:asciiTheme="minorEastAsia" w:hAnsiTheme="minorEastAsia" w:eastAsiaTheme="minorEastAsia" w:cstheme="minorEastAsia"/>
          <w:bCs/>
          <w:sz w:val="24"/>
          <w:szCs w:val="24"/>
          <w:lang w:val="en-US" w:eastAsia="zh-CN"/>
        </w:rPr>
        <w:t>我司</w:t>
      </w:r>
      <w:r>
        <w:rPr>
          <w:rFonts w:hint="eastAsia" w:asciiTheme="minorEastAsia" w:hAnsiTheme="minorEastAsia" w:eastAsiaTheme="minorEastAsia" w:cstheme="minorEastAsia"/>
          <w:bCs/>
          <w:sz w:val="24"/>
          <w:szCs w:val="24"/>
        </w:rPr>
        <w:t>试漏</w:t>
      </w:r>
      <w:r>
        <w:rPr>
          <w:rFonts w:hint="eastAsia" w:asciiTheme="minorEastAsia" w:hAnsiTheme="minorEastAsia" w:eastAsiaTheme="minorEastAsia" w:cstheme="minorEastAsia"/>
          <w:bCs/>
          <w:sz w:val="24"/>
          <w:szCs w:val="24"/>
          <w:lang w:val="en-US" w:eastAsia="zh-CN"/>
        </w:rPr>
        <w:t>试压</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检测合格后方可使用，检测地点：我司仓库。</w:t>
      </w:r>
    </w:p>
    <w:p>
      <w:pPr>
        <w:numPr>
          <w:ilvl w:val="-1"/>
          <w:numId w:val="0"/>
        </w:numPr>
        <w:spacing w:before="120" w:beforeLines="50" w:after="120" w:afterLines="50" w:line="240" w:lineRule="auto"/>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2、管道规格：</w:t>
      </w:r>
      <w:r>
        <w:rPr>
          <w:rFonts w:hint="eastAsia" w:asciiTheme="minorEastAsia" w:hAnsiTheme="minorEastAsia" w:eastAsiaTheme="minorEastAsia" w:cstheme="minorEastAsia"/>
          <w:bCs/>
          <w:sz w:val="24"/>
          <w:szCs w:val="24"/>
        </w:rPr>
        <w:t>Ф</w:t>
      </w:r>
      <w:r>
        <w:rPr>
          <w:rFonts w:hint="eastAsia" w:asciiTheme="minorEastAsia" w:hAnsiTheme="minorEastAsia" w:eastAsiaTheme="minorEastAsia" w:cstheme="minorEastAsia"/>
          <w:bCs/>
          <w:sz w:val="24"/>
          <w:szCs w:val="24"/>
          <w:lang w:val="en-US" w:eastAsia="zh-CN"/>
        </w:rPr>
        <w:t>32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Ф108*4</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Ф219*</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Ф273*</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Ф325*</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Ф529*</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Ф</w:t>
      </w:r>
      <w:r>
        <w:rPr>
          <w:rFonts w:hint="eastAsia" w:asciiTheme="minorEastAsia" w:hAnsiTheme="minorEastAsia" w:eastAsiaTheme="minorEastAsia" w:cstheme="minorEastAsia"/>
          <w:bCs/>
          <w:sz w:val="24"/>
          <w:szCs w:val="24"/>
          <w:lang w:val="en-US" w:eastAsia="zh-CN"/>
        </w:rPr>
        <w:t>820</w:t>
      </w:r>
      <w:r>
        <w:rPr>
          <w:rFonts w:hint="eastAsia" w:asciiTheme="minorEastAsia" w:hAnsiTheme="minorEastAsia" w:eastAsiaTheme="minorEastAsia" w:cstheme="minorEastAsia"/>
          <w:bCs/>
          <w:sz w:val="24"/>
          <w:szCs w:val="24"/>
        </w:rPr>
        <w:t>*10</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堵漏用钢板需从与主管同规格管上截取的弧形板。</w:t>
      </w:r>
    </w:p>
    <w:p>
      <w:pPr>
        <w:numPr>
          <w:ilvl w:val="0"/>
          <w:numId w:val="1"/>
        </w:numPr>
        <w:spacing w:before="120" w:beforeLines="50" w:after="120" w:afterLines="50" w:line="24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施工要求</w:t>
      </w:r>
    </w:p>
    <w:p>
      <w:pPr>
        <w:numPr>
          <w:ilvl w:val="0"/>
          <w:numId w:val="0"/>
        </w:numPr>
        <w:spacing w:before="120" w:beforeLines="50" w:after="120" w:afterLines="50"/>
        <w:ind w:firstLine="56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sz w:val="24"/>
          <w:szCs w:val="24"/>
        </w:rPr>
        <w:t>施工单位</w:t>
      </w:r>
      <w:r>
        <w:rPr>
          <w:rFonts w:hint="eastAsia" w:asciiTheme="minorEastAsia" w:hAnsiTheme="minorEastAsia" w:eastAsiaTheme="minorEastAsia" w:cstheme="minorEastAsia"/>
          <w:bCs/>
          <w:sz w:val="24"/>
          <w:szCs w:val="24"/>
          <w:lang w:val="en-US" w:eastAsia="zh-CN"/>
        </w:rPr>
        <w:t>投标前应</w:t>
      </w:r>
      <w:r>
        <w:rPr>
          <w:rFonts w:hint="eastAsia" w:asciiTheme="minorEastAsia" w:hAnsiTheme="minorEastAsia" w:eastAsiaTheme="minorEastAsia" w:cstheme="minorEastAsia"/>
          <w:bCs/>
          <w:sz w:val="24"/>
          <w:szCs w:val="24"/>
        </w:rPr>
        <w:t>提前联系项目负责人到施工现场察看，清晰了解每个项目的施工要求及其工作内容。</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2、按程序办理相关手续，遵守相应的管理规定和要求。</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3、管道切割后，清除焊渣，管道开坡口，坡口的尺寸应符合现行国家标准的有关规定。</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4、焊缝外观质量不允许有裂纹、气孔、夹渣、熔合性飞溅和未焊透，咬边深度不大于0.5mm。</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5、管道切割和焊接必须做好保护措施，防止焊渣进入管道，法兰焊接完安装阀门前，须清理干净，并经双方确认，管道内无遗留物物体和杂质。</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6、管道焊缝须进行探伤，由</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指定的检测公司进行，费用由</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负责</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施工单位</w:t>
      </w:r>
      <w:r>
        <w:rPr>
          <w:rFonts w:hint="eastAsia" w:asciiTheme="minorEastAsia" w:hAnsiTheme="minorEastAsia" w:eastAsiaTheme="minorEastAsia" w:cstheme="minorEastAsia"/>
          <w:bCs/>
          <w:sz w:val="24"/>
          <w:szCs w:val="24"/>
          <w:lang w:val="en-US" w:eastAsia="zh-CN"/>
        </w:rPr>
        <w:t>协助探伤</w:t>
      </w:r>
      <w:r>
        <w:rPr>
          <w:rFonts w:hint="eastAsia" w:asciiTheme="minorEastAsia" w:hAnsiTheme="minorEastAsia" w:eastAsiaTheme="minorEastAsia" w:cstheme="minorEastAsia"/>
          <w:bCs/>
          <w:sz w:val="24"/>
          <w:szCs w:val="24"/>
        </w:rPr>
        <w:t>。如检测不合格，由施工单位返工并承担二次检测费用。</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7、新</w:t>
      </w:r>
      <w:r>
        <w:rPr>
          <w:rFonts w:hint="eastAsia" w:asciiTheme="minorEastAsia" w:hAnsiTheme="minorEastAsia" w:eastAsiaTheme="minorEastAsia" w:cstheme="minorEastAsia"/>
          <w:bCs/>
          <w:sz w:val="24"/>
          <w:szCs w:val="24"/>
          <w:lang w:val="en-US" w:eastAsia="zh-CN"/>
        </w:rPr>
        <w:t>法兰盘、</w:t>
      </w:r>
      <w:r>
        <w:rPr>
          <w:rFonts w:hint="eastAsia" w:asciiTheme="minorEastAsia" w:hAnsiTheme="minorEastAsia" w:eastAsiaTheme="minorEastAsia" w:cstheme="minorEastAsia"/>
          <w:bCs/>
          <w:sz w:val="24"/>
          <w:szCs w:val="24"/>
        </w:rPr>
        <w:t>阀门安装包括更换螺栓和密封垫，螺栓要求专业厂家生产，强度等级要求4.8级，表面镀锌，含一母一弹一平。密封垫</w:t>
      </w:r>
      <w:r>
        <w:rPr>
          <w:rFonts w:hint="eastAsia" w:asciiTheme="minorEastAsia" w:hAnsiTheme="minorEastAsia" w:eastAsiaTheme="minorEastAsia" w:cstheme="minorEastAsia"/>
          <w:bCs/>
          <w:sz w:val="24"/>
          <w:szCs w:val="24"/>
          <w:lang w:val="en-US" w:eastAsia="zh-CN"/>
        </w:rPr>
        <w:t>采用金属复合波齿垫片。</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8、管道防腐应在阀门安装完工、管道探伤、试压后进行，管道表面清除锈迹、焊渣、水份，涂刷两遍。</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9、拆除下来的旧阀门、管道、法兰</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井盖</w:t>
      </w:r>
      <w:r>
        <w:rPr>
          <w:rFonts w:hint="eastAsia" w:asciiTheme="minorEastAsia" w:hAnsiTheme="minorEastAsia" w:eastAsiaTheme="minorEastAsia" w:cstheme="minorEastAsia"/>
          <w:bCs/>
          <w:sz w:val="24"/>
          <w:szCs w:val="24"/>
        </w:rPr>
        <w:t>等材料由施工单位负责回收，从施工现场运送至甲方仓库。</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10、在硬化地面开挖，需注意保护开挖面以外地面，造成破坏的由施工单位负责修复。</w:t>
      </w:r>
      <w:r>
        <w:rPr>
          <w:rFonts w:hint="eastAsia" w:asciiTheme="minorEastAsia" w:hAnsiTheme="minorEastAsia" w:eastAsiaTheme="minorEastAsia" w:cstheme="minorEastAsia"/>
          <w:bCs/>
          <w:sz w:val="24"/>
          <w:szCs w:val="24"/>
          <w:lang w:val="en-US" w:eastAsia="zh-CN"/>
        </w:rPr>
        <w:t>地砖拆除尽量保护性拆除，恢复时利旧使用，不够的需施工单位补充。</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11、本项目所涉及的管道焊接，施工单位需按</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《焊接质量管理制度》执行，进场施工的焊工必须先试焊</w:t>
      </w:r>
      <w:r>
        <w:rPr>
          <w:rFonts w:hint="eastAsia" w:asciiTheme="minorEastAsia" w:hAnsiTheme="minorEastAsia" w:eastAsiaTheme="minorEastAsia" w:cstheme="minorEastAsia"/>
          <w:bCs/>
          <w:sz w:val="24"/>
          <w:szCs w:val="24"/>
          <w:lang w:val="en-US" w:eastAsia="zh-CN"/>
        </w:rPr>
        <w:t>考试</w:t>
      </w:r>
      <w:r>
        <w:rPr>
          <w:rFonts w:hint="eastAsia" w:asciiTheme="minorEastAsia" w:hAnsiTheme="minorEastAsia" w:eastAsiaTheme="minorEastAsia" w:cstheme="minorEastAsia"/>
          <w:bCs/>
          <w:sz w:val="24"/>
          <w:szCs w:val="24"/>
        </w:rPr>
        <w:t>合格。</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12、本项目涉及在阀门井内动火施工，必须严格按照</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《有限空间作业现场安全管理制度》内相关规定执行，严格遵守“先通风、再检测、后作业”的原则。施工前，施工单位必须办理《有限空间安全作业票》后方可进入阀门井内施工。</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13、部分施工地点在高校内，必须由</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征得校方同意后，方能进场施工，进校施工应遵守校方规定。</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14、在市政道路、绿化内的项目，施工单位负责办理开挖、占道手续，施工时注意围蔽及交通疏导，必要时开挖面需盖绿网。</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15、施工时遇到</w:t>
      </w:r>
      <w:r>
        <w:rPr>
          <w:rFonts w:hint="eastAsia" w:asciiTheme="minorEastAsia" w:hAnsiTheme="minorEastAsia" w:eastAsiaTheme="minorEastAsia" w:cstheme="minorEastAsia"/>
          <w:bCs/>
          <w:sz w:val="24"/>
          <w:szCs w:val="24"/>
          <w:lang w:val="en-US" w:eastAsia="zh-CN"/>
        </w:rPr>
        <w:t>各种地下</w:t>
      </w:r>
      <w:r>
        <w:rPr>
          <w:rFonts w:hint="eastAsia" w:asciiTheme="minorEastAsia" w:hAnsiTheme="minorEastAsia" w:eastAsiaTheme="minorEastAsia" w:cstheme="minorEastAsia"/>
          <w:bCs/>
          <w:sz w:val="24"/>
          <w:szCs w:val="24"/>
        </w:rPr>
        <w:t>管线，必须做好相应保护措施，不得擅自破坏，施工前需注意排查勘探。</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16、新安装阀门需设置“供水”、“回水”标识，井盖上需有“冷”标识。</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rPr>
        <w:t>17</w:t>
      </w:r>
      <w:r>
        <w:rPr>
          <w:rFonts w:hint="eastAsia" w:asciiTheme="minorEastAsia" w:hAnsiTheme="minorEastAsia" w:eastAsiaTheme="minorEastAsia" w:cstheme="minorEastAsia"/>
          <w:bCs/>
          <w:sz w:val="24"/>
          <w:szCs w:val="24"/>
          <w:lang w:val="en-US" w:eastAsia="zh-CN"/>
        </w:rPr>
        <w:t>、除板换间周边采购人可提供接电，其它地方施工单位应自备电源。</w:t>
      </w:r>
    </w:p>
    <w:p>
      <w:pPr>
        <w:numPr>
          <w:ilvl w:val="0"/>
          <w:numId w:val="0"/>
        </w:numPr>
        <w:spacing w:before="120" w:beforeLines="50" w:after="120" w:afterLines="50"/>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rPr>
        <w:t>8</w:t>
      </w:r>
      <w:r>
        <w:rPr>
          <w:rFonts w:hint="eastAsia" w:asciiTheme="minorEastAsia" w:hAnsiTheme="minorEastAsia" w:eastAsiaTheme="minorEastAsia" w:cstheme="minorEastAsia"/>
          <w:bCs/>
          <w:sz w:val="24"/>
          <w:szCs w:val="24"/>
        </w:rPr>
        <w:t>、本工程施工需在今年冬季停冷后分批进行，具体开工时间</w:t>
      </w:r>
      <w:r>
        <w:rPr>
          <w:rFonts w:hint="eastAsia" w:asciiTheme="minorEastAsia" w:hAnsiTheme="minorEastAsia" w:eastAsiaTheme="minorEastAsia" w:cstheme="minorEastAsia"/>
          <w:bCs/>
          <w:sz w:val="24"/>
          <w:szCs w:val="24"/>
          <w:lang w:val="en-US" w:eastAsia="zh-CN"/>
        </w:rPr>
        <w:t>以采购人</w:t>
      </w:r>
      <w:r>
        <w:rPr>
          <w:rFonts w:hint="eastAsia" w:asciiTheme="minorEastAsia" w:hAnsiTheme="minorEastAsia" w:eastAsiaTheme="minorEastAsia" w:cstheme="minorEastAsia"/>
          <w:bCs/>
          <w:sz w:val="24"/>
          <w:szCs w:val="24"/>
        </w:rPr>
        <w:t>通知为准。</w:t>
      </w:r>
    </w:p>
    <w:p>
      <w:pPr>
        <w:numPr>
          <w:ilvl w:val="0"/>
          <w:numId w:val="1"/>
        </w:numPr>
        <w:spacing w:before="120" w:beforeLines="50" w:after="120" w:afterLines="50" w:line="360" w:lineRule="auto"/>
        <w:ind w:left="0"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施工注意事项</w:t>
      </w:r>
    </w:p>
    <w:p>
      <w:pPr>
        <w:spacing w:line="360" w:lineRule="auto"/>
        <w:ind w:firstLine="56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（一）施工单位应到施工现场充分察勘，对影响施工质量的潜在风险进行评估，施工方应充分考虑成品保护措施费，清晰了解本项目的施工要求及其工程量；</w:t>
      </w:r>
    </w:p>
    <w:p>
      <w:pPr>
        <w:spacing w:line="360" w:lineRule="auto"/>
        <w:ind w:firstLine="56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三）施工单位施工前办理好所有工作票证，做好安全技术交底，必须遵守甲方安全操作规程和安全生产纪律，特种作业人员必须持证上岗，如焊工证等；办理相关的票证手续后方可作业；项目经理或安全员到场管理，且人证合一</w:t>
      </w:r>
      <w:r>
        <w:rPr>
          <w:rFonts w:hint="eastAsia" w:asciiTheme="minorEastAsia" w:hAnsiTheme="minorEastAsia" w:eastAsiaTheme="minorEastAsia" w:cstheme="minorEastAsia"/>
          <w:sz w:val="24"/>
          <w:lang w:eastAsia="zh-CN"/>
        </w:rPr>
        <w:t>；</w:t>
      </w:r>
    </w:p>
    <w:p>
      <w:pPr>
        <w:pStyle w:val="2"/>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（五）施工位置应进行围蔽作业及挂警示标识，做好安全措施</w:t>
      </w:r>
      <w:r>
        <w:rPr>
          <w:rFonts w:hint="eastAsia" w:asciiTheme="minorEastAsia" w:hAnsiTheme="minorEastAsia" w:eastAsiaTheme="minorEastAsia" w:cstheme="minorEastAsia"/>
          <w:sz w:val="24"/>
          <w:szCs w:val="24"/>
          <w:lang w:eastAsia="zh-CN"/>
        </w:rPr>
        <w:t>；</w:t>
      </w:r>
    </w:p>
    <w:p>
      <w:pPr>
        <w:spacing w:line="360" w:lineRule="auto"/>
        <w:ind w:firstLine="480" w:firstLineChars="200"/>
        <w:jc w:val="left"/>
        <w:rPr>
          <w:rFonts w:hint="eastAsia" w:eastAsiaTheme="minorEastAsia"/>
          <w:b/>
          <w:bCs/>
          <w:highlight w:val="none"/>
          <w:lang w:eastAsia="zh-CN"/>
        </w:rPr>
      </w:pPr>
      <w:r>
        <w:rPr>
          <w:rFonts w:hint="eastAsia" w:asciiTheme="minorEastAsia" w:hAnsiTheme="minorEastAsia" w:eastAsiaTheme="minorEastAsia" w:cstheme="minorEastAsia"/>
          <w:sz w:val="24"/>
        </w:rPr>
        <w:t>（六）包建筑垃圾外运，完工后场地清理。</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6"/>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left="425" w:right="425" w:firstLine="480" w:firstLineChars="200"/>
        <w:rPr>
          <w:rFonts w:ascii="宋体" w:hAnsi="宋体" w:cs="宋体"/>
          <w:bCs/>
          <w:kern w:val="0"/>
          <w:sz w:val="24"/>
        </w:rPr>
      </w:pPr>
      <w:r>
        <w:rPr>
          <w:rFonts w:hint="eastAsia" w:asciiTheme="minorEastAsia" w:hAnsiTheme="minorEastAsia" w:eastAsiaTheme="minorEastAsia" w:cstheme="minorEastAsia"/>
          <w:sz w:val="24"/>
        </w:rPr>
        <w:t>本项目施工工期</w:t>
      </w:r>
      <w:r>
        <w:rPr>
          <w:rFonts w:hint="eastAsia" w:asciiTheme="minorEastAsia" w:hAnsiTheme="minorEastAsia" w:eastAsiaTheme="minorEastAsia" w:cstheme="minorEastAsia"/>
          <w:sz w:val="24"/>
          <w:lang w:val="en-US" w:eastAsia="zh-CN"/>
        </w:rPr>
        <w:t>60个</w:t>
      </w:r>
      <w:r>
        <w:rPr>
          <w:rFonts w:hint="eastAsia" w:asciiTheme="minorEastAsia" w:hAnsiTheme="minorEastAsia" w:eastAsiaTheme="minorEastAsia" w:cstheme="minorEastAsia"/>
          <w:sz w:val="24"/>
        </w:rPr>
        <w:t>日历天（含节假日，连续计算），具体开工日期以甲方通知为准。</w:t>
      </w:r>
    </w:p>
    <w:p>
      <w:pPr>
        <w:numPr>
          <w:ilvl w:val="0"/>
          <w:numId w:val="6"/>
        </w:numPr>
        <w:spacing w:before="120" w:beforeLines="50" w:after="120" w:afterLines="50" w:line="360" w:lineRule="auto"/>
        <w:ind w:left="0" w:firstLine="480" w:firstLineChars="200"/>
        <w:rPr>
          <w:sz w:val="24"/>
        </w:rPr>
      </w:pPr>
      <w:r>
        <w:rPr>
          <w:rFonts w:hint="eastAsia"/>
          <w:sz w:val="24"/>
        </w:rPr>
        <w:t>工程验收标准及方式</w:t>
      </w:r>
    </w:p>
    <w:p>
      <w:pPr>
        <w:spacing w:before="0" w:beforeLines="-2147483648" w:after="0" w:afterLines="-2147483648" w:line="360" w:lineRule="auto"/>
        <w:ind w:firstLine="480" w:firstLineChars="200"/>
        <w:rPr>
          <w:rFonts w:hint="eastAsia" w:asciiTheme="minorEastAsia" w:hAnsiTheme="minorEastAsia" w:eastAsiaTheme="minorEastAsia" w:cstheme="minorEastAsia"/>
          <w:bCs/>
          <w:kern w:val="0"/>
          <w:sz w:val="24"/>
          <w:lang w:eastAsia="zh-CN"/>
        </w:rPr>
      </w:pPr>
      <w:r>
        <w:rPr>
          <w:rFonts w:hint="eastAsia" w:asciiTheme="minorEastAsia" w:hAnsiTheme="minorEastAsia" w:eastAsiaTheme="minorEastAsia" w:cstheme="minorEastAsia"/>
          <w:bCs/>
          <w:kern w:val="0"/>
          <w:sz w:val="24"/>
          <w:lang w:val="en-US" w:eastAsia="zh-CN"/>
        </w:rPr>
        <w:t>1、</w:t>
      </w:r>
      <w:r>
        <w:rPr>
          <w:rFonts w:hint="eastAsia" w:asciiTheme="minorEastAsia" w:hAnsiTheme="minorEastAsia" w:eastAsiaTheme="minorEastAsia" w:cstheme="minorEastAsia"/>
          <w:bCs/>
          <w:kern w:val="0"/>
          <w:sz w:val="24"/>
        </w:rPr>
        <w:t>工程验收的参考标准：《城镇供热管网工程施工及验收规范》（CJJ28-2014）</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rPr>
        <w:t>《工业金属管道工程施工规范》（GB50235-2010）要求</w:t>
      </w:r>
      <w:r>
        <w:rPr>
          <w:rFonts w:hint="eastAsia" w:asciiTheme="minorEastAsia" w:hAnsiTheme="minorEastAsia" w:eastAsiaTheme="minorEastAsia" w:cstheme="minorEastAsia"/>
          <w:bCs/>
          <w:kern w:val="0"/>
          <w:sz w:val="24"/>
          <w:lang w:val="en-US" w:eastAsia="zh-CN"/>
        </w:rPr>
        <w:t>及</w:t>
      </w:r>
      <w:r>
        <w:rPr>
          <w:rFonts w:hint="eastAsia" w:asciiTheme="minorEastAsia" w:hAnsiTheme="minorEastAsia" w:eastAsiaTheme="minorEastAsia" w:cstheme="minorEastAsia"/>
          <w:bCs/>
          <w:kern w:val="0"/>
          <w:sz w:val="24"/>
        </w:rPr>
        <w:t>国家和行业相关的其他质量验收标准要求执行</w:t>
      </w:r>
      <w:r>
        <w:rPr>
          <w:rFonts w:hint="eastAsia" w:asciiTheme="minorEastAsia" w:hAnsiTheme="minorEastAsia" w:eastAsiaTheme="minorEastAsia" w:cstheme="minorEastAsia"/>
          <w:bCs/>
          <w:kern w:val="0"/>
          <w:sz w:val="24"/>
          <w:lang w:eastAsia="zh-CN"/>
        </w:rPr>
        <w:t>。</w:t>
      </w:r>
    </w:p>
    <w:p>
      <w:pPr>
        <w:spacing w:before="120" w:beforeLines="50" w:after="120" w:afterLines="50" w:line="360" w:lineRule="auto"/>
        <w:ind w:firstLine="480" w:firstLineChars="200"/>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bCs/>
          <w:kern w:val="0"/>
          <w:sz w:val="24"/>
          <w:lang w:val="en-US" w:eastAsia="zh-CN"/>
        </w:rPr>
        <w:t>中标单位</w:t>
      </w:r>
      <w:r>
        <w:rPr>
          <w:rFonts w:hint="eastAsia" w:asciiTheme="minorEastAsia" w:hAnsiTheme="minorEastAsia" w:eastAsiaTheme="minorEastAsia" w:cstheme="minorEastAsia"/>
          <w:bCs/>
          <w:kern w:val="0"/>
          <w:sz w:val="24"/>
        </w:rPr>
        <w:t>采购的主材，须提供厂家合格证、检验证明、发货单、货运单、订货合同等证明文件，材料到达现场应通知</w:t>
      </w:r>
      <w:r>
        <w:rPr>
          <w:rFonts w:hint="eastAsia" w:asciiTheme="minorEastAsia" w:hAnsiTheme="minorEastAsia" w:eastAsiaTheme="minorEastAsia" w:cstheme="minorEastAsia"/>
          <w:bCs/>
          <w:kern w:val="0"/>
          <w:sz w:val="24"/>
          <w:lang w:val="en-US" w:eastAsia="zh-CN"/>
        </w:rPr>
        <w:t>采购人</w:t>
      </w:r>
      <w:r>
        <w:rPr>
          <w:rFonts w:hint="eastAsia" w:asciiTheme="minorEastAsia" w:hAnsiTheme="minorEastAsia" w:eastAsiaTheme="minorEastAsia" w:cstheme="minorEastAsia"/>
          <w:bCs/>
          <w:kern w:val="0"/>
          <w:sz w:val="24"/>
        </w:rPr>
        <w:t>项目负责人现场检查查验，确认合格后方可安装使用。</w:t>
      </w:r>
    </w:p>
    <w:p>
      <w:pPr>
        <w:spacing w:before="120" w:beforeLines="50" w:after="120" w:afterLines="50" w:line="360" w:lineRule="auto"/>
        <w:ind w:left="420" w:left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（三）工程验收的方式</w:t>
      </w:r>
    </w:p>
    <w:p>
      <w:pPr>
        <w:numPr>
          <w:ilvl w:val="0"/>
          <w:numId w:val="7"/>
        </w:numPr>
        <w:spacing w:before="120" w:beforeLines="50" w:after="120" w:afterLines="50"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项目分材料验收、过程验收及竣工验收。</w:t>
      </w:r>
    </w:p>
    <w:p>
      <w:pPr>
        <w:numPr>
          <w:ilvl w:val="0"/>
          <w:numId w:val="7"/>
        </w:numPr>
        <w:spacing w:before="120" w:beforeLines="50" w:after="120" w:afterLines="50"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施工单位在完工后，须提前3天提交工程验收进度计划给采购人，以便采购人组织相关人员对项目进行验收。</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3.施工方全部施工完毕，通知采购方，由采购方根据现场条件组织验收。</w:t>
      </w:r>
    </w:p>
    <w:p>
      <w:pPr>
        <w:numPr>
          <w:ilvl w:val="255"/>
          <w:numId w:val="0"/>
        </w:numPr>
        <w:spacing w:before="120" w:beforeLines="50" w:after="120" w:afterLines="50"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4.施工单位必须将产品所有随机资料（包括但不限于设备及材料检验合格证书等）提交业主，同时将与项目有关的竣工资料一式两份一起提交给采购人</w:t>
      </w:r>
      <w:r>
        <w:rPr>
          <w:rFonts w:hint="eastAsia" w:asciiTheme="minorEastAsia" w:hAnsiTheme="minorEastAsia" w:eastAsiaTheme="minorEastAsia" w:cstheme="minorEastAsia"/>
          <w:kern w:val="0"/>
          <w:sz w:val="24"/>
        </w:rPr>
        <w:t>。</w:t>
      </w:r>
    </w:p>
    <w:p>
      <w:pPr>
        <w:spacing w:line="360" w:lineRule="auto"/>
        <w:ind w:left="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（四）质保期：本工程质保期要求为</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bidi="ar"/>
        </w:rPr>
        <w:t>质保期从验收合格之日起计算，质保期内出现任何质量问题均由施工单位免费负责维修。</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8"/>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包工、包料、包工期、包质量、包安全、包安全文明施工、包验收、包结算、包资料整理、包综合治理、包现场卫生清洁、包风险、包利润和管理费等完成本项目的全部费用</w:t>
      </w:r>
      <w:r>
        <w:rPr>
          <w:sz w:val="24"/>
        </w:rPr>
        <w:t>。</w:t>
      </w:r>
    </w:p>
    <w:p>
      <w:pPr>
        <w:numPr>
          <w:ilvl w:val="0"/>
          <w:numId w:val="8"/>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8"/>
        </w:numPr>
        <w:spacing w:before="120" w:beforeLines="50" w:after="120" w:afterLines="50" w:line="360" w:lineRule="auto"/>
        <w:ind w:left="0" w:firstLine="480" w:firstLineChars="200"/>
        <w:rPr>
          <w:sz w:val="24"/>
        </w:rPr>
      </w:pPr>
      <w:r>
        <w:rPr>
          <w:rFonts w:hint="eastAsia"/>
          <w:sz w:val="24"/>
        </w:rPr>
        <w:t>付款方式</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在本合同履行期内，若国家税费调整，合同含税金额按国家规定税率作出相应调整，供方每次申请付款应按照合同内容开具相应税率的合法有效的增值税专用发票。</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合同付款按施工进度支付，具体为：</w:t>
      </w:r>
    </w:p>
    <w:p>
      <w:pPr>
        <w:numPr>
          <w:ilvl w:val="0"/>
          <w:numId w:val="10"/>
        </w:numPr>
        <w:spacing w:before="120" w:beforeLines="50" w:after="120" w:afterLines="50" w:line="360" w:lineRule="auto"/>
        <w:ind w:firstLine="480" w:firstLineChars="200"/>
        <w:rPr>
          <w:rFonts w:hint="eastAsia" w:ascii="宋体" w:hAnsi="宋体" w:cs="Arial"/>
          <w:color w:val="000000"/>
          <w:sz w:val="24"/>
        </w:rPr>
      </w:pPr>
      <w:r>
        <w:rPr>
          <w:rFonts w:hint="eastAsia" w:ascii="宋体" w:hAnsi="宋体" w:cs="Arial"/>
          <w:color w:val="000000"/>
          <w:sz w:val="24"/>
        </w:rPr>
        <w:t>项目形象进度完成合同工程量</w:t>
      </w:r>
      <w:r>
        <w:rPr>
          <w:rFonts w:hint="eastAsia" w:ascii="宋体" w:hAnsi="宋体" w:cs="Arial"/>
          <w:color w:val="000000"/>
          <w:sz w:val="24"/>
          <w:lang w:eastAsia="zh-CN"/>
        </w:rPr>
        <w:t>4</w:t>
      </w:r>
      <w:r>
        <w:rPr>
          <w:rFonts w:hint="eastAsia" w:ascii="宋体" w:hAnsi="宋体" w:cs="Arial"/>
          <w:color w:val="000000"/>
          <w:sz w:val="24"/>
        </w:rPr>
        <w:t>0%，甲方收到乙方请款资料后15个工作日内支付至合同总价的</w:t>
      </w:r>
      <w:r>
        <w:rPr>
          <w:rFonts w:hint="eastAsia" w:ascii="宋体" w:hAnsi="宋体" w:cs="Arial"/>
          <w:color w:val="000000"/>
          <w:sz w:val="24"/>
          <w:lang w:eastAsia="zh-CN"/>
        </w:rPr>
        <w:t>2</w:t>
      </w:r>
      <w:r>
        <w:rPr>
          <w:rFonts w:hint="eastAsia" w:ascii="宋体" w:hAnsi="宋体" w:cs="Arial"/>
          <w:color w:val="000000"/>
          <w:sz w:val="24"/>
        </w:rPr>
        <w:t>0%</w:t>
      </w:r>
      <w:r>
        <w:rPr>
          <w:rFonts w:hint="eastAsia" w:ascii="宋体" w:hAnsi="宋体" w:cs="Arial"/>
          <w:color w:val="000000"/>
          <w:sz w:val="24"/>
          <w:lang w:eastAsia="zh-CN"/>
        </w:rPr>
        <w:t>。</w:t>
      </w:r>
    </w:p>
    <w:p>
      <w:pPr>
        <w:numPr>
          <w:ilvl w:val="0"/>
          <w:numId w:val="1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val="en-US" w:eastAsia="zh-CN"/>
        </w:rPr>
        <w:t>项</w:t>
      </w:r>
      <w:r>
        <w:rPr>
          <w:rFonts w:hint="eastAsia" w:ascii="宋体" w:hAnsi="宋体" w:cs="Arial"/>
          <w:color w:val="000000"/>
          <w:sz w:val="24"/>
        </w:rPr>
        <w:t>目形象进度完成合同工程量</w:t>
      </w:r>
      <w:r>
        <w:rPr>
          <w:rFonts w:hint="eastAsia" w:ascii="宋体" w:hAnsi="宋体" w:cs="Arial"/>
          <w:color w:val="000000"/>
          <w:sz w:val="24"/>
          <w:lang w:val="en-US" w:eastAsia="zh-CN"/>
        </w:rPr>
        <w:t>6</w:t>
      </w:r>
      <w:r>
        <w:rPr>
          <w:rFonts w:hint="eastAsia" w:ascii="宋体" w:hAnsi="宋体" w:cs="Arial"/>
          <w:color w:val="000000"/>
          <w:sz w:val="24"/>
        </w:rPr>
        <w:t>0%，甲方收到乙方请款资料后15个工作日内支付至合同总价的</w:t>
      </w:r>
      <w:r>
        <w:rPr>
          <w:rFonts w:hint="eastAsia" w:ascii="宋体" w:hAnsi="宋体" w:cs="Arial"/>
          <w:color w:val="000000"/>
          <w:sz w:val="24"/>
          <w:lang w:val="en-US" w:eastAsia="zh-CN"/>
        </w:rPr>
        <w:t>4</w:t>
      </w:r>
      <w:r>
        <w:rPr>
          <w:rFonts w:hint="eastAsia" w:ascii="宋体" w:hAnsi="宋体" w:cs="Arial"/>
          <w:color w:val="000000"/>
          <w:sz w:val="24"/>
        </w:rPr>
        <w:t>0%。</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（2）项目形象进度完成合同工程量80%，甲方收到乙方请款资料后15个工作日内支付至合同总价的6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（3）工程全部完工，甲方收到乙方请款资料后15个工作日内支付至合同总价的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（4）项目竣工验收合格并按甲方要求完成合同结算手续后，甲方收到乙方请款资料后15个工作日内支付工程款至合同结算总造价的97%。</w:t>
      </w:r>
    </w:p>
    <w:p>
      <w:p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rPr>
        <w:t>（5）质保期期满且乙方质保期义务按要求履行完毕后，甲方收到乙方请款资料后15个工作日内付清余款（不计利息）。</w:t>
      </w:r>
    </w:p>
    <w:p>
      <w:pPr>
        <w:numPr>
          <w:ilvl w:val="0"/>
          <w:numId w:val="9"/>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w:t>
      </w:r>
      <w:r>
        <w:rPr>
          <w:rFonts w:hint="eastAsia" w:ascii="宋体" w:hAnsi="宋体" w:cs="Arial"/>
          <w:color w:val="000000"/>
          <w:sz w:val="24"/>
          <w:lang w:val="en-US" w:eastAsia="zh-CN"/>
        </w:rPr>
        <w:t>合法有效</w:t>
      </w:r>
      <w:r>
        <w:rPr>
          <w:rFonts w:hint="eastAsia" w:ascii="宋体" w:hAnsi="宋体" w:cs="Arial"/>
          <w:color w:val="000000"/>
          <w:sz w:val="24"/>
        </w:rPr>
        <w:t>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根据采购人要求的投标文件格式，进行密封报价（盖章）。投标文件包含以下内容：</w:t>
      </w:r>
    </w:p>
    <w:p>
      <w:pPr>
        <w:numPr>
          <w:ilvl w:val="0"/>
          <w:numId w:val="11"/>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2"/>
        </w:numPr>
        <w:spacing w:before="120" w:beforeLines="50" w:after="120" w:afterLines="50" w:line="360" w:lineRule="auto"/>
        <w:ind w:left="0" w:firstLine="480" w:firstLineChars="200"/>
        <w:rPr>
          <w:rFonts w:ascii="宋体" w:hAnsi="宋体" w:cs="Arial"/>
          <w:color w:val="000000"/>
          <w:sz w:val="24"/>
        </w:rPr>
      </w:pPr>
      <w:bookmarkStart w:id="2" w:name="_Hlk33472787"/>
      <w:r>
        <w:rPr>
          <w:rFonts w:hint="eastAsia" w:ascii="宋体" w:hAnsi="宋体" w:cs="Arial"/>
          <w:color w:val="000000"/>
          <w:sz w:val="24"/>
        </w:rPr>
        <w:t>有效的企业工商营业执照、企业法人组织机构代码证书、税务登记证书（或三证合一）；</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附“信用中国”网站(www.creditchina.gov.cn)的信用记录查询结果截图或信用信息报告并打印页面加盖公章；</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Theme="minorEastAsia" w:hAnsiTheme="minorEastAsia"/>
          <w:sz w:val="24"/>
          <w:szCs w:val="28"/>
        </w:rPr>
        <w:t>投标人声明：没有处于被责令停业或破产状态，且资产未被重组、接管和冻结，声明在投标活动中3 年内没有重大违法活动和涉嫌违规行为。</w:t>
      </w:r>
      <w:r>
        <w:rPr>
          <w:rFonts w:hint="eastAsia" w:ascii="宋体" w:hAnsi="宋体" w:cs="Arial"/>
          <w:color w:val="000000"/>
          <w:sz w:val="24"/>
        </w:rPr>
        <w:t>（格式见附件</w:t>
      </w:r>
      <w:r>
        <w:rPr>
          <w:rFonts w:hint="eastAsia" w:ascii="宋体" w:hAnsi="宋体" w:cs="Arial"/>
          <w:color w:val="000000"/>
          <w:sz w:val="24"/>
          <w:lang w:val="en-US" w:eastAsia="zh-CN"/>
        </w:rPr>
        <w:t>7</w:t>
      </w:r>
      <w:r>
        <w:rPr>
          <w:rFonts w:hint="eastAsia" w:ascii="宋体" w:hAnsi="宋体" w:cs="Arial"/>
          <w:color w:val="000000"/>
          <w:sz w:val="24"/>
        </w:rPr>
        <w:t>）</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近3年内(2021年1月1日至今) 完成过类似项目业绩（需提供合同等相关证明材料复印件）；</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专职安全员具有有效的安全生产考核合格证（C类）或建筑施工企业专职安全生产管理人员有安全生产考核合格证书（C3），提供复印件；</w:t>
      </w:r>
    </w:p>
    <w:p>
      <w:pPr>
        <w:numPr>
          <w:ilvl w:val="0"/>
          <w:numId w:val="12"/>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2"/>
      <w:r>
        <w:rPr>
          <w:rFonts w:hint="eastAsia" w:ascii="宋体" w:hAnsi="宋体" w:cs="Arial"/>
          <w:color w:val="000000"/>
          <w:sz w:val="24"/>
        </w:rPr>
        <w:t>。</w:t>
      </w:r>
    </w:p>
    <w:p>
      <w:pPr>
        <w:numPr>
          <w:ilvl w:val="0"/>
          <w:numId w:val="11"/>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3"/>
        </w:numPr>
        <w:spacing w:before="120" w:beforeLines="50" w:after="120" w:afterLines="50" w:line="360" w:lineRule="auto"/>
        <w:ind w:left="0" w:firstLine="480" w:firstLineChars="200"/>
        <w:rPr>
          <w:rFonts w:ascii="宋体" w:hAnsi="宋体" w:cs="Arial"/>
          <w:color w:val="000000"/>
          <w:sz w:val="24"/>
        </w:rPr>
      </w:pPr>
      <w:bookmarkStart w:id="3" w:name="_Hlk33472829"/>
      <w:r>
        <w:rPr>
          <w:rFonts w:hint="eastAsia" w:ascii="宋体" w:hAnsi="宋体" w:cs="Arial"/>
          <w:color w:val="000000"/>
          <w:sz w:val="24"/>
        </w:rPr>
        <w:t>总体实施方案</w:t>
      </w:r>
      <w:r>
        <w:rPr>
          <w:rFonts w:hint="eastAsia" w:asciiTheme="minorEastAsia" w:hAnsiTheme="minorEastAsia" w:eastAsiaTheme="minorEastAsia" w:cstheme="minorEastAsia"/>
          <w:color w:val="000000"/>
          <w:sz w:val="24"/>
        </w:rPr>
        <w:t>；</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p>
    <w:p>
      <w:pPr>
        <w:numPr>
          <w:ilvl w:val="-1"/>
          <w:numId w:val="0"/>
        </w:numPr>
        <w:spacing w:before="120" w:beforeLines="50" w:after="120" w:afterLines="50" w:line="360" w:lineRule="auto"/>
        <w:ind w:left="0" w:leftChars="0" w:firstLine="480" w:firstLineChars="200"/>
        <w:rPr>
          <w:rFonts w:ascii="宋体" w:hAnsi="宋体" w:cs="Arial"/>
          <w:color w:val="000000"/>
          <w:sz w:val="24"/>
        </w:rPr>
      </w:pPr>
      <w:r>
        <w:rPr>
          <w:rFonts w:hint="eastAsia" w:ascii="宋体" w:hAnsi="宋体" w:cs="Arial"/>
          <w:color w:val="000000"/>
          <w:sz w:val="24"/>
        </w:rPr>
        <w:t>说明：投标人如没有提供</w:t>
      </w:r>
      <w:r>
        <w:rPr>
          <w:rFonts w:hint="eastAsia" w:ascii="宋体" w:hAnsi="宋体" w:cs="Arial"/>
          <w:color w:val="000000"/>
          <w:sz w:val="24"/>
          <w:lang w:val="en-US" w:eastAsia="zh-CN"/>
        </w:rPr>
        <w:t>施工方案的</w:t>
      </w:r>
      <w:r>
        <w:rPr>
          <w:rFonts w:hint="eastAsia" w:ascii="宋体" w:hAnsi="宋体" w:cs="Arial"/>
          <w:color w:val="000000"/>
          <w:sz w:val="24"/>
        </w:rPr>
        <w:t>，视为投标人</w:t>
      </w:r>
      <w:r>
        <w:rPr>
          <w:rFonts w:hint="eastAsia" w:ascii="宋体" w:hAnsi="宋体" w:cs="Arial"/>
          <w:color w:val="000000"/>
          <w:sz w:val="24"/>
          <w:lang w:val="en-US" w:eastAsia="zh-CN"/>
        </w:rPr>
        <w:t>承诺</w:t>
      </w:r>
      <w:r>
        <w:rPr>
          <w:rFonts w:hint="eastAsia" w:ascii="宋体" w:hAnsi="宋体" w:cs="Arial"/>
          <w:color w:val="000000"/>
          <w:sz w:val="24"/>
        </w:rPr>
        <w:t>中标后的</w:t>
      </w:r>
      <w:r>
        <w:rPr>
          <w:rFonts w:hint="eastAsia" w:ascii="宋体" w:hAnsi="宋体" w:cs="Arial"/>
          <w:color w:val="000000"/>
          <w:sz w:val="24"/>
          <w:lang w:val="en-US" w:eastAsia="zh-CN"/>
        </w:rPr>
        <w:t>施工</w:t>
      </w:r>
      <w:r>
        <w:rPr>
          <w:rFonts w:hint="eastAsia" w:ascii="宋体" w:hAnsi="宋体" w:cs="Arial"/>
          <w:color w:val="000000"/>
          <w:sz w:val="24"/>
        </w:rPr>
        <w:t>能完全满足竞选文件的要求。</w:t>
      </w:r>
      <w:bookmarkEnd w:id="3"/>
    </w:p>
    <w:p>
      <w:pPr>
        <w:numPr>
          <w:ilvl w:val="0"/>
          <w:numId w:val="11"/>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4"/>
        </w:numPr>
        <w:spacing w:before="120" w:beforeLines="50" w:after="120" w:afterLines="50" w:line="360" w:lineRule="auto"/>
        <w:ind w:left="0" w:firstLine="480" w:firstLineChars="200"/>
        <w:rPr>
          <w:rFonts w:ascii="宋体" w:hAnsi="宋体" w:cs="Arial"/>
          <w:color w:val="000000"/>
          <w:sz w:val="24"/>
        </w:rPr>
      </w:pPr>
      <w:bookmarkStart w:id="4" w:name="_Hlk33472852"/>
      <w:r>
        <w:rPr>
          <w:rFonts w:hint="eastAsia" w:ascii="宋体" w:hAnsi="宋体" w:cs="Arial"/>
          <w:color w:val="000000"/>
          <w:sz w:val="24"/>
        </w:rPr>
        <w:t>报价一览表（格式见附件1）</w:t>
      </w:r>
    </w:p>
    <w:p>
      <w:pPr>
        <w:numPr>
          <w:ilvl w:val="0"/>
          <w:numId w:val="14"/>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w:t>
      </w:r>
      <w:r>
        <w:rPr>
          <w:rFonts w:hint="eastAsia" w:ascii="宋体" w:hAnsi="宋体" w:cs="Arial"/>
          <w:color w:val="000000"/>
          <w:sz w:val="24"/>
          <w:lang w:val="en-US" w:eastAsia="zh-CN"/>
        </w:rPr>
        <w:t>投标人应</w:t>
      </w:r>
      <w:r>
        <w:rPr>
          <w:rFonts w:hint="eastAsia" w:ascii="宋体" w:hAnsi="宋体" w:cs="Arial"/>
          <w:color w:val="000000"/>
          <w:sz w:val="24"/>
        </w:rPr>
        <w:t>按本竞选文件所附工程量清单</w:t>
      </w:r>
      <w:r>
        <w:rPr>
          <w:rFonts w:hint="eastAsia" w:ascii="宋体" w:hAnsi="宋体" w:cs="Arial"/>
          <w:color w:val="000000"/>
          <w:sz w:val="24"/>
          <w:lang w:val="en-US" w:eastAsia="zh-CN"/>
        </w:rPr>
        <w:t>表</w:t>
      </w:r>
      <w:r>
        <w:rPr>
          <w:rFonts w:hint="eastAsia" w:ascii="宋体" w:hAnsi="宋体" w:cs="Arial"/>
          <w:color w:val="000000"/>
          <w:sz w:val="24"/>
        </w:rPr>
        <w:t>报价，并以此作为结算依据</w:t>
      </w:r>
      <w:r>
        <w:rPr>
          <w:rFonts w:hint="eastAsia" w:ascii="宋体" w:hAnsi="宋体" w:cs="Arial"/>
          <w:color w:val="000000"/>
          <w:sz w:val="24"/>
          <w:lang w:eastAsia="zh-CN"/>
        </w:rPr>
        <w:t>，</w:t>
      </w:r>
      <w:r>
        <w:rPr>
          <w:rFonts w:hint="eastAsia" w:ascii="宋体" w:hAnsi="宋体" w:cs="Arial"/>
          <w:color w:val="000000"/>
          <w:sz w:val="24"/>
        </w:rPr>
        <w:t>并注明未含税总价、税率和含税总价</w:t>
      </w:r>
      <w:bookmarkEnd w:id="4"/>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5" w:name="_Hlk33472865"/>
      <w:r>
        <w:rPr>
          <w:rFonts w:hint="eastAsia"/>
          <w:sz w:val="24"/>
        </w:rPr>
        <w:t>本项目采用经评审的最低投标价加信用评分评标，对投标人进行价格和信用评审，其中价格评审部分占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5"/>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6"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Pr>
          <w:rFonts w:hint="eastAsia"/>
          <w:sz w:val="24"/>
        </w:rPr>
        <w:t>。勘踏现场时间：</w:t>
      </w:r>
      <w:r>
        <w:rPr>
          <w:sz w:val="24"/>
        </w:rPr>
        <w:t>202</w:t>
      </w:r>
      <w:r>
        <w:rPr>
          <w:rFonts w:hint="eastAsia"/>
          <w:sz w:val="24"/>
        </w:rPr>
        <w:t>4</w:t>
      </w:r>
      <w:r>
        <w:rPr>
          <w:rFonts w:hint="eastAsia"/>
          <w:color w:val="FF0000"/>
          <w:sz w:val="24"/>
        </w:rPr>
        <w:t>年</w:t>
      </w:r>
      <w:r>
        <w:rPr>
          <w:rFonts w:hint="eastAsia"/>
          <w:color w:val="FF0000"/>
          <w:sz w:val="24"/>
          <w:lang w:val="en-US" w:eastAsia="zh-CN"/>
        </w:rPr>
        <w:t>12</w:t>
      </w:r>
      <w:r>
        <w:rPr>
          <w:rFonts w:hint="eastAsia"/>
          <w:color w:val="FF0000"/>
          <w:sz w:val="24"/>
        </w:rPr>
        <w:t>月</w:t>
      </w:r>
      <w:r>
        <w:rPr>
          <w:rFonts w:hint="eastAsia"/>
          <w:color w:val="FF0000"/>
          <w:sz w:val="24"/>
          <w:lang w:val="en-US" w:eastAsia="zh-CN"/>
        </w:rPr>
        <w:t>19</w:t>
      </w:r>
      <w:bookmarkStart w:id="17" w:name="_GoBack"/>
      <w:bookmarkEnd w:id="17"/>
      <w:r>
        <w:rPr>
          <w:rFonts w:hint="eastAsia"/>
          <w:color w:val="FF0000"/>
          <w:sz w:val="24"/>
        </w:rPr>
        <w:t>日</w:t>
      </w:r>
      <w:r>
        <w:rPr>
          <w:rFonts w:hint="eastAsia"/>
          <w:sz w:val="24"/>
        </w:rPr>
        <w:t>10时0分，集中地点：广州市番禺区大学城明志街1号信息枢纽楼一楼西门。勘踏现场联系人生产部</w:t>
      </w:r>
      <w:r>
        <w:rPr>
          <w:rFonts w:hint="eastAsia"/>
          <w:sz w:val="24"/>
          <w:lang w:val="en-US" w:eastAsia="zh-CN"/>
        </w:rPr>
        <w:t>贺</w:t>
      </w:r>
      <w:r>
        <w:rPr>
          <w:rFonts w:hint="eastAsia"/>
          <w:sz w:val="24"/>
        </w:rPr>
        <w:t>工，联系电话：020-393020</w:t>
      </w:r>
      <w:r>
        <w:rPr>
          <w:rFonts w:hint="eastAsia"/>
          <w:sz w:val="24"/>
          <w:lang w:val="en-US" w:eastAsia="zh-CN"/>
        </w:rPr>
        <w:t>34</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7" w:name="_Hlk33473031"/>
      <w:r>
        <w:rPr>
          <w:rFonts w:hint="eastAsia" w:ascii="宋体" w:hAnsi="宋体"/>
          <w:b/>
          <w:sz w:val="24"/>
        </w:rPr>
        <w:t>递交投标文件</w:t>
      </w:r>
    </w:p>
    <w:p>
      <w:pPr>
        <w:numPr>
          <w:ilvl w:val="0"/>
          <w:numId w:val="15"/>
        </w:numPr>
        <w:spacing w:before="120" w:beforeLines="50" w:after="120" w:afterLines="50" w:line="360" w:lineRule="auto"/>
        <w:ind w:left="0" w:firstLine="480" w:firstLineChars="200"/>
        <w:rPr>
          <w:sz w:val="24"/>
        </w:rPr>
      </w:pPr>
      <w:bookmarkStart w:id="8" w:name="_Hlk33472917"/>
      <w:bookmarkStart w:id="9" w:name="_Hlk33473061"/>
      <w:r>
        <w:rPr>
          <w:rFonts w:hint="eastAsia"/>
          <w:sz w:val="24"/>
        </w:rPr>
        <w:t>投标文件递交截止时间</w:t>
      </w:r>
      <w:r>
        <w:rPr>
          <w:rFonts w:hint="eastAsia"/>
          <w:color w:val="FF0000"/>
          <w:sz w:val="24"/>
        </w:rPr>
        <w:t>：</w:t>
      </w:r>
      <w:r>
        <w:rPr>
          <w:color w:val="FF0000"/>
          <w:sz w:val="24"/>
        </w:rPr>
        <w:t>202</w:t>
      </w:r>
      <w:r>
        <w:rPr>
          <w:rFonts w:hint="eastAsia"/>
          <w:color w:val="FF0000"/>
          <w:sz w:val="24"/>
        </w:rPr>
        <w:t>4年</w:t>
      </w:r>
      <w:r>
        <w:rPr>
          <w:rFonts w:hint="eastAsia"/>
          <w:color w:val="FF0000"/>
          <w:sz w:val="24"/>
          <w:lang w:val="en-US" w:eastAsia="zh-CN"/>
        </w:rPr>
        <w:t>12</w:t>
      </w:r>
      <w:r>
        <w:rPr>
          <w:rFonts w:hint="eastAsia"/>
          <w:color w:val="FF0000"/>
          <w:sz w:val="24"/>
        </w:rPr>
        <w:t>月</w:t>
      </w:r>
      <w:r>
        <w:rPr>
          <w:rFonts w:hint="eastAsia"/>
          <w:color w:val="FF0000"/>
          <w:sz w:val="24"/>
          <w:lang w:val="en-US" w:eastAsia="zh-CN"/>
        </w:rPr>
        <w:t>27</w:t>
      </w:r>
      <w:r>
        <w:rPr>
          <w:rFonts w:hint="eastAsia"/>
          <w:color w:val="FF0000"/>
          <w:sz w:val="24"/>
        </w:rPr>
        <w:t>日</w:t>
      </w:r>
      <w:r>
        <w:rPr>
          <w:rFonts w:hint="eastAsia"/>
          <w:sz w:val="24"/>
        </w:rPr>
        <w:t>北京时间1</w:t>
      </w:r>
      <w:r>
        <w:rPr>
          <w:rFonts w:hint="eastAsia"/>
          <w:sz w:val="24"/>
          <w:lang w:val="en-US" w:eastAsia="zh-CN"/>
        </w:rPr>
        <w:t>6</w:t>
      </w:r>
      <w:r>
        <w:rPr>
          <w:rFonts w:hint="eastAsia"/>
          <w:sz w:val="24"/>
        </w:rPr>
        <w:t>时</w:t>
      </w:r>
      <w:r>
        <w:rPr>
          <w:rFonts w:hint="eastAsia"/>
          <w:sz w:val="24"/>
          <w:lang w:val="en-US" w:eastAsia="zh-CN"/>
        </w:rPr>
        <w:t>0</w:t>
      </w:r>
      <w:r>
        <w:rPr>
          <w:rFonts w:hint="eastAsia"/>
          <w:sz w:val="24"/>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sz w:val="24"/>
          <w:lang w:eastAsia="zh-CN"/>
        </w:rPr>
        <w:t>2024年冬季检修外管网隔离改造工程</w:t>
      </w:r>
      <w:r>
        <w:rPr>
          <w:rFonts w:hint="eastAsia"/>
          <w:sz w:val="24"/>
        </w:rPr>
        <w:t>”字样。投标人递交投标文件后，请联系采购人确认。</w:t>
      </w:r>
    </w:p>
    <w:p>
      <w:pPr>
        <w:numPr>
          <w:ilvl w:val="0"/>
          <w:numId w:val="15"/>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8"/>
      <w:r>
        <w:rPr>
          <w:sz w:val="24"/>
        </w:rPr>
        <w:t>。</w:t>
      </w:r>
    </w:p>
    <w:bookmarkEnd w:id="9"/>
    <w:p>
      <w:pPr>
        <w:numPr>
          <w:ilvl w:val="0"/>
          <w:numId w:val="1"/>
        </w:numPr>
        <w:spacing w:before="120" w:beforeLines="50" w:after="120" w:afterLines="50" w:line="360" w:lineRule="auto"/>
        <w:ind w:left="0" w:firstLine="482" w:firstLineChars="200"/>
        <w:rPr>
          <w:rFonts w:ascii="宋体" w:hAnsi="宋体"/>
          <w:b/>
          <w:sz w:val="24"/>
        </w:rPr>
      </w:pPr>
      <w:bookmarkStart w:id="10" w:name="_Hlk33473147"/>
      <w:bookmarkStart w:id="11"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本竞选文件在广州国企阳光采购服务平台（http://ygcg.gzggzy.cn））、</w:t>
      </w:r>
      <w:r>
        <w:rPr>
          <w:rFonts w:hint="eastAsia" w:ascii="宋体" w:hAnsi="宋体"/>
          <w:sz w:val="24"/>
          <w:szCs w:val="24"/>
          <w:lang w:val="en-US" w:eastAsia="zh-CN"/>
        </w:rPr>
        <w:t>广州城投综合能源投资经营管理有限公司</w:t>
      </w:r>
      <w:r>
        <w:rPr>
          <w:rFonts w:hint="eastAsia"/>
          <w:sz w:val="24"/>
        </w:rPr>
        <w:t>网站（网址：</w:t>
      </w:r>
      <w:r>
        <w:rPr>
          <w:sz w:val="24"/>
        </w:rPr>
        <w:t>https://www.gzuci.com/</w:t>
      </w:r>
      <w:r>
        <w:rPr>
          <w:rFonts w:hint="eastAsia"/>
          <w:sz w:val="24"/>
        </w:rPr>
        <w:t>）同时发布。本竞选文件在各媒体发布的文本如有不同之处，以在</w:t>
      </w:r>
      <w:r>
        <w:rPr>
          <w:rFonts w:hint="eastAsia" w:ascii="宋体" w:hAnsi="宋体"/>
          <w:sz w:val="24"/>
          <w:szCs w:val="24"/>
          <w:lang w:val="en-US" w:eastAsia="zh-CN"/>
        </w:rPr>
        <w:t>广州城投综合能源投资经营管理有限公司</w:t>
      </w:r>
      <w:r>
        <w:rPr>
          <w:rFonts w:hint="eastAsia"/>
          <w:sz w:val="24"/>
        </w:rPr>
        <w:t>网站发布的文本为准。</w:t>
      </w:r>
    </w:p>
    <w:bookmarkEnd w:id="10"/>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hint="eastAsia" w:ascii="宋体" w:hAnsi="宋体" w:eastAsia="宋体"/>
          <w:sz w:val="24"/>
          <w:lang w:eastAsia="zh-CN"/>
        </w:rPr>
      </w:pPr>
      <w:r>
        <w:rPr>
          <w:rFonts w:hint="eastAsia" w:ascii="宋体" w:hAnsi="宋体"/>
          <w:sz w:val="24"/>
        </w:rPr>
        <w:t>采购单位：</w:t>
      </w:r>
      <w:r>
        <w:rPr>
          <w:rFonts w:hint="eastAsia" w:ascii="宋体" w:hAnsi="宋体"/>
          <w:sz w:val="24"/>
          <w:lang w:eastAsia="zh-CN"/>
        </w:rPr>
        <w:t>广州城投综合能源投资经营管理有限公司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ascii="宋体" w:hAnsi="宋体"/>
          <w:sz w:val="24"/>
        </w:rPr>
      </w:pPr>
      <w:r>
        <w:rPr>
          <w:rFonts w:hint="eastAsia" w:ascii="宋体" w:hAnsi="宋体"/>
          <w:sz w:val="24"/>
        </w:rPr>
        <w:t>联系人：詹工</w:t>
      </w:r>
    </w:p>
    <w:p>
      <w:pPr>
        <w:spacing w:before="120" w:beforeLines="50" w:after="120" w:afterLines="50" w:line="360" w:lineRule="auto"/>
        <w:ind w:firstLine="480" w:firstLineChars="200"/>
        <w:rPr>
          <w:rFonts w:ascii="宋体" w:hAnsi="宋体"/>
          <w:sz w:val="24"/>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rPr>
        <w:t>7</w:t>
      </w:r>
    </w:p>
    <w:p>
      <w:pPr>
        <w:spacing w:before="120" w:beforeLines="50" w:after="120" w:afterLines="50" w:line="360" w:lineRule="auto"/>
        <w:ind w:firstLine="480" w:firstLineChars="200"/>
        <w:rPr>
          <w:rFonts w:ascii="宋体" w:hAnsi="宋体"/>
          <w:sz w:val="24"/>
        </w:rPr>
      </w:pPr>
      <w:bookmarkStart w:id="12"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附件6：投标文件有效性审查表</w:t>
      </w:r>
    </w:p>
    <w:p>
      <w:pPr>
        <w:pStyle w:val="2"/>
        <w:rPr>
          <w:rFonts w:hint="default" w:eastAsia="宋体"/>
          <w:lang w:val="en-US" w:eastAsia="zh-CN"/>
        </w:rPr>
      </w:pPr>
      <w:r>
        <w:rPr>
          <w:rFonts w:hint="eastAsia" w:ascii="宋体" w:hAnsi="宋体"/>
          <w:sz w:val="24"/>
          <w:lang w:val="en-US" w:eastAsia="zh-CN"/>
        </w:rPr>
        <w:t>附件7：投标人声明</w:t>
      </w:r>
    </w:p>
    <w:p>
      <w:pPr>
        <w:pStyle w:val="8"/>
        <w:spacing w:before="120" w:beforeLines="50" w:after="120" w:afterLines="50" w:line="360" w:lineRule="auto"/>
        <w:ind w:left="0" w:leftChars="0" w:right="560"/>
        <w:jc w:val="right"/>
        <w:rPr>
          <w:rFonts w:hint="eastAsia" w:eastAsia="宋体"/>
          <w:lang w:eastAsia="zh-CN"/>
        </w:rPr>
      </w:pPr>
      <w:r>
        <w:rPr>
          <w:rFonts w:hint="eastAsia"/>
        </w:rPr>
        <w:t>采购人：</w:t>
      </w:r>
      <w:r>
        <w:rPr>
          <w:rFonts w:hint="eastAsia"/>
          <w:lang w:eastAsia="zh-CN"/>
        </w:rPr>
        <w:t>广州城投综合能源投资经营管理有限公司</w:t>
      </w:r>
    </w:p>
    <w:p>
      <w:pPr>
        <w:pStyle w:val="8"/>
        <w:spacing w:before="120" w:beforeLines="50" w:after="120" w:afterLines="50" w:line="360" w:lineRule="auto"/>
        <w:ind w:left="0" w:leftChars="0" w:right="560"/>
        <w:jc w:val="right"/>
      </w:pPr>
      <w:r>
        <w:rPr>
          <w:rFonts w:hint="eastAsia"/>
        </w:rPr>
        <w:t>2024年</w:t>
      </w:r>
      <w:r>
        <w:rPr>
          <w:rFonts w:hint="eastAsia"/>
          <w:lang w:val="en-US" w:eastAsia="zh-CN"/>
        </w:rPr>
        <w:t>12</w:t>
      </w:r>
      <w:r>
        <w:rPr>
          <w:rFonts w:hint="eastAsia"/>
        </w:rPr>
        <w:t>月</w:t>
      </w:r>
      <w:r>
        <w:rPr>
          <w:rFonts w:hint="eastAsia"/>
          <w:lang w:val="en-US" w:eastAsia="zh-CN"/>
        </w:rPr>
        <w:t>17</w:t>
      </w:r>
      <w:r>
        <w:rPr>
          <w:rFonts w:hint="eastAsia"/>
        </w:rPr>
        <w:t>日</w:t>
      </w:r>
      <w:bookmarkEnd w:id="7"/>
    </w:p>
    <w:bookmarkEnd w:id="11"/>
    <w:bookmarkEnd w:id="12"/>
    <w:p>
      <w:pPr>
        <w:spacing w:before="120" w:beforeLines="50" w:after="120" w:afterLines="50" w:line="360" w:lineRule="auto"/>
        <w:rPr>
          <w:rFonts w:ascii="宋体" w:hAnsi="宋体" w:cs="Arial"/>
          <w:color w:val="000000"/>
          <w:sz w:val="30"/>
          <w:szCs w:val="30"/>
        </w:rPr>
      </w:pPr>
    </w:p>
    <w:p>
      <w:pPr>
        <w:spacing w:before="120" w:beforeLines="50" w:after="120" w:afterLines="50" w:line="360" w:lineRule="auto"/>
        <w:rPr>
          <w:rFonts w:hAnsi="宋体"/>
          <w:b/>
          <w:sz w:val="28"/>
          <w:szCs w:val="28"/>
        </w:rPr>
      </w:pPr>
      <w:r>
        <w:rPr>
          <w:rFonts w:hint="eastAsia" w:ascii="宋体" w:hAnsi="宋体" w:cs="Arial"/>
          <w:color w:val="000000"/>
          <w:sz w:val="30"/>
          <w:szCs w:val="30"/>
        </w:rPr>
        <w:br w:type="page"/>
      </w:r>
      <w:r>
        <w:rPr>
          <w:rFonts w:hint="eastAsia" w:ascii="宋体" w:hAnsi="宋体" w:cs="Arial"/>
          <w:color w:val="000000"/>
          <w:sz w:val="30"/>
          <w:szCs w:val="30"/>
        </w:rPr>
        <w:t>附件1</w:t>
      </w:r>
    </w:p>
    <w:p>
      <w:pPr>
        <w:pStyle w:val="11"/>
        <w:ind w:firstLine="0" w:firstLineChars="0"/>
        <w:jc w:val="center"/>
        <w:rPr>
          <w:rFonts w:hAnsi="宋体"/>
          <w:b/>
          <w:sz w:val="28"/>
          <w:szCs w:val="28"/>
        </w:rPr>
      </w:pPr>
      <w:r>
        <w:rPr>
          <w:rFonts w:hAnsi="宋体"/>
          <w:b/>
          <w:sz w:val="28"/>
          <w:szCs w:val="28"/>
        </w:rPr>
        <w:t>报价一览表</w:t>
      </w:r>
    </w:p>
    <w:p>
      <w:pPr>
        <w:pStyle w:val="11"/>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ascii="宋体"/>
          <w:sz w:val="24"/>
          <w:lang w:eastAsia="zh-CN"/>
        </w:rPr>
        <w:t>2024年冬季检修外管网隔离改造工程</w:t>
      </w:r>
    </w:p>
    <w:tbl>
      <w:tblPr>
        <w:tblStyle w:val="24"/>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3"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Ansi="宋体"/>
                <w:sz w:val="24"/>
              </w:rPr>
            </w:pPr>
            <w:r>
              <w:rPr>
                <w:rFonts w:hint="eastAsia" w:hAnsi="宋体"/>
                <w:sz w:val="24"/>
              </w:rPr>
              <w:t>投标总价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其中</w:t>
            </w:r>
          </w:p>
        </w:tc>
        <w:tc>
          <w:tcPr>
            <w:tcW w:w="1844" w:type="dxa"/>
            <w:vAlign w:val="center"/>
          </w:tcPr>
          <w:p>
            <w:pPr>
              <w:jc w:val="center"/>
              <w:rPr>
                <w:rFonts w:hAnsi="宋体"/>
                <w:sz w:val="24"/>
              </w:rPr>
            </w:pPr>
            <w:r>
              <w:rPr>
                <w:rFonts w:hint="eastAsia" w:hAnsi="宋体"/>
                <w:sz w:val="24"/>
              </w:rPr>
              <w:t>不含税总价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2</w:t>
            </w:r>
          </w:p>
        </w:tc>
        <w:tc>
          <w:tcPr>
            <w:tcW w:w="1844" w:type="dxa"/>
            <w:vAlign w:val="center"/>
          </w:tcPr>
          <w:p>
            <w:pPr>
              <w:jc w:val="center"/>
              <w:rPr>
                <w:rFonts w:hAnsi="宋体"/>
                <w:sz w:val="24"/>
              </w:rPr>
            </w:pPr>
            <w:r>
              <w:rPr>
                <w:rFonts w:hint="eastAsia" w:hAnsi="宋体"/>
                <w:sz w:val="24"/>
              </w:rPr>
              <w:t>投标工期</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3</w:t>
            </w:r>
          </w:p>
        </w:tc>
        <w:tc>
          <w:tcPr>
            <w:tcW w:w="1844" w:type="dxa"/>
            <w:vAlign w:val="center"/>
          </w:tcPr>
          <w:p>
            <w:pPr>
              <w:jc w:val="center"/>
              <w:rPr>
                <w:rFonts w:hAnsi="宋体"/>
                <w:sz w:val="24"/>
              </w:rPr>
            </w:pPr>
            <w:r>
              <w:rPr>
                <w:rFonts w:hint="eastAsia" w:hAnsi="宋体"/>
                <w:sz w:val="24"/>
              </w:rPr>
              <w:t>工程质量标准</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4</w:t>
            </w:r>
          </w:p>
        </w:tc>
        <w:tc>
          <w:tcPr>
            <w:tcW w:w="1844" w:type="dxa"/>
            <w:vAlign w:val="center"/>
          </w:tcPr>
          <w:p>
            <w:pPr>
              <w:jc w:val="center"/>
              <w:rPr>
                <w:rFonts w:hAnsi="宋体"/>
                <w:sz w:val="24"/>
              </w:rPr>
            </w:pPr>
            <w:r>
              <w:rPr>
                <w:rFonts w:hint="eastAsia" w:hAnsi="宋体"/>
                <w:sz w:val="24"/>
              </w:rPr>
              <w:t>保修期限</w:t>
            </w:r>
          </w:p>
        </w:tc>
        <w:tc>
          <w:tcPr>
            <w:tcW w:w="6166" w:type="dxa"/>
            <w:gridSpan w:val="2"/>
            <w:vAlign w:val="center"/>
          </w:tcPr>
          <w:p>
            <w:pPr>
              <w:rPr>
                <w:rFonts w:hAnsi="宋体"/>
                <w:sz w:val="24"/>
              </w:rPr>
            </w:pPr>
          </w:p>
        </w:tc>
      </w:tr>
      <w:tr>
        <w:tblPrEx>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rPr>
            </w:pPr>
            <w:r>
              <w:rPr>
                <w:rFonts w:hint="eastAsia" w:hAnsi="宋体"/>
                <w:sz w:val="24"/>
              </w:rPr>
              <w:t>5</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3"/>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4"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ascii="宋体"/>
                <w:sz w:val="24"/>
                <w:lang w:eastAsia="zh-CN"/>
              </w:rPr>
              <w:t>2024年冬季检修外管网隔离改造工程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 xml:space="preserve">日期：2024年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4"/>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5"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 xml:space="preserve">日期：2024年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5"/>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7"/>
        <w:spacing w:line="360" w:lineRule="auto"/>
        <w:ind w:firstLine="424" w:firstLineChars="177"/>
        <w:rPr>
          <w:rFonts w:hAnsi="宋体"/>
          <w:bCs/>
          <w:sz w:val="24"/>
          <w:szCs w:val="24"/>
        </w:rPr>
      </w:pPr>
    </w:p>
    <w:p>
      <w:pPr>
        <w:pStyle w:val="27"/>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7"/>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7"/>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7"/>
        <w:spacing w:line="360" w:lineRule="auto"/>
        <w:ind w:firstLine="480" w:firstLineChars="200"/>
        <w:rPr>
          <w:rFonts w:hAnsi="宋体"/>
          <w:sz w:val="24"/>
          <w:szCs w:val="24"/>
          <w:u w:val="single"/>
        </w:rPr>
      </w:pPr>
      <w:r>
        <w:rPr>
          <w:rFonts w:hint="eastAsia" w:hAnsi="宋体"/>
          <w:sz w:val="24"/>
          <w:szCs w:val="24"/>
        </w:rPr>
        <w:t>　　身份证号码：</w:t>
      </w:r>
    </w:p>
    <w:p>
      <w:pPr>
        <w:pStyle w:val="27"/>
        <w:spacing w:line="360" w:lineRule="auto"/>
        <w:ind w:firstLine="480" w:firstLineChars="200"/>
        <w:rPr>
          <w:rFonts w:hAnsi="宋体"/>
          <w:sz w:val="24"/>
          <w:szCs w:val="24"/>
          <w:u w:val="single"/>
        </w:rPr>
      </w:pPr>
      <w:r>
        <w:rPr>
          <w:rFonts w:hint="eastAsia" w:hAnsi="宋体"/>
          <w:sz w:val="24"/>
          <w:szCs w:val="24"/>
        </w:rPr>
        <w:t>　　（营业执照等）注册号码：</w:t>
      </w:r>
    </w:p>
    <w:p>
      <w:pPr>
        <w:pStyle w:val="27"/>
        <w:spacing w:line="360" w:lineRule="auto"/>
        <w:ind w:firstLine="480" w:firstLineChars="200"/>
        <w:rPr>
          <w:rFonts w:hAnsi="宋体"/>
          <w:sz w:val="24"/>
          <w:szCs w:val="24"/>
          <w:u w:val="single"/>
        </w:rPr>
      </w:pPr>
      <w:r>
        <w:rPr>
          <w:rFonts w:hint="eastAsia" w:hAnsi="宋体"/>
          <w:sz w:val="24"/>
          <w:szCs w:val="24"/>
        </w:rPr>
        <w:t>　　企业类型：</w:t>
      </w:r>
    </w:p>
    <w:p>
      <w:pPr>
        <w:pStyle w:val="27"/>
        <w:spacing w:line="360" w:lineRule="auto"/>
        <w:ind w:firstLine="480" w:firstLineChars="200"/>
        <w:rPr>
          <w:rFonts w:hAnsi="宋体"/>
          <w:sz w:val="24"/>
          <w:szCs w:val="24"/>
          <w:u w:val="single"/>
        </w:rPr>
      </w:pPr>
      <w:r>
        <w:rPr>
          <w:rFonts w:hint="eastAsia" w:hAnsi="宋体"/>
          <w:sz w:val="24"/>
          <w:szCs w:val="24"/>
        </w:rPr>
        <w:t>　　经营范围：</w:t>
      </w:r>
    </w:p>
    <w:p>
      <w:pPr>
        <w:pStyle w:val="27"/>
        <w:spacing w:line="360" w:lineRule="auto"/>
        <w:rPr>
          <w:rFonts w:hAnsi="宋体"/>
          <w:sz w:val="24"/>
          <w:szCs w:val="24"/>
        </w:rPr>
      </w:pPr>
      <w:r>
        <w:rPr>
          <w:rFonts w:hint="eastAsia" w:hAnsi="宋体"/>
          <w:sz w:val="24"/>
          <w:szCs w:val="24"/>
        </w:rPr>
        <w:t>附：被授权人有效身份证正反面或其他身份证明材料复印　　　　　　　</w:t>
      </w:r>
    </w:p>
    <w:p>
      <w:pPr>
        <w:pStyle w:val="26"/>
        <w:spacing w:line="360" w:lineRule="auto"/>
        <w:jc w:val="both"/>
        <w:rPr>
          <w:rFonts w:hAnsi="宋体"/>
          <w:sz w:val="24"/>
          <w:szCs w:val="24"/>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8"/>
        </w:rPr>
      </w:pPr>
    </w:p>
    <w:p>
      <w:pPr>
        <w:pStyle w:val="26"/>
        <w:spacing w:line="360" w:lineRule="auto"/>
        <w:jc w:val="both"/>
        <w:rPr>
          <w:rFonts w:hAnsi="宋体" w:eastAsia="宋体" w:cs="宋体"/>
          <w:sz w:val="24"/>
          <w:szCs w:val="24"/>
        </w:rPr>
      </w:pPr>
      <w:r>
        <w:rPr>
          <w:rFonts w:hint="eastAsia" w:hAnsi="宋体" w:eastAsia="宋体" w:cs="宋体"/>
          <w:sz w:val="24"/>
          <w:szCs w:val="24"/>
        </w:rPr>
        <w:t>（单位盖章）：</w:t>
      </w:r>
    </w:p>
    <w:p>
      <w:pPr>
        <w:pStyle w:val="26"/>
        <w:spacing w:line="360" w:lineRule="auto"/>
        <w:jc w:val="both"/>
        <w:rPr>
          <w:rFonts w:hAnsi="宋体" w:eastAsia="宋体" w:cs="宋体"/>
          <w:sz w:val="24"/>
          <w:szCs w:val="24"/>
        </w:rPr>
      </w:pPr>
    </w:p>
    <w:p>
      <w:pPr>
        <w:pStyle w:val="26"/>
        <w:spacing w:line="360" w:lineRule="auto"/>
        <w:jc w:val="both"/>
        <w:rPr>
          <w:rFonts w:hAnsi="宋体" w:eastAsia="宋体" w:cs="宋体"/>
          <w:sz w:val="24"/>
          <w:szCs w:val="24"/>
        </w:rPr>
      </w:pPr>
      <w:bookmarkStart w:id="16" w:name="_Hlk33473384"/>
      <w:r>
        <w:rPr>
          <w:rFonts w:hint="eastAsia" w:hAnsi="宋体" w:eastAsia="宋体" w:cs="宋体"/>
          <w:sz w:val="24"/>
          <w:szCs w:val="24"/>
        </w:rPr>
        <w:t>法定代表人（签字或盖章）：</w:t>
      </w:r>
    </w:p>
    <w:p>
      <w:pPr>
        <w:pStyle w:val="26"/>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6"/>
        <w:spacing w:line="360" w:lineRule="auto"/>
        <w:jc w:val="both"/>
        <w:rPr>
          <w:rFonts w:hAnsi="宋体" w:eastAsia="宋体" w:cs="宋体"/>
          <w:sz w:val="24"/>
          <w:szCs w:val="24"/>
        </w:rPr>
      </w:pPr>
      <w:r>
        <w:rPr>
          <w:rFonts w:hint="eastAsia" w:hAnsi="宋体" w:eastAsia="宋体" w:cs="宋体"/>
          <w:sz w:val="24"/>
          <w:szCs w:val="24"/>
        </w:rPr>
        <w:t>日期： 2024年   月  日</w:t>
      </w:r>
    </w:p>
    <w:p>
      <w:pPr>
        <w:rPr>
          <w:sz w:val="24"/>
        </w:rPr>
      </w:pPr>
      <w:r>
        <w:rPr>
          <w:rFonts w:hint="eastAsia" w:hAnsi="宋体" w:cs="宋体"/>
          <w:sz w:val="24"/>
          <w:lang w:val="zh-CN"/>
        </w:rPr>
        <w:t>说明：法定代表人亲自办理投标事宜的，无需提交本证明书。</w:t>
      </w:r>
    </w:p>
    <w:bookmarkEnd w:id="16"/>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2024年冬季检修外管网隔离改造工程</w:t>
      </w:r>
    </w:p>
    <w:tbl>
      <w:tblPr>
        <w:tblStyle w:val="24"/>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szCs w:val="21"/>
              </w:rPr>
            </w:pPr>
            <w:r>
              <w:rPr>
                <w:rFonts w:hint="eastAsia" w:ascii="宋体" w:hAnsi="宋体" w:cs="宋体"/>
                <w:szCs w:val="21"/>
              </w:rPr>
              <w:t>3</w:t>
            </w:r>
          </w:p>
        </w:tc>
        <w:tc>
          <w:tcPr>
            <w:tcW w:w="6862" w:type="dxa"/>
            <w:shd w:val="clear" w:color="auto" w:fill="auto"/>
            <w:vAlign w:val="center"/>
          </w:tcPr>
          <w:p>
            <w:pPr>
              <w:rPr>
                <w:rFonts w:hint="eastAsia" w:ascii="宋体" w:hAnsi="宋体" w:eastAsia="宋体" w:cs="宋体"/>
                <w:szCs w:val="21"/>
                <w:lang w:eastAsia="zh-CN"/>
              </w:rPr>
            </w:pPr>
            <w:r>
              <w:rPr>
                <w:rFonts w:hint="eastAsia" w:ascii="宋体" w:hAnsi="宋体"/>
                <w:szCs w:val="21"/>
              </w:rPr>
              <w:t>具有机电工程施工总承包叁级及以上资质；或具有建筑机电安装工程专业承包叁级及以上资质；或具有市政公用工程施工总承包叁级及以上资质；</w:t>
            </w:r>
            <w:r>
              <w:rPr>
                <w:rFonts w:hint="eastAsia" w:ascii="宋体" w:hAnsi="宋体"/>
                <w:szCs w:val="21"/>
                <w:lang w:eastAsia="zh-CN"/>
              </w:rPr>
              <w:t>（</w:t>
            </w:r>
            <w:r>
              <w:rPr>
                <w:rFonts w:hint="eastAsia" w:ascii="宋体" w:hAnsi="宋体"/>
                <w:szCs w:val="21"/>
                <w:lang w:val="en-US" w:eastAsia="zh-CN"/>
              </w:rPr>
              <w:t>均应在有效期内</w:t>
            </w:r>
            <w:r>
              <w:rPr>
                <w:rFonts w:hint="eastAsia" w:ascii="宋体" w:hAnsi="宋体"/>
                <w:szCs w:val="21"/>
                <w:lang w:eastAsia="zh-CN"/>
              </w:rPr>
              <w:t>）</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4</w:t>
            </w:r>
          </w:p>
        </w:tc>
        <w:tc>
          <w:tcPr>
            <w:tcW w:w="686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r>
              <w:rPr>
                <w:rFonts w:hint="eastAsia" w:ascii="宋体" w:hAnsi="宋体"/>
                <w:bCs/>
                <w:szCs w:val="21"/>
              </w:rPr>
              <w:t>5</w:t>
            </w:r>
          </w:p>
        </w:tc>
        <w:tc>
          <w:tcPr>
            <w:tcW w:w="6862" w:type="dxa"/>
            <w:vAlign w:val="center"/>
          </w:tcPr>
          <w:p>
            <w:pPr>
              <w:rPr>
                <w:rFonts w:ascii="宋体" w:hAnsi="宋体" w:cs="宋体"/>
                <w:szCs w:val="21"/>
              </w:rPr>
            </w:pPr>
            <w:r>
              <w:rPr>
                <w:rFonts w:hint="eastAsia" w:ascii="宋体" w:hAnsi="宋体" w:cs="宋体"/>
                <w:szCs w:val="21"/>
              </w:rPr>
              <w:t>近3年内(2021年1月1日至今) 完成过类似项目施工业绩（需提供合同等相关证明材料复印件）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sz w:val="24"/>
          <w:lang w:eastAsia="zh-CN"/>
        </w:rPr>
        <w:t>2024年冬季检修外管网隔离改造工程</w:t>
      </w:r>
    </w:p>
    <w:tbl>
      <w:tblPr>
        <w:tblStyle w:val="24"/>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投标文件按竞选文件规定的格式填写，</w:t>
            </w:r>
            <w:r>
              <w:rPr>
                <w:rFonts w:hint="eastAsia" w:ascii="宋体" w:hAnsi="宋体"/>
                <w:szCs w:val="21"/>
                <w:lang w:val="en-US" w:eastAsia="zh-CN"/>
              </w:rPr>
              <w:t>不存在</w:t>
            </w:r>
            <w:r>
              <w:rPr>
                <w:rFonts w:hint="eastAsia" w:ascii="宋体" w:hAnsi="宋体"/>
                <w:szCs w:val="21"/>
              </w:rPr>
              <w:t>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3</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投标人未被列入“信用中国”网站(www.creditchina.gov.cn)记录失信被执行人名单,须提供“信用中国”网站(www.creditchina.gov.cn)的信用记录查询结果截图或信用信息报告并打印页面加盖公章。</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cs="宋体"/>
                <w:szCs w:val="21"/>
              </w:rPr>
            </w:pPr>
            <w:r>
              <w:rPr>
                <w:rFonts w:hint="eastAsia" w:ascii="宋体" w:hAnsi="宋体" w:cs="宋体"/>
                <w:szCs w:val="21"/>
              </w:rPr>
              <w:t>4</w:t>
            </w:r>
          </w:p>
        </w:tc>
        <w:tc>
          <w:tcPr>
            <w:tcW w:w="6410" w:type="dxa"/>
            <w:shd w:val="clear" w:color="auto" w:fill="auto"/>
            <w:vAlign w:val="center"/>
          </w:tcPr>
          <w:p>
            <w:pPr>
              <w:rPr>
                <w:rFonts w:ascii="宋体" w:hAnsi="宋体" w:cs="宋体"/>
                <w:szCs w:val="21"/>
              </w:rPr>
            </w:pPr>
            <w:r>
              <w:rPr>
                <w:rFonts w:hint="eastAsia" w:ascii="宋体" w:hAnsi="宋体" w:cs="宋体"/>
                <w:szCs w:val="21"/>
              </w:rPr>
              <w:t>投标人提供：投标人声明没有处于被责令停业或破产状态，且资产未被重组、接管和冻结，声明在投标活动中3年内没有重大违法活动和涉嫌违规行为的文件。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lang w:val="en-US" w:eastAsia="zh-CN"/>
              </w:rPr>
              <w:t>投标文件不存在：</w:t>
            </w: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6</w:t>
            </w:r>
          </w:p>
        </w:tc>
        <w:tc>
          <w:tcPr>
            <w:tcW w:w="6410" w:type="dxa"/>
            <w:shd w:val="clear" w:color="auto" w:fill="auto"/>
            <w:vAlign w:val="center"/>
          </w:tcPr>
          <w:p>
            <w:pPr>
              <w:rPr>
                <w:rFonts w:ascii="宋体" w:hAnsi="宋体"/>
                <w:szCs w:val="21"/>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7</w:t>
            </w:r>
          </w:p>
        </w:tc>
        <w:tc>
          <w:tcPr>
            <w:tcW w:w="6410" w:type="dxa"/>
            <w:shd w:val="clear" w:color="auto" w:fill="auto"/>
            <w:vAlign w:val="center"/>
          </w:tcPr>
          <w:p>
            <w:pPr>
              <w:rPr>
                <w:rFonts w:ascii="宋体" w:hAnsi="宋体"/>
                <w:szCs w:val="21"/>
              </w:rPr>
            </w:pPr>
            <w:r>
              <w:rPr>
                <w:rFonts w:hint="eastAsia" w:ascii="宋体" w:hAnsi="宋体" w:cs="宋体"/>
                <w:szCs w:val="21"/>
              </w:rPr>
              <w:t>投标报价</w:t>
            </w:r>
            <w:r>
              <w:rPr>
                <w:rFonts w:hint="eastAsia" w:ascii="宋体" w:hAnsi="宋体" w:cs="宋体"/>
                <w:szCs w:val="21"/>
                <w:lang w:val="en-US" w:eastAsia="zh-CN"/>
              </w:rPr>
              <w:t>未</w:t>
            </w:r>
            <w:r>
              <w:rPr>
                <w:rFonts w:hint="eastAsia" w:ascii="宋体" w:hAnsi="宋体" w:cs="宋体"/>
                <w:szCs w:val="21"/>
              </w:rPr>
              <w:t>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工期满足竞选文件要求的；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lang w:val="en-US" w:eastAsia="zh-CN"/>
              </w:rPr>
              <w:t>9</w:t>
            </w:r>
          </w:p>
        </w:tc>
        <w:tc>
          <w:tcPr>
            <w:tcW w:w="6410" w:type="dxa"/>
            <w:shd w:val="clear" w:color="auto" w:fill="auto"/>
            <w:vAlign w:val="center"/>
          </w:tcPr>
          <w:p>
            <w:pPr>
              <w:rPr>
                <w:szCs w:val="21"/>
              </w:rPr>
            </w:pPr>
            <w:r>
              <w:rPr>
                <w:rFonts w:hint="eastAsia" w:ascii="宋体" w:hAnsi="宋体" w:cs="宋体"/>
                <w:szCs w:val="21"/>
              </w:rPr>
              <w:t>投标文件</w:t>
            </w:r>
            <w:r>
              <w:rPr>
                <w:rFonts w:hint="eastAsia" w:ascii="宋体" w:hAnsi="宋体" w:cs="宋体"/>
                <w:szCs w:val="21"/>
                <w:lang w:val="en-US" w:eastAsia="zh-CN"/>
              </w:rPr>
              <w:t>未</w:t>
            </w:r>
            <w:r>
              <w:rPr>
                <w:rFonts w:hint="eastAsia" w:ascii="宋体" w:hAnsi="宋体" w:cs="宋体"/>
                <w:szCs w:val="21"/>
              </w:rPr>
              <w:t>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rPr>
                <w:rFonts w:ascii="宋体" w:hAnsi="宋体"/>
                <w:bCs/>
                <w:szCs w:val="21"/>
              </w:rPr>
            </w:pPr>
            <w:r>
              <w:rPr>
                <w:rFonts w:hint="eastAsia" w:ascii="宋体" w:hAnsi="宋体" w:cs="宋体"/>
                <w:szCs w:val="21"/>
              </w:rPr>
              <w:t>1</w:t>
            </w:r>
            <w:r>
              <w:rPr>
                <w:rFonts w:hint="eastAsia" w:ascii="宋体" w:hAnsi="宋体" w:cs="宋体"/>
                <w:szCs w:val="21"/>
                <w:lang w:val="en-US" w:eastAsia="zh-CN"/>
              </w:rPr>
              <w:t>0</w:t>
            </w:r>
          </w:p>
        </w:tc>
        <w:tc>
          <w:tcPr>
            <w:tcW w:w="6410" w:type="dxa"/>
            <w:shd w:val="clear" w:color="auto" w:fill="auto"/>
            <w:vAlign w:val="center"/>
          </w:tcPr>
          <w:p>
            <w:pPr>
              <w:rPr>
                <w:szCs w:val="21"/>
              </w:rPr>
            </w:pPr>
            <w:r>
              <w:rPr>
                <w:rFonts w:hint="eastAsia" w:ascii="宋体" w:hAnsi="宋体"/>
              </w:rPr>
              <w:t>提供专职安全员有效的安全生产考核合格证（C类）或建筑施工企业专职安全生产管理人员有效的安全生产考核合格证书（C3）复印件；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7"/>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hint="eastAsia" w:ascii="宋体" w:hAnsi="宋体"/>
          <w:sz w:val="24"/>
        </w:rPr>
        <w:sectPr>
          <w:pgSz w:w="11906" w:h="16838"/>
          <w:pgMar w:top="1418" w:right="1418" w:bottom="1418" w:left="1418" w:header="851" w:footer="992" w:gutter="0"/>
          <w:cols w:space="720" w:num="1"/>
          <w:docGrid w:linePitch="312" w:charSpace="0"/>
        </w:sectPr>
      </w:pPr>
      <w:r>
        <w:rPr>
          <w:rFonts w:hint="eastAsia" w:ascii="宋体" w:hAnsi="宋体"/>
          <w:bCs/>
          <w:sz w:val="24"/>
        </w:rPr>
        <w:t>日 期：</w:t>
      </w:r>
      <w:r>
        <w:rPr>
          <w:rFonts w:hint="eastAsia" w:ascii="宋体" w:hAnsi="宋体"/>
          <w:sz w:val="24"/>
        </w:rPr>
        <w:t>2024年月 日</w:t>
      </w:r>
    </w:p>
    <w:p>
      <w:pPr>
        <w:pStyle w:val="2"/>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附件7</w:t>
      </w:r>
    </w:p>
    <w:p>
      <w:pPr>
        <w:pStyle w:val="2"/>
        <w:rPr>
          <w:rFonts w:hint="eastAsia" w:asciiTheme="minorEastAsia" w:hAnsiTheme="minorEastAsia" w:eastAsiaTheme="minorEastAsia" w:cstheme="minorEastAsia"/>
          <w:sz w:val="32"/>
          <w:szCs w:val="32"/>
          <w:lang w:val="en-US" w:eastAsia="zh-CN"/>
        </w:rPr>
      </w:pPr>
    </w:p>
    <w:p>
      <w:pPr>
        <w:pStyle w:val="2"/>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投标人声明</w:t>
      </w:r>
    </w:p>
    <w:p>
      <w:pPr>
        <w:pStyle w:val="2"/>
        <w:rPr>
          <w:rFonts w:hint="eastAsia" w:asciiTheme="minorEastAsia" w:hAnsiTheme="minorEastAsia" w:eastAsiaTheme="minorEastAsia" w:cstheme="minorEastAsia"/>
          <w:b/>
          <w:bCs/>
          <w:sz w:val="32"/>
          <w:szCs w:val="32"/>
          <w:lang w:val="en-US" w:eastAsia="zh-CN"/>
        </w:rPr>
      </w:pPr>
    </w:p>
    <w:p>
      <w:pPr>
        <w:pStyle w:val="2"/>
        <w:spacing w:line="360" w:lineRule="auto"/>
        <w:ind w:firstLine="960" w:firstLineChars="3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我司</w:t>
      </w:r>
      <w:r>
        <w:rPr>
          <w:rFonts w:hint="eastAsia" w:asciiTheme="minorEastAsia" w:hAnsiTheme="minorEastAsia" w:eastAsiaTheme="minorEastAsia" w:cstheme="minorEastAsia"/>
          <w:b w:val="0"/>
          <w:bCs w:val="0"/>
          <w:sz w:val="32"/>
          <w:szCs w:val="32"/>
        </w:rPr>
        <w:t>没有处于被责令停业或破产状态，且资产未被重组、接管和冻结，在投标活动中3年内没有重大违法活动和涉嫌违规行为。</w:t>
      </w: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bCs/>
          <w:sz w:val="32"/>
          <w:szCs w:val="32"/>
        </w:rPr>
      </w:pPr>
    </w:p>
    <w:p>
      <w:pPr>
        <w:pStyle w:val="2"/>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val="0"/>
          <w:bCs w:val="0"/>
          <w:sz w:val="32"/>
          <w:szCs w:val="32"/>
          <w:lang w:val="en-US" w:eastAsia="zh-CN"/>
        </w:rPr>
        <w:t xml:space="preserve">  公司（公章）</w:t>
      </w:r>
    </w:p>
    <w:p>
      <w:pPr>
        <w:pStyle w:val="2"/>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                                     年  月   日</w:t>
      </w:r>
    </w:p>
    <w:p>
      <w:pPr>
        <w:pStyle w:val="2"/>
        <w:rPr>
          <w:rFonts w:hint="eastAsia" w:asciiTheme="minorEastAsia" w:hAnsiTheme="minorEastAsia" w:eastAsiaTheme="minorEastAsia" w:cstheme="minorEastAsia"/>
          <w:b/>
          <w:bCs/>
          <w:sz w:val="32"/>
          <w:szCs w:val="32"/>
          <w:lang w:val="en-US" w:eastAsia="zh-CN"/>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EFB19"/>
    <w:multiLevelType w:val="singleLevel"/>
    <w:tmpl w:val="BDFEFB19"/>
    <w:lvl w:ilvl="0" w:tentative="0">
      <w:start w:val="1"/>
      <w:numFmt w:val="chineseCounting"/>
      <w:suff w:val="nothing"/>
      <w:lvlText w:val="（%1）"/>
      <w:lvlJc w:val="left"/>
      <w:rPr>
        <w:rFonts w:hint="eastAsia"/>
      </w:rPr>
    </w:lvl>
  </w:abstractNum>
  <w:abstractNum w:abstractNumId="1">
    <w:nsid w:val="E71FE263"/>
    <w:multiLevelType w:val="singleLevel"/>
    <w:tmpl w:val="E71FE263"/>
    <w:lvl w:ilvl="0" w:tentative="0">
      <w:start w:val="1"/>
      <w:numFmt w:val="chineseCounting"/>
      <w:suff w:val="nothing"/>
      <w:lvlText w:val="（%1）"/>
      <w:lvlJc w:val="left"/>
      <w:rPr>
        <w:rFonts w:hint="eastAsia"/>
      </w:rPr>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5891E0"/>
    <w:multiLevelType w:val="singleLevel"/>
    <w:tmpl w:val="045891E0"/>
    <w:lvl w:ilvl="0" w:tentative="0">
      <w:start w:val="1"/>
      <w:numFmt w:val="decimal"/>
      <w:suff w:val="nothing"/>
      <w:lvlText w:val="（%1）"/>
      <w:lvlJc w:val="left"/>
    </w:lvl>
  </w:abstractNum>
  <w:abstractNum w:abstractNumId="4">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2DE5B4"/>
    <w:multiLevelType w:val="singleLevel"/>
    <w:tmpl w:val="572DE5B4"/>
    <w:lvl w:ilvl="0" w:tentative="0">
      <w:start w:val="1"/>
      <w:numFmt w:val="decimal"/>
      <w:suff w:val="nothing"/>
      <w:lvlText w:val="%1."/>
      <w:lvlJc w:val="left"/>
    </w:lvl>
  </w:abstractNum>
  <w:abstractNum w:abstractNumId="14">
    <w:nsid w:val="60EF729C"/>
    <w:multiLevelType w:val="multilevel"/>
    <w:tmpl w:val="60EF729C"/>
    <w:lvl w:ilvl="0" w:tentative="0">
      <w:start w:val="1"/>
      <w:numFmt w:val="chineseCountingThousand"/>
      <w:lvlText w:val="(%1)"/>
      <w:lvlJc w:val="left"/>
      <w:pPr>
        <w:ind w:left="980" w:hanging="420"/>
      </w:pPr>
      <w:rPr>
        <w:rFonts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76062498"/>
    <w:multiLevelType w:val="multilevel"/>
    <w:tmpl w:val="7606249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7CE70E6D"/>
    <w:multiLevelType w:val="singleLevel"/>
    <w:tmpl w:val="7CE70E6D"/>
    <w:lvl w:ilvl="0" w:tentative="0">
      <w:start w:val="1"/>
      <w:numFmt w:val="decimal"/>
      <w:suff w:val="nothing"/>
      <w:lvlText w:val="%1."/>
      <w:lvlJc w:val="left"/>
    </w:lvl>
  </w:abstractNum>
  <w:num w:numId="1">
    <w:abstractNumId w:val="2"/>
  </w:num>
  <w:num w:numId="2">
    <w:abstractNumId w:val="7"/>
  </w:num>
  <w:num w:numId="3">
    <w:abstractNumId w:val="14"/>
  </w:num>
  <w:num w:numId="4">
    <w:abstractNumId w:val="0"/>
  </w:num>
  <w:num w:numId="5">
    <w:abstractNumId w:val="1"/>
  </w:num>
  <w:num w:numId="6">
    <w:abstractNumId w:val="5"/>
  </w:num>
  <w:num w:numId="7">
    <w:abstractNumId w:val="15"/>
  </w:num>
  <w:num w:numId="8">
    <w:abstractNumId w:val="11"/>
  </w:num>
  <w:num w:numId="9">
    <w:abstractNumId w:val="6"/>
  </w:num>
  <w:num w:numId="10">
    <w:abstractNumId w:val="3"/>
  </w:num>
  <w:num w:numId="11">
    <w:abstractNumId w:val="12"/>
  </w:num>
  <w:num w:numId="12">
    <w:abstractNumId w:val="4"/>
  </w:num>
  <w:num w:numId="13">
    <w:abstractNumId w:val="10"/>
  </w:num>
  <w:num w:numId="14">
    <w:abstractNumId w:val="9"/>
  </w:num>
  <w:num w:numId="15">
    <w:abstractNumId w:val="8"/>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14E8B"/>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229A"/>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5D30"/>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39C4"/>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10BF"/>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2426F88"/>
    <w:rsid w:val="02924B96"/>
    <w:rsid w:val="038832FE"/>
    <w:rsid w:val="042B4404"/>
    <w:rsid w:val="049C609A"/>
    <w:rsid w:val="049D203B"/>
    <w:rsid w:val="05170E2A"/>
    <w:rsid w:val="05F33E19"/>
    <w:rsid w:val="08A607DC"/>
    <w:rsid w:val="0BB772E4"/>
    <w:rsid w:val="0C5359EF"/>
    <w:rsid w:val="0CA3463F"/>
    <w:rsid w:val="0E2B21BD"/>
    <w:rsid w:val="0FF11DF9"/>
    <w:rsid w:val="0FFF5BD0"/>
    <w:rsid w:val="101A2CF7"/>
    <w:rsid w:val="109255ED"/>
    <w:rsid w:val="12342DAB"/>
    <w:rsid w:val="126025B5"/>
    <w:rsid w:val="12AD7924"/>
    <w:rsid w:val="13033C28"/>
    <w:rsid w:val="13B94E90"/>
    <w:rsid w:val="13BF1349"/>
    <w:rsid w:val="14DD2439"/>
    <w:rsid w:val="16FA62BC"/>
    <w:rsid w:val="19367B17"/>
    <w:rsid w:val="1B85573B"/>
    <w:rsid w:val="1F8751EC"/>
    <w:rsid w:val="20674731"/>
    <w:rsid w:val="214926E0"/>
    <w:rsid w:val="21841F76"/>
    <w:rsid w:val="222C3F22"/>
    <w:rsid w:val="22BC712C"/>
    <w:rsid w:val="22CB6B74"/>
    <w:rsid w:val="242A1E4E"/>
    <w:rsid w:val="24874F28"/>
    <w:rsid w:val="24ED39A1"/>
    <w:rsid w:val="26176E88"/>
    <w:rsid w:val="29C013EA"/>
    <w:rsid w:val="2D670935"/>
    <w:rsid w:val="2FDD7C63"/>
    <w:rsid w:val="30646834"/>
    <w:rsid w:val="35097DCD"/>
    <w:rsid w:val="37DA1FFD"/>
    <w:rsid w:val="3C823756"/>
    <w:rsid w:val="3C9B5EFD"/>
    <w:rsid w:val="3E036E1E"/>
    <w:rsid w:val="3E13186C"/>
    <w:rsid w:val="3F6D3A90"/>
    <w:rsid w:val="42310B31"/>
    <w:rsid w:val="4AA93177"/>
    <w:rsid w:val="4BC8116F"/>
    <w:rsid w:val="4F0E00F7"/>
    <w:rsid w:val="50055DC9"/>
    <w:rsid w:val="50BD7AD0"/>
    <w:rsid w:val="524B628E"/>
    <w:rsid w:val="55463EB7"/>
    <w:rsid w:val="5547629B"/>
    <w:rsid w:val="55857A4F"/>
    <w:rsid w:val="5598176B"/>
    <w:rsid w:val="575B2039"/>
    <w:rsid w:val="5890674E"/>
    <w:rsid w:val="5D2C2D96"/>
    <w:rsid w:val="5D607805"/>
    <w:rsid w:val="5FA63A90"/>
    <w:rsid w:val="638C0B98"/>
    <w:rsid w:val="656F3231"/>
    <w:rsid w:val="65C636CA"/>
    <w:rsid w:val="682D569C"/>
    <w:rsid w:val="691A5ECD"/>
    <w:rsid w:val="691B6ACA"/>
    <w:rsid w:val="691F79C3"/>
    <w:rsid w:val="697F115B"/>
    <w:rsid w:val="6AB5708C"/>
    <w:rsid w:val="6D0B5CE5"/>
    <w:rsid w:val="74762C5D"/>
    <w:rsid w:val="782F28F7"/>
    <w:rsid w:val="796C3466"/>
    <w:rsid w:val="7B2D3227"/>
    <w:rsid w:val="7D5D521C"/>
    <w:rsid w:val="7EBB2477"/>
    <w:rsid w:val="7F9430D8"/>
    <w:rsid w:val="7FF3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subject"/>
    <w:basedOn w:val="7"/>
    <w:next w:val="7"/>
    <w:link w:val="35"/>
    <w:semiHidden/>
    <w:unhideWhenUsed/>
    <w:qFormat/>
    <w:uiPriority w:val="99"/>
    <w:rPr>
      <w:b/>
      <w:bCs/>
    </w:rPr>
  </w:style>
  <w:style w:type="paragraph" w:styleId="7">
    <w:name w:val="annotation text"/>
    <w:basedOn w:val="1"/>
    <w:link w:val="34"/>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w:basedOn w:val="1"/>
    <w:link w:val="39"/>
    <w:semiHidden/>
    <w:unhideWhenUsed/>
    <w:qFormat/>
    <w:uiPriority w:val="99"/>
    <w:pPr>
      <w:spacing w:after="120"/>
    </w:pPr>
  </w:style>
  <w:style w:type="paragraph" w:styleId="10">
    <w:name w:val="Body Text Indent"/>
    <w:basedOn w:val="1"/>
    <w:link w:val="37"/>
    <w:qFormat/>
    <w:uiPriority w:val="0"/>
    <w:pPr>
      <w:spacing w:after="120"/>
      <w:ind w:left="420" w:leftChars="200"/>
    </w:pPr>
    <w:rPr>
      <w:rFonts w:ascii="Calibri" w:hAnsi="Calibri"/>
      <w:szCs w:val="22"/>
    </w:rPr>
  </w:style>
  <w:style w:type="paragraph" w:styleId="11">
    <w:name w:val="Plain Text"/>
    <w:basedOn w:val="1"/>
    <w:link w:val="3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2">
    <w:name w:val="endnote text"/>
    <w:basedOn w:val="1"/>
    <w:link w:val="48"/>
    <w:semiHidden/>
    <w:unhideWhenUsed/>
    <w:qFormat/>
    <w:uiPriority w:val="99"/>
    <w:pPr>
      <w:snapToGrid w:val="0"/>
      <w:jc w:val="left"/>
    </w:pPr>
  </w:style>
  <w:style w:type="paragraph" w:styleId="13">
    <w:name w:val="Balloon Text"/>
    <w:basedOn w:val="1"/>
    <w:link w:val="43"/>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9">
    <w:name w:val="Strong"/>
    <w:qFormat/>
    <w:uiPriority w:val="0"/>
    <w:rPr>
      <w:b/>
      <w:bCs/>
    </w:rPr>
  </w:style>
  <w:style w:type="character" w:styleId="20">
    <w:name w:val="endnote reference"/>
    <w:basedOn w:val="18"/>
    <w:semiHidden/>
    <w:unhideWhenUsed/>
    <w:qFormat/>
    <w:uiPriority w:val="99"/>
    <w:rPr>
      <w:vertAlign w:val="superscript"/>
    </w:rPr>
  </w:style>
  <w:style w:type="character" w:styleId="21">
    <w:name w:val="Emphasis"/>
    <w:qFormat/>
    <w:uiPriority w:val="20"/>
    <w:rPr>
      <w:i/>
      <w:iCs/>
    </w:rPr>
  </w:style>
  <w:style w:type="character" w:styleId="22">
    <w:name w:val="Hyperlink"/>
    <w:basedOn w:val="18"/>
    <w:unhideWhenUsed/>
    <w:qFormat/>
    <w:uiPriority w:val="0"/>
    <w:rPr>
      <w:color w:val="0000FF"/>
      <w:u w:val="single"/>
    </w:rPr>
  </w:style>
  <w:style w:type="character" w:styleId="23">
    <w:name w:val="annotation reference"/>
    <w:basedOn w:val="18"/>
    <w:semiHidden/>
    <w:unhideWhenUsed/>
    <w:qFormat/>
    <w:uiPriority w:val="99"/>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纯文本1"/>
    <w:basedOn w:val="1"/>
    <w:qFormat/>
    <w:uiPriority w:val="0"/>
    <w:pPr>
      <w:widowControl/>
      <w:jc w:val="left"/>
    </w:pPr>
    <w:rPr>
      <w:rFonts w:ascii="宋体" w:hAnsi="Courier New" w:eastAsia="微软雅黑"/>
      <w:kern w:val="0"/>
      <w:sz w:val="20"/>
      <w:szCs w:val="21"/>
    </w:rPr>
  </w:style>
  <w:style w:type="paragraph" w:customStyle="1" w:styleId="27">
    <w:name w:val="1_0"/>
    <w:basedOn w:val="1"/>
    <w:next w:val="26"/>
    <w:qFormat/>
    <w:uiPriority w:val="0"/>
    <w:rPr>
      <w:rFonts w:ascii="宋体" w:hAnsi="Courier New"/>
      <w:szCs w:val="22"/>
    </w:rPr>
  </w:style>
  <w:style w:type="paragraph" w:customStyle="1" w:styleId="28">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9">
    <w:name w:val="页脚 字符"/>
    <w:link w:val="14"/>
    <w:qFormat/>
    <w:uiPriority w:val="0"/>
    <w:rPr>
      <w:kern w:val="2"/>
      <w:sz w:val="18"/>
      <w:szCs w:val="18"/>
    </w:rPr>
  </w:style>
  <w:style w:type="character" w:customStyle="1" w:styleId="30">
    <w:name w:val="apple-style-span"/>
    <w:basedOn w:val="18"/>
    <w:qFormat/>
    <w:uiPriority w:val="0"/>
  </w:style>
  <w:style w:type="character" w:customStyle="1" w:styleId="31">
    <w:name w:val="页眉 字符"/>
    <w:link w:val="15"/>
    <w:qFormat/>
    <w:uiPriority w:val="0"/>
    <w:rPr>
      <w:kern w:val="2"/>
      <w:sz w:val="18"/>
      <w:szCs w:val="18"/>
    </w:rPr>
  </w:style>
  <w:style w:type="character" w:customStyle="1" w:styleId="32">
    <w:name w:val="style141"/>
    <w:qFormat/>
    <w:uiPriority w:val="0"/>
    <w:rPr>
      <w:rFonts w:hint="eastAsia" w:ascii="宋体" w:hAnsi="宋体" w:eastAsia="宋体"/>
      <w:sz w:val="18"/>
      <w:szCs w:val="18"/>
    </w:rPr>
  </w:style>
  <w:style w:type="character" w:customStyle="1" w:styleId="33">
    <w:name w:val="纯文本 字符"/>
    <w:basedOn w:val="18"/>
    <w:link w:val="11"/>
    <w:qFormat/>
    <w:uiPriority w:val="0"/>
    <w:rPr>
      <w:rFonts w:ascii="宋体" w:hAnsi="Courier New" w:eastAsia="微软雅黑" w:cs="Courier New"/>
      <w:sz w:val="22"/>
      <w:szCs w:val="21"/>
    </w:rPr>
  </w:style>
  <w:style w:type="character" w:customStyle="1" w:styleId="34">
    <w:name w:val="批注文字 字符"/>
    <w:basedOn w:val="18"/>
    <w:link w:val="7"/>
    <w:semiHidden/>
    <w:qFormat/>
    <w:uiPriority w:val="99"/>
    <w:rPr>
      <w:kern w:val="2"/>
      <w:sz w:val="21"/>
      <w:szCs w:val="24"/>
    </w:rPr>
  </w:style>
  <w:style w:type="character" w:customStyle="1" w:styleId="35">
    <w:name w:val="批注主题 字符"/>
    <w:basedOn w:val="34"/>
    <w:link w:val="6"/>
    <w:semiHidden/>
    <w:qFormat/>
    <w:uiPriority w:val="99"/>
    <w:rPr>
      <w:b/>
      <w:bCs/>
      <w:kern w:val="2"/>
      <w:sz w:val="21"/>
      <w:szCs w:val="24"/>
    </w:rPr>
  </w:style>
  <w:style w:type="paragraph" w:styleId="36">
    <w:name w:val="List Paragraph"/>
    <w:basedOn w:val="1"/>
    <w:qFormat/>
    <w:uiPriority w:val="34"/>
    <w:pPr>
      <w:ind w:firstLine="420" w:firstLineChars="200"/>
    </w:pPr>
  </w:style>
  <w:style w:type="character" w:customStyle="1" w:styleId="37">
    <w:name w:val="正文文本缩进 字符"/>
    <w:basedOn w:val="18"/>
    <w:link w:val="10"/>
    <w:qFormat/>
    <w:uiPriority w:val="0"/>
    <w:rPr>
      <w:rFonts w:ascii="Calibri" w:hAnsi="Calibri"/>
      <w:kern w:val="2"/>
      <w:sz w:val="21"/>
      <w:szCs w:val="22"/>
    </w:rPr>
  </w:style>
  <w:style w:type="paragraph" w:customStyle="1" w:styleId="38">
    <w:name w:val="p18"/>
    <w:basedOn w:val="1"/>
    <w:qFormat/>
    <w:uiPriority w:val="0"/>
    <w:pPr>
      <w:widowControl/>
      <w:adjustRightInd w:val="0"/>
      <w:spacing w:line="312" w:lineRule="atLeast"/>
    </w:pPr>
    <w:rPr>
      <w:rFonts w:ascii="宋体" w:hAnsi="宋体" w:cs="宋体"/>
      <w:kern w:val="0"/>
      <w:sz w:val="24"/>
    </w:rPr>
  </w:style>
  <w:style w:type="character" w:customStyle="1" w:styleId="39">
    <w:name w:val="正文文本 字符"/>
    <w:basedOn w:val="18"/>
    <w:link w:val="9"/>
    <w:semiHidden/>
    <w:qFormat/>
    <w:uiPriority w:val="99"/>
    <w:rPr>
      <w:kern w:val="2"/>
      <w:sz w:val="21"/>
      <w:szCs w:val="24"/>
    </w:rPr>
  </w:style>
  <w:style w:type="character" w:customStyle="1" w:styleId="40">
    <w:name w:val="标题 1 字符"/>
    <w:basedOn w:val="18"/>
    <w:qFormat/>
    <w:uiPriority w:val="0"/>
    <w:rPr>
      <w:b/>
      <w:bCs/>
      <w:kern w:val="44"/>
      <w:sz w:val="44"/>
      <w:szCs w:val="44"/>
    </w:rPr>
  </w:style>
  <w:style w:type="character" w:customStyle="1" w:styleId="41">
    <w:name w:val="标题 2 字符"/>
    <w:basedOn w:val="18"/>
    <w:link w:val="4"/>
    <w:qFormat/>
    <w:uiPriority w:val="0"/>
    <w:rPr>
      <w:rFonts w:ascii="Arial" w:hAnsi="Arial" w:eastAsia="黑体"/>
      <w:b/>
      <w:bCs/>
      <w:kern w:val="2"/>
      <w:sz w:val="32"/>
      <w:szCs w:val="32"/>
    </w:rPr>
  </w:style>
  <w:style w:type="character" w:customStyle="1" w:styleId="42">
    <w:name w:val="标题 3 字符"/>
    <w:basedOn w:val="18"/>
    <w:link w:val="5"/>
    <w:qFormat/>
    <w:uiPriority w:val="0"/>
    <w:rPr>
      <w:b/>
      <w:bCs/>
      <w:kern w:val="2"/>
      <w:sz w:val="32"/>
      <w:szCs w:val="32"/>
    </w:rPr>
  </w:style>
  <w:style w:type="character" w:customStyle="1" w:styleId="43">
    <w:name w:val="批注框文本 字符"/>
    <w:basedOn w:val="18"/>
    <w:link w:val="13"/>
    <w:qFormat/>
    <w:uiPriority w:val="0"/>
    <w:rPr>
      <w:kern w:val="2"/>
      <w:sz w:val="18"/>
      <w:szCs w:val="18"/>
    </w:rPr>
  </w:style>
  <w:style w:type="character" w:customStyle="1" w:styleId="44">
    <w:name w:val="HTML 预设格式 字符"/>
    <w:basedOn w:val="18"/>
    <w:link w:val="16"/>
    <w:qFormat/>
    <w:uiPriority w:val="0"/>
    <w:rPr>
      <w:rFonts w:ascii="宋体" w:hAnsi="宋体" w:cs="宋体"/>
      <w:sz w:val="24"/>
      <w:szCs w:val="24"/>
    </w:rPr>
  </w:style>
  <w:style w:type="character" w:customStyle="1" w:styleId="45">
    <w:name w:val="标题 1 字符1"/>
    <w:link w:val="3"/>
    <w:qFormat/>
    <w:uiPriority w:val="0"/>
    <w:rPr>
      <w:b/>
      <w:bCs/>
      <w:kern w:val="44"/>
      <w:sz w:val="44"/>
      <w:szCs w:val="44"/>
    </w:rPr>
  </w:style>
  <w:style w:type="character" w:customStyle="1" w:styleId="46">
    <w:name w:val="页眉 Char"/>
    <w:qFormat/>
    <w:uiPriority w:val="0"/>
    <w:rPr>
      <w:kern w:val="2"/>
      <w:sz w:val="18"/>
      <w:szCs w:val="18"/>
      <w:lang w:val="zh-CN" w:eastAsia="zh-CN"/>
    </w:rPr>
  </w:style>
  <w:style w:type="character" w:customStyle="1" w:styleId="47">
    <w:name w:val="页脚 Char"/>
    <w:qFormat/>
    <w:uiPriority w:val="0"/>
    <w:rPr>
      <w:kern w:val="2"/>
      <w:sz w:val="18"/>
      <w:szCs w:val="18"/>
      <w:lang w:val="zh-CN" w:eastAsia="zh-CN"/>
    </w:rPr>
  </w:style>
  <w:style w:type="character" w:customStyle="1" w:styleId="48">
    <w:name w:val="尾注文本 字符"/>
    <w:basedOn w:val="18"/>
    <w:link w:val="12"/>
    <w:semiHidden/>
    <w:qFormat/>
    <w:uiPriority w:val="99"/>
    <w:rPr>
      <w:kern w:val="2"/>
      <w:sz w:val="21"/>
      <w:szCs w:val="24"/>
    </w:rPr>
  </w:style>
  <w:style w:type="character" w:customStyle="1" w:styleId="49">
    <w:name w:val="font51"/>
    <w:basedOn w:val="18"/>
    <w:qFormat/>
    <w:uiPriority w:val="0"/>
    <w:rPr>
      <w:rFonts w:ascii="微软雅黑" w:hAnsi="微软雅黑" w:eastAsia="微软雅黑" w:cs="微软雅黑"/>
      <w:color w:val="000000"/>
      <w:sz w:val="24"/>
      <w:szCs w:val="24"/>
      <w:u w:val="none"/>
    </w:rPr>
  </w:style>
  <w:style w:type="character" w:customStyle="1" w:styleId="50">
    <w:name w:val="font21"/>
    <w:basedOn w:val="18"/>
    <w:qFormat/>
    <w:uiPriority w:val="0"/>
    <w:rPr>
      <w:rFonts w:hint="default" w:ascii="Calibri" w:hAnsi="Calibri" w:cs="Calibri"/>
      <w:color w:val="000000"/>
      <w:sz w:val="21"/>
      <w:szCs w:val="21"/>
      <w:u w:val="none"/>
    </w:rPr>
  </w:style>
  <w:style w:type="character" w:customStyle="1" w:styleId="51">
    <w:name w:val="font61"/>
    <w:basedOn w:val="18"/>
    <w:qFormat/>
    <w:uiPriority w:val="0"/>
    <w:rPr>
      <w:rFonts w:hint="default" w:ascii="Calibri" w:hAnsi="Calibri" w:cs="Calibri"/>
      <w:color w:val="000000"/>
      <w:sz w:val="21"/>
      <w:szCs w:val="21"/>
      <w:u w:val="none"/>
    </w:rPr>
  </w:style>
  <w:style w:type="character" w:customStyle="1" w:styleId="52">
    <w:name w:val="font0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52606-C2A1-4D11-AD90-296B022B677B}">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22</Pages>
  <Words>1874</Words>
  <Characters>10686</Characters>
  <Lines>89</Lines>
  <Paragraphs>25</Paragraphs>
  <TotalTime>15</TotalTime>
  <ScaleCrop>false</ScaleCrop>
  <LinksUpToDate>false</LinksUpToDate>
  <CharactersWithSpaces>12535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2024-12-17T02:54:45Z</dcterms:modified>
  <dc:title>广州大学城投资经营管理有限公司</dc:title>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