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3AF8">
      <w:pPr>
        <w:tabs>
          <w:tab w:val="left" w:pos="720"/>
        </w:tabs>
        <w:spacing w:before="120" w:beforeLines="50" w:after="120" w:afterLines="50" w:line="360" w:lineRule="auto"/>
        <w:jc w:val="center"/>
        <w:rPr>
          <w:b/>
          <w:sz w:val="28"/>
          <w:szCs w:val="28"/>
        </w:rPr>
      </w:pPr>
      <w:r>
        <w:rPr>
          <w:rFonts w:hint="eastAsia"/>
          <w:b/>
          <w:sz w:val="28"/>
          <w:szCs w:val="28"/>
        </w:rPr>
        <w:t>广州城投综合能源投资经营管理有限公司</w:t>
      </w:r>
    </w:p>
    <w:p w14:paraId="1D26283B">
      <w:pPr>
        <w:tabs>
          <w:tab w:val="left" w:pos="720"/>
        </w:tabs>
        <w:spacing w:before="120" w:beforeLines="50" w:after="120" w:afterLines="50" w:line="360" w:lineRule="auto"/>
        <w:jc w:val="center"/>
        <w:rPr>
          <w:b/>
          <w:sz w:val="28"/>
          <w:szCs w:val="28"/>
        </w:rPr>
      </w:pPr>
      <w:r>
        <w:rPr>
          <w:rFonts w:hint="eastAsia"/>
          <w:b/>
          <w:sz w:val="28"/>
          <w:szCs w:val="28"/>
        </w:rPr>
        <w:t>研发管沟B分支、E分支、中环21-23水电仓（共11个仓段）远程监控</w:t>
      </w:r>
    </w:p>
    <w:p w14:paraId="4D1F7744">
      <w:pPr>
        <w:tabs>
          <w:tab w:val="left" w:pos="720"/>
        </w:tabs>
        <w:spacing w:before="120" w:beforeLines="50" w:after="120" w:afterLines="50" w:line="360" w:lineRule="auto"/>
        <w:jc w:val="center"/>
        <w:rPr>
          <w:b/>
          <w:sz w:val="28"/>
          <w:szCs w:val="28"/>
        </w:rPr>
      </w:pPr>
      <w:r>
        <w:rPr>
          <w:rFonts w:hint="eastAsia"/>
          <w:b/>
          <w:sz w:val="28"/>
          <w:szCs w:val="28"/>
        </w:rPr>
        <w:t>竞选文件（第</w:t>
      </w:r>
      <w:r>
        <w:rPr>
          <w:rFonts w:hint="eastAsia"/>
          <w:b/>
          <w:sz w:val="28"/>
          <w:szCs w:val="28"/>
          <w:lang w:val="en-US" w:eastAsia="zh-CN"/>
        </w:rPr>
        <w:t>三</w:t>
      </w:r>
      <w:r>
        <w:rPr>
          <w:rFonts w:hint="eastAsia"/>
          <w:b/>
          <w:sz w:val="28"/>
          <w:szCs w:val="28"/>
        </w:rPr>
        <w:t>次）</w:t>
      </w:r>
    </w:p>
    <w:p w14:paraId="3EB0F770">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14:paraId="666E7EDC">
      <w:pPr>
        <w:pStyle w:val="37"/>
        <w:numPr>
          <w:ilvl w:val="1"/>
          <w:numId w:val="2"/>
        </w:numPr>
        <w:spacing w:before="120" w:beforeLines="50" w:after="120" w:afterLines="50" w:line="360" w:lineRule="auto"/>
        <w:ind w:firstLineChars="0"/>
        <w:rPr>
          <w:sz w:val="24"/>
        </w:rPr>
      </w:pPr>
      <w:r>
        <w:rPr>
          <w:rFonts w:hint="eastAsia"/>
          <w:sz w:val="24"/>
        </w:rPr>
        <w:t>项目名称：研发管沟</w:t>
      </w:r>
      <w:r>
        <w:rPr>
          <w:sz w:val="24"/>
        </w:rPr>
        <w:t>B</w:t>
      </w:r>
      <w:r>
        <w:rPr>
          <w:rFonts w:hint="eastAsia"/>
          <w:sz w:val="24"/>
        </w:rPr>
        <w:t>分支、</w:t>
      </w:r>
      <w:r>
        <w:rPr>
          <w:sz w:val="24"/>
        </w:rPr>
        <w:t>E</w:t>
      </w:r>
      <w:r>
        <w:rPr>
          <w:rFonts w:hint="eastAsia"/>
          <w:sz w:val="24"/>
        </w:rPr>
        <w:t>分支、中环</w:t>
      </w:r>
      <w:r>
        <w:rPr>
          <w:sz w:val="24"/>
        </w:rPr>
        <w:t>21-23</w:t>
      </w:r>
      <w:r>
        <w:rPr>
          <w:rFonts w:hint="eastAsia"/>
          <w:sz w:val="24"/>
        </w:rPr>
        <w:t>水电仓（共</w:t>
      </w:r>
      <w:r>
        <w:rPr>
          <w:sz w:val="24"/>
        </w:rPr>
        <w:t>11</w:t>
      </w:r>
      <w:r>
        <w:rPr>
          <w:rFonts w:hint="eastAsia"/>
          <w:sz w:val="24"/>
        </w:rPr>
        <w:t>个仓段）远程监控</w:t>
      </w:r>
      <w:r>
        <w:rPr>
          <w:rFonts w:hint="eastAsia"/>
          <w:sz w:val="24"/>
          <w:lang w:eastAsia="zh-CN"/>
        </w:rPr>
        <w:t>（</w:t>
      </w:r>
      <w:r>
        <w:rPr>
          <w:rFonts w:hint="eastAsia"/>
          <w:sz w:val="24"/>
          <w:lang w:val="en-US" w:eastAsia="zh-CN"/>
        </w:rPr>
        <w:t>第三次）</w:t>
      </w:r>
    </w:p>
    <w:p w14:paraId="2FDBAA7F">
      <w:pPr>
        <w:numPr>
          <w:ilvl w:val="1"/>
          <w:numId w:val="2"/>
        </w:numPr>
        <w:spacing w:before="120" w:beforeLines="50" w:after="120" w:afterLines="50" w:line="360" w:lineRule="auto"/>
        <w:ind w:left="0" w:firstLine="480" w:firstLineChars="200"/>
        <w:rPr>
          <w:sz w:val="24"/>
        </w:rPr>
      </w:pPr>
      <w:r>
        <w:rPr>
          <w:rFonts w:hint="eastAsia"/>
          <w:sz w:val="24"/>
        </w:rPr>
        <w:t>项目地点：广州大学城</w:t>
      </w:r>
    </w:p>
    <w:p w14:paraId="5A7C6F28">
      <w:pPr>
        <w:numPr>
          <w:ilvl w:val="1"/>
          <w:numId w:val="2"/>
        </w:numPr>
        <w:spacing w:before="120" w:beforeLines="50" w:after="120" w:afterLines="50" w:line="360" w:lineRule="auto"/>
        <w:ind w:left="0" w:firstLine="480" w:firstLineChars="200"/>
        <w:rPr>
          <w:sz w:val="24"/>
        </w:rPr>
      </w:pPr>
      <w:r>
        <w:rPr>
          <w:rFonts w:hint="eastAsia"/>
          <w:sz w:val="24"/>
        </w:rPr>
        <w:t>采购限价：人民</w:t>
      </w:r>
      <w:r>
        <w:rPr>
          <w:rFonts w:hint="eastAsia" w:ascii="宋体" w:hAnsi="宋体"/>
          <w:sz w:val="24"/>
        </w:rPr>
        <w:t>币</w:t>
      </w:r>
      <w:r>
        <w:rPr>
          <w:rFonts w:ascii="宋体" w:hAnsi="宋体"/>
          <w:sz w:val="24"/>
        </w:rPr>
        <w:t>55</w:t>
      </w:r>
      <w:r>
        <w:rPr>
          <w:rFonts w:hint="eastAsia" w:ascii="宋体" w:hAnsi="宋体"/>
          <w:sz w:val="24"/>
        </w:rPr>
        <w:t>万</w:t>
      </w:r>
      <w:r>
        <w:rPr>
          <w:rFonts w:hint="eastAsia"/>
          <w:sz w:val="24"/>
        </w:rPr>
        <w:t>元（投标报价超过采购限价为无效投标）。</w:t>
      </w:r>
    </w:p>
    <w:p w14:paraId="47EE884C">
      <w:pPr>
        <w:numPr>
          <w:ilvl w:val="1"/>
          <w:numId w:val="2"/>
        </w:numPr>
        <w:spacing w:before="120" w:beforeLines="50" w:after="120" w:afterLines="50" w:line="360" w:lineRule="auto"/>
        <w:ind w:left="0" w:firstLine="480" w:firstLineChars="200"/>
        <w:rPr>
          <w:sz w:val="24"/>
        </w:rPr>
      </w:pPr>
      <w:r>
        <w:rPr>
          <w:rFonts w:hint="eastAsia"/>
          <w:sz w:val="24"/>
        </w:rPr>
        <w:t>项目概况</w:t>
      </w:r>
    </w:p>
    <w:p w14:paraId="770E04DF">
      <w:pPr>
        <w:pStyle w:val="16"/>
        <w:shd w:val="clear" w:color="auto" w:fill="FFFFFF"/>
        <w:wordWrap w:val="0"/>
        <w:spacing w:line="360" w:lineRule="auto"/>
        <w:ind w:firstLine="480" w:firstLineChars="200"/>
        <w:rPr>
          <w:rFonts w:ascii="Times New Roman" w:hAnsi="Times New Roman" w:cs="Times New Roman"/>
          <w:kern w:val="2"/>
        </w:rPr>
      </w:pPr>
      <w:r>
        <w:rPr>
          <w:rFonts w:hint="eastAsia" w:ascii="Times New Roman" w:hAnsi="Times New Roman" w:cs="Times New Roman"/>
          <w:kern w:val="2"/>
        </w:rPr>
        <w:t>管沟B分支、E分支、中环21-23水电仓（共11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14:paraId="5A2B356B">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由于无法提前通风，B分支、E分支、中环21-23水电仓段比其它仓段更潮湿，容易造成电气设备故障。</w:t>
      </w:r>
    </w:p>
    <w:p w14:paraId="3E4A2839">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水泵运行状态不能在线监控，遇故障不能及时发现处理，造成烧坏水泵。</w:t>
      </w:r>
    </w:p>
    <w:p w14:paraId="2546A33B">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值班人员无法及时知道B分支、E分支、中环21-23水电仓仓段水浸情况，不能及时采取有效应急措施。</w:t>
      </w:r>
    </w:p>
    <w:p w14:paraId="2E26F019">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环境监测设备停用、设备线路老化造成自控系统误报警增多，存在安全隐患。</w:t>
      </w:r>
    </w:p>
    <w:p w14:paraId="48885A75">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自控系统数据不能远传至枢纽楼。</w:t>
      </w:r>
    </w:p>
    <w:p w14:paraId="79CF206A">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自控系统上位机软件、</w:t>
      </w:r>
      <w:r>
        <w:rPr>
          <w:rFonts w:ascii="Times New Roman" w:hAnsi="Times New Roman" w:cs="Times New Roman"/>
          <w:kern w:val="2"/>
        </w:rPr>
        <w:t>PLC</w:t>
      </w:r>
      <w:r>
        <w:rPr>
          <w:rFonts w:hint="eastAsia" w:ascii="Times New Roman" w:hAnsi="Times New Roman" w:cs="Times New Roman"/>
          <w:kern w:val="2"/>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14:paraId="782B19EE">
      <w:pPr>
        <w:pStyle w:val="16"/>
        <w:shd w:val="clear" w:color="auto" w:fill="FFFFFF"/>
        <w:tabs>
          <w:tab w:val="left" w:pos="312"/>
        </w:tabs>
        <w:spacing w:line="360" w:lineRule="auto"/>
      </w:pPr>
      <w:r>
        <w:rPr>
          <w:rFonts w:hint="eastAsia" w:ascii="Times New Roman" w:hAnsi="Times New Roman" w:cs="Times New Roman"/>
          <w:kern w:val="2"/>
        </w:rPr>
        <w:t>为解决上述问题，提高生产效率，甲方提出研发管沟B分支、E分支、中环21-23水电仓（共11个仓段）的远程监控。</w:t>
      </w:r>
    </w:p>
    <w:p w14:paraId="0CDB7388">
      <w:pPr>
        <w:spacing w:line="360" w:lineRule="auto"/>
        <w:ind w:firstLine="480" w:firstLineChars="200"/>
        <w:rPr>
          <w:sz w:val="24"/>
        </w:rPr>
      </w:pPr>
      <w:r>
        <w:rPr>
          <w:sz w:val="24"/>
        </w:rPr>
        <w:t>注：</w:t>
      </w:r>
      <w:r>
        <w:rPr>
          <w:rFonts w:hint="eastAsia"/>
          <w:sz w:val="24"/>
        </w:rPr>
        <w:t>本文件中甲方特指采购人，乙方特指中标单位。</w:t>
      </w:r>
    </w:p>
    <w:p w14:paraId="642F357B">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14:paraId="4D03819A">
      <w:pPr>
        <w:pStyle w:val="37"/>
        <w:numPr>
          <w:ilvl w:val="1"/>
          <w:numId w:val="4"/>
        </w:numPr>
        <w:spacing w:before="120" w:beforeLines="50" w:after="120" w:afterLines="50" w:line="360" w:lineRule="auto"/>
        <w:ind w:firstLineChars="0"/>
        <w:rPr>
          <w:sz w:val="24"/>
        </w:rPr>
      </w:pPr>
      <w:r>
        <w:rPr>
          <w:rFonts w:hint="eastAsia" w:cs="Arial" w:asciiTheme="minorEastAsia" w:hAnsiTheme="minorEastAsia"/>
          <w:color w:val="000000"/>
          <w:sz w:val="24"/>
        </w:rPr>
        <w:t>必须是在中华人民共和国境内注册的法人或其他组织，具有独立法人资格，持有事业单位登记管理部门核发的事业单位法人证书或工商行政管理部门核发的企业法人营业执照，且在有效期内。</w:t>
      </w:r>
    </w:p>
    <w:p w14:paraId="4B92E112">
      <w:pPr>
        <w:numPr>
          <w:ilvl w:val="1"/>
          <w:numId w:val="4"/>
        </w:numPr>
        <w:spacing w:before="120" w:beforeLines="50" w:after="120" w:afterLines="50" w:line="360" w:lineRule="auto"/>
        <w:ind w:left="0" w:firstLine="480" w:firstLineChars="200"/>
        <w:rPr>
          <w:sz w:val="24"/>
        </w:rPr>
      </w:pPr>
      <w:r>
        <w:rPr>
          <w:rFonts w:hint="eastAsia" w:cs="Arial" w:asciiTheme="minorEastAsia" w:hAnsiTheme="minor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7CA6340B">
      <w:pPr>
        <w:numPr>
          <w:ilvl w:val="1"/>
          <w:numId w:val="4"/>
        </w:numPr>
        <w:spacing w:before="120" w:beforeLines="50" w:after="120" w:afterLines="50" w:line="360" w:lineRule="auto"/>
        <w:ind w:left="0" w:firstLine="480" w:firstLineChars="200"/>
        <w:rPr>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w:t>
      </w:r>
      <w:r>
        <w:rPr>
          <w:rFonts w:hint="eastAsia" w:cs="Arial" w:asciiTheme="minorEastAsia" w:hAnsiTheme="minorEastAsia"/>
          <w:color w:val="000000"/>
          <w:sz w:val="24"/>
        </w:rPr>
        <w:t>附投标声明函</w:t>
      </w:r>
      <w:r>
        <w:rPr>
          <w:rFonts w:cs="Arial" w:asciiTheme="minorEastAsia" w:hAnsiTheme="minorEastAsia"/>
          <w:color w:val="000000"/>
          <w:sz w:val="24"/>
        </w:rPr>
        <w:t>）</w:t>
      </w:r>
      <w:r>
        <w:rPr>
          <w:rFonts w:hint="eastAsia" w:cs="Arial" w:asciiTheme="minorEastAsia" w:hAnsiTheme="minorEastAsia"/>
          <w:color w:val="000000"/>
          <w:sz w:val="24"/>
        </w:rPr>
        <w:t>。</w:t>
      </w:r>
    </w:p>
    <w:p w14:paraId="2310F6F8">
      <w:pPr>
        <w:numPr>
          <w:ilvl w:val="1"/>
          <w:numId w:val="4"/>
        </w:numPr>
        <w:spacing w:before="120" w:beforeLines="50" w:after="120" w:afterLines="50" w:line="360" w:lineRule="auto"/>
        <w:ind w:left="0" w:firstLine="480" w:firstLineChars="200"/>
        <w:rPr>
          <w:sz w:val="24"/>
        </w:rPr>
      </w:pPr>
      <w:bookmarkStart w:id="0" w:name="_Hlk163577250"/>
      <w:bookmarkStart w:id="1" w:name="_Hlk50641340"/>
      <w:bookmarkStart w:id="2" w:name="_Hlk45716001"/>
      <w:r>
        <w:rPr>
          <w:rFonts w:hint="eastAsia"/>
          <w:sz w:val="24"/>
        </w:rPr>
        <w:t>投标人具备电子与智能化工程专业承包二级资质或以上资质</w:t>
      </w:r>
      <w:bookmarkEnd w:id="0"/>
      <w:r>
        <w:rPr>
          <w:rFonts w:hint="eastAsia"/>
          <w:sz w:val="24"/>
        </w:rPr>
        <w:t>。</w:t>
      </w:r>
      <w:bookmarkEnd w:id="1"/>
      <w:bookmarkEnd w:id="2"/>
    </w:p>
    <w:p w14:paraId="2A3C46B4">
      <w:pPr>
        <w:numPr>
          <w:ilvl w:val="1"/>
          <w:numId w:val="4"/>
        </w:numPr>
        <w:spacing w:before="120" w:beforeLines="50" w:after="120" w:afterLines="50" w:line="360" w:lineRule="auto"/>
        <w:ind w:left="0" w:firstLine="480" w:firstLineChars="200"/>
        <w:rPr>
          <w:sz w:val="24"/>
        </w:rPr>
      </w:pPr>
      <w:bookmarkStart w:id="3" w:name="_Hlk176364152"/>
      <w:r>
        <w:rPr>
          <w:rFonts w:hint="eastAsia"/>
          <w:sz w:val="24"/>
        </w:rPr>
        <w:t>投标人近</w:t>
      </w:r>
      <w:r>
        <w:rPr>
          <w:sz w:val="24"/>
        </w:rPr>
        <w:t>5</w:t>
      </w:r>
      <w:r>
        <w:rPr>
          <w:rFonts w:hint="eastAsia"/>
          <w:sz w:val="24"/>
        </w:rPr>
        <w:t>年内(20</w:t>
      </w:r>
      <w:r>
        <w:rPr>
          <w:sz w:val="24"/>
        </w:rPr>
        <w:t>19</w:t>
      </w:r>
      <w:r>
        <w:rPr>
          <w:rFonts w:hint="eastAsia"/>
          <w:sz w:val="24"/>
        </w:rPr>
        <w:t>年1月1日至今) 完成过类似的系统采集、数据监控、程序控制业绩（需提供合同和验收记录等相关证明材料复印件）。</w:t>
      </w:r>
      <w:bookmarkEnd w:id="3"/>
    </w:p>
    <w:p w14:paraId="7B7A5908">
      <w:pPr>
        <w:numPr>
          <w:ilvl w:val="1"/>
          <w:numId w:val="4"/>
        </w:numPr>
        <w:spacing w:before="120" w:beforeLines="50" w:after="120" w:afterLines="50" w:line="360" w:lineRule="auto"/>
        <w:ind w:left="0" w:firstLine="480" w:firstLineChars="200"/>
        <w:rPr>
          <w:sz w:val="24"/>
        </w:rPr>
      </w:pPr>
      <w:r>
        <w:rPr>
          <w:rFonts w:hint="eastAsia"/>
          <w:sz w:val="24"/>
        </w:rPr>
        <w:t>不接受联合体报价。</w:t>
      </w:r>
    </w:p>
    <w:p w14:paraId="6642BA41">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14:paraId="68A37A82">
      <w:pPr>
        <w:pStyle w:val="37"/>
        <w:spacing w:before="120" w:beforeLines="50" w:after="120" w:afterLines="50" w:line="360" w:lineRule="auto"/>
        <w:ind w:left="480" w:firstLine="0" w:firstLineChars="0"/>
        <w:rPr>
          <w:rFonts w:ascii="宋体" w:hAnsi="宋体"/>
          <w:sz w:val="24"/>
        </w:rPr>
      </w:pPr>
      <w:r>
        <w:rPr>
          <w:rFonts w:ascii="宋体" w:hAnsi="宋体"/>
          <w:sz w:val="24"/>
        </w:rPr>
        <w:t>1</w:t>
      </w:r>
      <w:r>
        <w:rPr>
          <w:rFonts w:hint="eastAsia" w:ascii="宋体" w:hAnsi="宋体"/>
          <w:sz w:val="24"/>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14:paraId="5FE9558C">
      <w:pPr>
        <w:pStyle w:val="37"/>
        <w:ind w:left="600" w:firstLine="0" w:firstLineChars="0"/>
        <w:jc w:val="left"/>
        <w:rPr>
          <w:rFonts w:ascii="宋体" w:hAnsi="宋体"/>
          <w:sz w:val="24"/>
        </w:rPr>
      </w:pPr>
      <w:r>
        <w:rPr>
          <w:rFonts w:hint="eastAsia" w:ascii="宋体" w:hAnsi="宋体"/>
          <w:sz w:val="24"/>
        </w:rPr>
        <w:drawing>
          <wp:inline distT="0" distB="0" distL="0" distR="0">
            <wp:extent cx="4714875" cy="398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16024" cy="3991137"/>
                    </a:xfrm>
                    <a:prstGeom prst="rect">
                      <a:avLst/>
                    </a:prstGeom>
                    <a:noFill/>
                    <a:ln>
                      <a:noFill/>
                    </a:ln>
                  </pic:spPr>
                </pic:pic>
              </a:graphicData>
            </a:graphic>
          </wp:inline>
        </w:drawing>
      </w:r>
    </w:p>
    <w:p w14:paraId="02C2BD92">
      <w:pPr>
        <w:pStyle w:val="37"/>
        <w:ind w:left="600" w:firstLine="0" w:firstLineChars="0"/>
        <w:rPr>
          <w:rFonts w:ascii="宋体" w:hAnsi="宋体"/>
          <w:sz w:val="24"/>
        </w:rPr>
      </w:pPr>
      <w:r>
        <w:rPr>
          <w:rFonts w:hint="eastAsia" w:ascii="宋体" w:hAnsi="宋体"/>
          <w:sz w:val="24"/>
        </w:rPr>
        <w:t>图1：</w:t>
      </w:r>
      <w:r>
        <w:rPr>
          <w:rFonts w:ascii="宋体" w:hAnsi="宋体"/>
          <w:sz w:val="24"/>
        </w:rPr>
        <w:t>B</w:t>
      </w:r>
      <w:r>
        <w:rPr>
          <w:rFonts w:hint="eastAsia" w:ascii="宋体" w:hAnsi="宋体"/>
          <w:sz w:val="24"/>
        </w:rPr>
        <w:t>分支壁挂式控制柜位置示意图</w:t>
      </w:r>
    </w:p>
    <w:p w14:paraId="6FC7E592">
      <w:pPr>
        <w:pStyle w:val="37"/>
        <w:ind w:left="600" w:firstLine="0" w:firstLineChars="0"/>
        <w:jc w:val="left"/>
        <w:rPr>
          <w:rFonts w:ascii="宋体" w:hAnsi="宋体"/>
          <w:sz w:val="24"/>
        </w:rPr>
      </w:pPr>
      <w:r>
        <w:rPr>
          <w:rFonts w:hint="eastAsia" w:ascii="宋体" w:hAnsi="宋体"/>
          <w:sz w:val="24"/>
        </w:rPr>
        <w:drawing>
          <wp:inline distT="0" distB="0" distL="0" distR="0">
            <wp:extent cx="4827905" cy="3876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36797" cy="3883432"/>
                    </a:xfrm>
                    <a:prstGeom prst="rect">
                      <a:avLst/>
                    </a:prstGeom>
                    <a:noFill/>
                    <a:ln>
                      <a:noFill/>
                    </a:ln>
                  </pic:spPr>
                </pic:pic>
              </a:graphicData>
            </a:graphic>
          </wp:inline>
        </w:drawing>
      </w:r>
    </w:p>
    <w:p w14:paraId="5B301E72">
      <w:pPr>
        <w:pStyle w:val="37"/>
        <w:ind w:left="600" w:firstLine="0" w:firstLineChars="0"/>
        <w:rPr>
          <w:rFonts w:ascii="宋体" w:hAnsi="宋体"/>
          <w:sz w:val="24"/>
        </w:rPr>
      </w:pPr>
      <w:r>
        <w:rPr>
          <w:rFonts w:hint="eastAsia" w:ascii="宋体" w:hAnsi="宋体"/>
          <w:sz w:val="24"/>
        </w:rPr>
        <w:t>图2：</w:t>
      </w:r>
      <w:r>
        <w:rPr>
          <w:rFonts w:ascii="宋体" w:hAnsi="宋体"/>
          <w:sz w:val="24"/>
        </w:rPr>
        <w:t>E</w:t>
      </w:r>
      <w:r>
        <w:rPr>
          <w:rFonts w:hint="eastAsia" w:ascii="宋体" w:hAnsi="宋体"/>
          <w:sz w:val="24"/>
        </w:rPr>
        <w:t>分支、中环2</w:t>
      </w:r>
      <w:r>
        <w:rPr>
          <w:rFonts w:ascii="宋体" w:hAnsi="宋体"/>
          <w:sz w:val="24"/>
        </w:rPr>
        <w:t>1-23</w:t>
      </w:r>
      <w:r>
        <w:rPr>
          <w:rFonts w:hint="eastAsia" w:ascii="宋体" w:hAnsi="宋体"/>
          <w:sz w:val="24"/>
        </w:rPr>
        <w:t>壁挂式控制柜位置示意图</w:t>
      </w:r>
    </w:p>
    <w:p w14:paraId="4D069DE0">
      <w:pPr>
        <w:pStyle w:val="37"/>
        <w:spacing w:before="120" w:beforeLines="50" w:after="120" w:afterLines="50" w:line="360" w:lineRule="auto"/>
        <w:ind w:left="480" w:firstLine="0" w:firstLineChars="0"/>
        <w:rPr>
          <w:rFonts w:ascii="宋体" w:hAnsi="宋体"/>
          <w:sz w:val="24"/>
        </w:rPr>
      </w:pPr>
    </w:p>
    <w:p w14:paraId="564169D0">
      <w:pPr>
        <w:pStyle w:val="37"/>
        <w:spacing w:before="120" w:beforeLines="50" w:after="120" w:afterLines="50" w:line="360" w:lineRule="auto"/>
        <w:ind w:left="480" w:firstLine="0" w:firstLineChars="0"/>
        <w:rPr>
          <w:rFonts w:ascii="宋体" w:hAnsi="宋体"/>
          <w:sz w:val="24"/>
        </w:rPr>
      </w:pPr>
      <w:r>
        <w:rPr>
          <w:rFonts w:hint="eastAsia" w:ascii="宋体" w:hAnsi="宋体"/>
          <w:sz w:val="24"/>
        </w:rPr>
        <w:t>2、原智能监控系统软件升级，更新系统和界面（点表名称中文化、上位机界面以电子地图展现每个仓点的状态、上位机界面展示每个仓点光纤的通讯），优化非必要的监控点位。</w:t>
      </w:r>
    </w:p>
    <w:p w14:paraId="22AA773F">
      <w:pPr>
        <w:pStyle w:val="37"/>
        <w:numPr>
          <w:ilvl w:val="0"/>
          <w:numId w:val="5"/>
        </w:numPr>
        <w:spacing w:before="120" w:beforeLines="50" w:after="120" w:afterLines="50" w:line="360" w:lineRule="auto"/>
        <w:ind w:firstLineChars="0"/>
        <w:rPr>
          <w:rFonts w:ascii="宋体" w:hAnsi="宋体"/>
          <w:sz w:val="24"/>
        </w:rPr>
      </w:pPr>
      <w:r>
        <w:rPr>
          <w:rFonts w:hint="eastAsia" w:ascii="宋体" w:hAnsi="宋体"/>
          <w:sz w:val="24"/>
        </w:rPr>
        <w:t>上位升级后，按技术部划分的IP段分配好63个仓和新增8个控制柜的IP地址到PLC。</w:t>
      </w:r>
    </w:p>
    <w:p w14:paraId="18A62153">
      <w:pPr>
        <w:pStyle w:val="37"/>
        <w:numPr>
          <w:ilvl w:val="0"/>
          <w:numId w:val="5"/>
        </w:numPr>
        <w:spacing w:before="120" w:beforeLines="50" w:after="120" w:afterLines="50" w:line="360" w:lineRule="auto"/>
        <w:ind w:firstLineChars="0"/>
        <w:rPr>
          <w:rFonts w:ascii="宋体" w:hAnsi="宋体"/>
          <w:sz w:val="24"/>
        </w:rPr>
      </w:pPr>
      <w:r>
        <w:rPr>
          <w:rFonts w:hint="eastAsia" w:ascii="宋体" w:hAnsi="宋体"/>
          <w:sz w:val="24"/>
        </w:rPr>
        <w:t>通过网关转发数据至枢纽楼并集成到枢纽楼上位机系统，枢纽楼上位机与管沟上位机同步。</w:t>
      </w:r>
    </w:p>
    <w:p w14:paraId="57A89623">
      <w:pPr>
        <w:pStyle w:val="37"/>
        <w:numPr>
          <w:ilvl w:val="1"/>
          <w:numId w:val="5"/>
        </w:numPr>
        <w:spacing w:before="120" w:beforeLines="50" w:after="120" w:afterLines="50" w:line="360" w:lineRule="auto"/>
        <w:ind w:firstLineChars="0"/>
        <w:rPr>
          <w:rFonts w:ascii="宋体" w:hAnsi="宋体"/>
          <w:b/>
          <w:sz w:val="24"/>
        </w:rPr>
      </w:pPr>
      <w:r>
        <w:rPr>
          <w:rFonts w:hint="eastAsia" w:ascii="宋体" w:hAnsi="宋体"/>
          <w:b/>
          <w:sz w:val="24"/>
        </w:rPr>
        <w:t>工程量及材料说明</w:t>
      </w:r>
    </w:p>
    <w:p w14:paraId="31646507">
      <w:pPr>
        <w:spacing w:before="120" w:beforeLines="50" w:after="120" w:afterLines="50" w:line="360" w:lineRule="auto"/>
        <w:ind w:firstLine="480" w:firstLineChars="200"/>
        <w:rPr>
          <w:rFonts w:ascii="宋体" w:hAnsi="宋体"/>
          <w:sz w:val="24"/>
        </w:rPr>
      </w:pPr>
      <w:r>
        <w:rPr>
          <w:rFonts w:hint="eastAsia" w:ascii="宋体" w:hAnsi="宋体"/>
          <w:sz w:val="24"/>
        </w:rPr>
        <w:t>投标人按以下工程量清单进行报价，本项目由投标人包工包料（注明甲供材料除外），投标人勘踏现场后，应根据下表及结合现场实际情况综合考虑再进行报价。</w:t>
      </w:r>
    </w:p>
    <w:p w14:paraId="4915E1A1">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19"/>
        <w:tblW w:w="9198" w:type="dxa"/>
        <w:tblInd w:w="93" w:type="dxa"/>
        <w:tblLayout w:type="autofit"/>
        <w:tblCellMar>
          <w:top w:w="0" w:type="dxa"/>
          <w:left w:w="108" w:type="dxa"/>
          <w:bottom w:w="0" w:type="dxa"/>
          <w:right w:w="108" w:type="dxa"/>
        </w:tblCellMar>
      </w:tblPr>
      <w:tblGrid>
        <w:gridCol w:w="431"/>
        <w:gridCol w:w="1757"/>
        <w:gridCol w:w="3728"/>
        <w:gridCol w:w="1094"/>
        <w:gridCol w:w="1094"/>
        <w:gridCol w:w="1094"/>
      </w:tblGrid>
      <w:tr w14:paraId="7674D59D">
        <w:tblPrEx>
          <w:tblCellMar>
            <w:top w:w="0" w:type="dxa"/>
            <w:left w:w="108" w:type="dxa"/>
            <w:bottom w:w="0" w:type="dxa"/>
            <w:right w:w="108" w:type="dxa"/>
          </w:tblCellMar>
        </w:tblPrEx>
        <w:trPr>
          <w:wBefore w:w="118" w:type="dxa"/>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034664F5">
            <w:pPr>
              <w:widowControl/>
              <w:jc w:val="left"/>
              <w:rPr>
                <w:rFonts w:ascii="宋体" w:hAnsi="宋体" w:cs="Tahoma"/>
                <w:b/>
                <w:bCs/>
                <w:color w:val="000000"/>
                <w:kern w:val="0"/>
                <w:szCs w:val="21"/>
              </w:rPr>
            </w:pPr>
            <w:r>
              <w:rPr>
                <w:rFonts w:hint="eastAsia" w:ascii="宋体" w:hAnsi="宋体" w:cs="Tahoma"/>
                <w:b/>
                <w:bCs/>
                <w:color w:val="000000"/>
                <w:kern w:val="0"/>
                <w:szCs w:val="21"/>
              </w:rPr>
              <w:t>一、控制柜</w:t>
            </w:r>
          </w:p>
        </w:tc>
        <w:tc>
          <w:tcPr>
            <w:tcW w:w="3680" w:type="dxa"/>
            <w:tcBorders>
              <w:top w:val="single" w:color="auto" w:sz="4" w:space="0"/>
              <w:left w:val="nil"/>
              <w:bottom w:val="single" w:color="auto" w:sz="4" w:space="0"/>
              <w:right w:val="single" w:color="auto" w:sz="4" w:space="0"/>
            </w:tcBorders>
            <w:shd w:val="clear" w:color="000000" w:fill="FFFFFF"/>
            <w:noWrap/>
            <w:vAlign w:val="bottom"/>
          </w:tcPr>
          <w:p w14:paraId="0EC55267">
            <w:pPr>
              <w:widowControl/>
              <w:jc w:val="center"/>
              <w:rPr>
                <w:rFonts w:ascii="宋体" w:hAnsi="宋体" w:cs="Tahoma"/>
                <w:b/>
                <w:bCs/>
                <w:color w:val="000000"/>
                <w:kern w:val="0"/>
                <w:szCs w:val="21"/>
              </w:rPr>
            </w:pPr>
            <w:r>
              <w:rPr>
                <w:rFonts w:hint="eastAsia" w:ascii="宋体" w:hAnsi="宋体" w:cs="Tahoma"/>
                <w:b/>
                <w:bCs/>
                <w:color w:val="000000"/>
                <w:kern w:val="0"/>
                <w:szCs w:val="21"/>
              </w:rPr>
              <w:t>规格需求</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75307123">
            <w:pPr>
              <w:widowControl/>
              <w:jc w:val="center"/>
              <w:rPr>
                <w:rFonts w:ascii="宋体" w:hAnsi="宋体" w:cs="Tahoma"/>
                <w:b/>
                <w:bCs/>
                <w:color w:val="000000"/>
                <w:kern w:val="0"/>
                <w:szCs w:val="21"/>
              </w:rPr>
            </w:pPr>
            <w:r>
              <w:rPr>
                <w:rFonts w:hint="eastAsia" w:ascii="宋体" w:hAnsi="宋体" w:cs="Tahoma"/>
                <w:b/>
                <w:bCs/>
                <w:color w:val="000000"/>
                <w:kern w:val="0"/>
                <w:szCs w:val="21"/>
              </w:rPr>
              <w:t>品牌</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2B0055B4">
            <w:pPr>
              <w:widowControl/>
              <w:jc w:val="center"/>
              <w:rPr>
                <w:rFonts w:ascii="宋体" w:hAnsi="宋体" w:cs="Tahoma"/>
                <w:b/>
                <w:bCs/>
                <w:color w:val="000000"/>
                <w:kern w:val="0"/>
                <w:szCs w:val="21"/>
              </w:rPr>
            </w:pPr>
            <w:r>
              <w:rPr>
                <w:rFonts w:hint="eastAsia" w:ascii="宋体" w:hAnsi="宋体" w:cs="Tahoma"/>
                <w:b/>
                <w:bCs/>
                <w:color w:val="000000"/>
                <w:kern w:val="0"/>
                <w:szCs w:val="21"/>
              </w:rPr>
              <w:t>数量</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2CFEA330">
            <w:pPr>
              <w:widowControl/>
              <w:jc w:val="center"/>
              <w:rPr>
                <w:rFonts w:ascii="宋体" w:hAnsi="宋体" w:cs="Tahoma"/>
                <w:b/>
                <w:bCs/>
                <w:color w:val="000000"/>
                <w:kern w:val="0"/>
                <w:szCs w:val="21"/>
              </w:rPr>
            </w:pPr>
            <w:r>
              <w:rPr>
                <w:rFonts w:hint="eastAsia" w:ascii="宋体" w:hAnsi="宋体" w:cs="Tahoma"/>
                <w:b/>
                <w:bCs/>
                <w:color w:val="000000"/>
                <w:kern w:val="0"/>
                <w:szCs w:val="21"/>
              </w:rPr>
              <w:t>单位</w:t>
            </w:r>
          </w:p>
        </w:tc>
      </w:tr>
      <w:tr w14:paraId="5E471DE7">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7F4BA813">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vAlign w:val="center"/>
          </w:tcPr>
          <w:p w14:paraId="16CE1FB1">
            <w:pPr>
              <w:widowControl/>
              <w:jc w:val="left"/>
              <w:rPr>
                <w:rFonts w:ascii="宋体" w:hAnsi="宋体" w:cs="Tahoma"/>
                <w:color w:val="000000"/>
                <w:kern w:val="0"/>
                <w:szCs w:val="21"/>
              </w:rPr>
            </w:pPr>
            <w:r>
              <w:rPr>
                <w:rFonts w:ascii="宋体" w:hAnsi="宋体" w:cs="Tahoma"/>
                <w:color w:val="000000"/>
                <w:kern w:val="0"/>
                <w:szCs w:val="21"/>
              </w:rPr>
              <w:t>PLC-B-1</w:t>
            </w:r>
          </w:p>
        </w:tc>
        <w:tc>
          <w:tcPr>
            <w:tcW w:w="3680" w:type="dxa"/>
            <w:tcBorders>
              <w:top w:val="nil"/>
              <w:left w:val="nil"/>
              <w:bottom w:val="single" w:color="auto" w:sz="4" w:space="0"/>
              <w:right w:val="single" w:color="auto" w:sz="4" w:space="0"/>
            </w:tcBorders>
            <w:shd w:val="clear" w:color="auto" w:fill="auto"/>
          </w:tcPr>
          <w:p w14:paraId="4A0D3773">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6CDC64CB">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569F919F">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5F6B1A19">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779036FC">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CEE5AFE">
            <w:pPr>
              <w:widowControl/>
              <w:jc w:val="center"/>
              <w:rPr>
                <w:rFonts w:ascii="宋体" w:hAnsi="宋体" w:cs="Tahoma"/>
                <w:color w:val="000000"/>
                <w:kern w:val="0"/>
                <w:szCs w:val="21"/>
              </w:rPr>
            </w:pPr>
            <w:r>
              <w:rPr>
                <w:rFonts w:ascii="宋体" w:hAnsi="宋体" w:cs="Tahoma"/>
                <w:color w:val="000000"/>
                <w:kern w:val="0"/>
                <w:szCs w:val="21"/>
              </w:rPr>
              <w:t>2</w:t>
            </w:r>
          </w:p>
        </w:tc>
        <w:tc>
          <w:tcPr>
            <w:tcW w:w="1734" w:type="dxa"/>
            <w:tcBorders>
              <w:top w:val="nil"/>
              <w:left w:val="nil"/>
              <w:bottom w:val="single" w:color="auto" w:sz="4" w:space="0"/>
              <w:right w:val="single" w:color="auto" w:sz="4" w:space="0"/>
            </w:tcBorders>
            <w:shd w:val="clear" w:color="000000" w:fill="FFFFFF"/>
            <w:vAlign w:val="center"/>
          </w:tcPr>
          <w:p w14:paraId="0A0D350B">
            <w:pPr>
              <w:widowControl/>
              <w:jc w:val="left"/>
              <w:rPr>
                <w:rFonts w:ascii="宋体" w:hAnsi="宋体" w:cs="Tahoma"/>
                <w:color w:val="000000"/>
                <w:kern w:val="0"/>
                <w:szCs w:val="21"/>
              </w:rPr>
            </w:pPr>
            <w:r>
              <w:rPr>
                <w:rFonts w:ascii="宋体" w:hAnsi="宋体" w:cs="Tahoma"/>
                <w:color w:val="000000"/>
                <w:kern w:val="0"/>
                <w:szCs w:val="21"/>
              </w:rPr>
              <w:t>PLC-B-2</w:t>
            </w:r>
          </w:p>
        </w:tc>
        <w:tc>
          <w:tcPr>
            <w:tcW w:w="3680" w:type="dxa"/>
            <w:tcBorders>
              <w:top w:val="nil"/>
              <w:left w:val="nil"/>
              <w:bottom w:val="single" w:color="auto" w:sz="4" w:space="0"/>
              <w:right w:val="single" w:color="auto" w:sz="4" w:space="0"/>
            </w:tcBorders>
            <w:shd w:val="clear" w:color="auto" w:fill="auto"/>
          </w:tcPr>
          <w:p w14:paraId="34715CD2">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1AAAAA21">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60EFECCA">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386552E">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8F94E00">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1565334">
            <w:pPr>
              <w:widowControl/>
              <w:jc w:val="center"/>
              <w:rPr>
                <w:rFonts w:ascii="宋体" w:hAnsi="宋体" w:cs="Tahoma"/>
                <w:color w:val="000000"/>
                <w:kern w:val="0"/>
                <w:szCs w:val="21"/>
              </w:rPr>
            </w:pPr>
            <w:r>
              <w:rPr>
                <w:rFonts w:ascii="宋体" w:hAnsi="宋体" w:cs="Tahoma"/>
                <w:color w:val="000000"/>
                <w:kern w:val="0"/>
                <w:szCs w:val="21"/>
              </w:rPr>
              <w:t>3</w:t>
            </w:r>
          </w:p>
        </w:tc>
        <w:tc>
          <w:tcPr>
            <w:tcW w:w="1734" w:type="dxa"/>
            <w:tcBorders>
              <w:top w:val="nil"/>
              <w:left w:val="nil"/>
              <w:bottom w:val="single" w:color="auto" w:sz="4" w:space="0"/>
              <w:right w:val="single" w:color="auto" w:sz="4" w:space="0"/>
            </w:tcBorders>
            <w:shd w:val="clear" w:color="000000" w:fill="FFFFFF"/>
            <w:vAlign w:val="center"/>
          </w:tcPr>
          <w:p w14:paraId="150AFB6F">
            <w:pPr>
              <w:widowControl/>
              <w:jc w:val="left"/>
              <w:rPr>
                <w:rFonts w:ascii="宋体" w:hAnsi="宋体" w:cs="Tahoma"/>
                <w:color w:val="000000"/>
                <w:kern w:val="0"/>
                <w:szCs w:val="21"/>
              </w:rPr>
            </w:pPr>
            <w:r>
              <w:rPr>
                <w:rFonts w:ascii="宋体" w:hAnsi="宋体" w:cs="Tahoma"/>
                <w:color w:val="000000"/>
                <w:kern w:val="0"/>
                <w:szCs w:val="21"/>
              </w:rPr>
              <w:t>PLC-B-3</w:t>
            </w:r>
          </w:p>
        </w:tc>
        <w:tc>
          <w:tcPr>
            <w:tcW w:w="3680" w:type="dxa"/>
            <w:tcBorders>
              <w:top w:val="nil"/>
              <w:left w:val="nil"/>
              <w:bottom w:val="single" w:color="auto" w:sz="4" w:space="0"/>
              <w:right w:val="single" w:color="auto" w:sz="4" w:space="0"/>
            </w:tcBorders>
            <w:shd w:val="clear" w:color="auto" w:fill="auto"/>
          </w:tcPr>
          <w:p w14:paraId="2511AB25">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0745E82">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84BC9A2">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0208D8FE">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397F36CA">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3B87F6B">
            <w:pPr>
              <w:widowControl/>
              <w:jc w:val="center"/>
              <w:rPr>
                <w:rFonts w:ascii="宋体" w:hAnsi="宋体" w:cs="Tahoma"/>
                <w:color w:val="000000"/>
                <w:kern w:val="0"/>
                <w:szCs w:val="21"/>
              </w:rPr>
            </w:pPr>
            <w:r>
              <w:rPr>
                <w:rFonts w:ascii="宋体" w:hAnsi="宋体" w:cs="Tahoma"/>
                <w:color w:val="000000"/>
                <w:kern w:val="0"/>
                <w:szCs w:val="21"/>
              </w:rPr>
              <w:t>4</w:t>
            </w:r>
          </w:p>
        </w:tc>
        <w:tc>
          <w:tcPr>
            <w:tcW w:w="1734" w:type="dxa"/>
            <w:tcBorders>
              <w:top w:val="nil"/>
              <w:left w:val="nil"/>
              <w:bottom w:val="single" w:color="auto" w:sz="4" w:space="0"/>
              <w:right w:val="single" w:color="auto" w:sz="4" w:space="0"/>
            </w:tcBorders>
            <w:shd w:val="clear" w:color="000000" w:fill="FFFFFF"/>
            <w:vAlign w:val="center"/>
          </w:tcPr>
          <w:p w14:paraId="4F2740D8">
            <w:pPr>
              <w:widowControl/>
              <w:jc w:val="left"/>
              <w:rPr>
                <w:rFonts w:ascii="宋体" w:hAnsi="宋体" w:cs="Tahoma"/>
                <w:color w:val="000000"/>
                <w:kern w:val="0"/>
                <w:szCs w:val="21"/>
              </w:rPr>
            </w:pPr>
            <w:r>
              <w:rPr>
                <w:rFonts w:ascii="宋体" w:hAnsi="宋体" w:cs="Tahoma"/>
                <w:color w:val="000000"/>
                <w:kern w:val="0"/>
                <w:szCs w:val="21"/>
              </w:rPr>
              <w:t>PLC-E-1</w:t>
            </w:r>
          </w:p>
        </w:tc>
        <w:tc>
          <w:tcPr>
            <w:tcW w:w="3680" w:type="dxa"/>
            <w:tcBorders>
              <w:top w:val="nil"/>
              <w:left w:val="nil"/>
              <w:bottom w:val="single" w:color="auto" w:sz="4" w:space="0"/>
              <w:right w:val="single" w:color="auto" w:sz="4" w:space="0"/>
            </w:tcBorders>
            <w:shd w:val="clear" w:color="auto" w:fill="auto"/>
          </w:tcPr>
          <w:p w14:paraId="66C2446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1FDE146F">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3E8B268B">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004785CF">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6D041F43">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7A4248D0">
            <w:pPr>
              <w:widowControl/>
              <w:jc w:val="center"/>
              <w:rPr>
                <w:rFonts w:ascii="宋体" w:hAnsi="宋体" w:cs="Tahoma"/>
                <w:color w:val="000000"/>
                <w:kern w:val="0"/>
                <w:szCs w:val="21"/>
              </w:rPr>
            </w:pPr>
            <w:r>
              <w:rPr>
                <w:rFonts w:ascii="宋体" w:hAnsi="宋体" w:cs="Tahoma"/>
                <w:color w:val="000000"/>
                <w:kern w:val="0"/>
                <w:szCs w:val="21"/>
              </w:rPr>
              <w:t>5</w:t>
            </w:r>
          </w:p>
        </w:tc>
        <w:tc>
          <w:tcPr>
            <w:tcW w:w="1734" w:type="dxa"/>
            <w:tcBorders>
              <w:top w:val="nil"/>
              <w:left w:val="nil"/>
              <w:bottom w:val="single" w:color="auto" w:sz="4" w:space="0"/>
              <w:right w:val="single" w:color="auto" w:sz="4" w:space="0"/>
            </w:tcBorders>
            <w:shd w:val="clear" w:color="000000" w:fill="FFFFFF"/>
            <w:vAlign w:val="center"/>
          </w:tcPr>
          <w:p w14:paraId="6A49D749">
            <w:pPr>
              <w:widowControl/>
              <w:jc w:val="left"/>
              <w:rPr>
                <w:rFonts w:ascii="宋体" w:hAnsi="宋体" w:cs="Tahoma"/>
                <w:color w:val="000000"/>
                <w:kern w:val="0"/>
                <w:szCs w:val="21"/>
              </w:rPr>
            </w:pPr>
            <w:r>
              <w:rPr>
                <w:rFonts w:ascii="宋体" w:hAnsi="宋体" w:cs="Tahoma"/>
                <w:color w:val="000000"/>
                <w:kern w:val="0"/>
                <w:szCs w:val="21"/>
              </w:rPr>
              <w:t>PLC-E-2</w:t>
            </w:r>
          </w:p>
        </w:tc>
        <w:tc>
          <w:tcPr>
            <w:tcW w:w="3680" w:type="dxa"/>
            <w:tcBorders>
              <w:top w:val="nil"/>
              <w:left w:val="nil"/>
              <w:bottom w:val="single" w:color="auto" w:sz="4" w:space="0"/>
              <w:right w:val="single" w:color="auto" w:sz="4" w:space="0"/>
            </w:tcBorders>
            <w:shd w:val="clear" w:color="auto" w:fill="auto"/>
          </w:tcPr>
          <w:p w14:paraId="1400A8C5">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08AB051E">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DCC6E09">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7B102149">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1C5A691">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3626B8E6">
            <w:pPr>
              <w:widowControl/>
              <w:jc w:val="center"/>
              <w:rPr>
                <w:rFonts w:ascii="宋体" w:hAnsi="宋体" w:cs="Tahoma"/>
                <w:color w:val="000000"/>
                <w:kern w:val="0"/>
                <w:szCs w:val="21"/>
              </w:rPr>
            </w:pPr>
            <w:r>
              <w:rPr>
                <w:rFonts w:ascii="宋体" w:hAnsi="宋体" w:cs="Tahoma"/>
                <w:color w:val="000000"/>
                <w:kern w:val="0"/>
                <w:szCs w:val="21"/>
              </w:rPr>
              <w:t>6</w:t>
            </w:r>
          </w:p>
        </w:tc>
        <w:tc>
          <w:tcPr>
            <w:tcW w:w="1734" w:type="dxa"/>
            <w:tcBorders>
              <w:top w:val="nil"/>
              <w:left w:val="nil"/>
              <w:bottom w:val="single" w:color="auto" w:sz="4" w:space="0"/>
              <w:right w:val="single" w:color="auto" w:sz="4" w:space="0"/>
            </w:tcBorders>
            <w:shd w:val="clear" w:color="000000" w:fill="FFFFFF"/>
            <w:vAlign w:val="center"/>
          </w:tcPr>
          <w:p w14:paraId="32AC2D0B">
            <w:pPr>
              <w:widowControl/>
              <w:jc w:val="left"/>
              <w:rPr>
                <w:rFonts w:ascii="宋体" w:hAnsi="宋体" w:cs="Tahoma"/>
                <w:color w:val="000000"/>
                <w:kern w:val="0"/>
                <w:szCs w:val="21"/>
              </w:rPr>
            </w:pPr>
            <w:r>
              <w:rPr>
                <w:rFonts w:ascii="宋体" w:hAnsi="宋体" w:cs="Tahoma"/>
                <w:color w:val="000000"/>
                <w:kern w:val="0"/>
                <w:szCs w:val="21"/>
              </w:rPr>
              <w:t>PLC-A-21</w:t>
            </w:r>
          </w:p>
        </w:tc>
        <w:tc>
          <w:tcPr>
            <w:tcW w:w="3680" w:type="dxa"/>
            <w:tcBorders>
              <w:top w:val="nil"/>
              <w:left w:val="nil"/>
              <w:bottom w:val="single" w:color="auto" w:sz="4" w:space="0"/>
              <w:right w:val="single" w:color="auto" w:sz="4" w:space="0"/>
            </w:tcBorders>
            <w:shd w:val="clear" w:color="auto" w:fill="auto"/>
          </w:tcPr>
          <w:p w14:paraId="19BB60CC">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6DC5D5AA">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399B2D52">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9988162">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498D56D4">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139D3133">
            <w:pPr>
              <w:widowControl/>
              <w:jc w:val="center"/>
              <w:rPr>
                <w:rFonts w:ascii="宋体" w:hAnsi="宋体" w:cs="Tahoma"/>
                <w:color w:val="000000"/>
                <w:kern w:val="0"/>
                <w:szCs w:val="21"/>
              </w:rPr>
            </w:pPr>
            <w:r>
              <w:rPr>
                <w:rFonts w:ascii="宋体" w:hAnsi="宋体" w:cs="Tahoma"/>
                <w:color w:val="000000"/>
                <w:kern w:val="0"/>
                <w:szCs w:val="21"/>
              </w:rPr>
              <w:t>7</w:t>
            </w:r>
          </w:p>
        </w:tc>
        <w:tc>
          <w:tcPr>
            <w:tcW w:w="1734" w:type="dxa"/>
            <w:tcBorders>
              <w:top w:val="nil"/>
              <w:left w:val="nil"/>
              <w:bottom w:val="single" w:color="auto" w:sz="4" w:space="0"/>
              <w:right w:val="single" w:color="auto" w:sz="4" w:space="0"/>
            </w:tcBorders>
            <w:shd w:val="clear" w:color="000000" w:fill="FFFFFF"/>
            <w:vAlign w:val="center"/>
          </w:tcPr>
          <w:p w14:paraId="7E2F1C82">
            <w:pPr>
              <w:widowControl/>
              <w:jc w:val="left"/>
              <w:rPr>
                <w:rFonts w:ascii="宋体" w:hAnsi="宋体" w:cs="Tahoma"/>
                <w:color w:val="000000"/>
                <w:kern w:val="0"/>
                <w:szCs w:val="21"/>
              </w:rPr>
            </w:pPr>
            <w:r>
              <w:rPr>
                <w:rFonts w:ascii="宋体" w:hAnsi="宋体" w:cs="Tahoma"/>
                <w:color w:val="000000"/>
                <w:kern w:val="0"/>
                <w:szCs w:val="21"/>
              </w:rPr>
              <w:t>PLC-A-22</w:t>
            </w:r>
          </w:p>
        </w:tc>
        <w:tc>
          <w:tcPr>
            <w:tcW w:w="3680" w:type="dxa"/>
            <w:tcBorders>
              <w:top w:val="nil"/>
              <w:left w:val="nil"/>
              <w:bottom w:val="single" w:color="auto" w:sz="4" w:space="0"/>
              <w:right w:val="single" w:color="auto" w:sz="4" w:space="0"/>
            </w:tcBorders>
            <w:shd w:val="clear" w:color="auto" w:fill="auto"/>
          </w:tcPr>
          <w:p w14:paraId="5080D7F2">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32139CB7">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DCA924C">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E793225">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B89F8A1">
        <w:tblPrEx>
          <w:tblCellMar>
            <w:top w:w="0" w:type="dxa"/>
            <w:left w:w="108" w:type="dxa"/>
            <w:bottom w:w="0" w:type="dxa"/>
            <w:right w:w="108" w:type="dxa"/>
          </w:tblCellMar>
        </w:tblPrEx>
        <w:trPr>
          <w:wBefore w:w="118" w:type="dxa"/>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3B6072C6">
            <w:pPr>
              <w:widowControl/>
              <w:jc w:val="center"/>
              <w:rPr>
                <w:rFonts w:ascii="宋体" w:hAnsi="宋体" w:cs="Tahoma"/>
                <w:color w:val="000000"/>
                <w:kern w:val="0"/>
                <w:szCs w:val="21"/>
              </w:rPr>
            </w:pPr>
            <w:r>
              <w:rPr>
                <w:rFonts w:ascii="宋体" w:hAnsi="宋体" w:cs="Tahoma"/>
                <w:color w:val="000000"/>
                <w:kern w:val="0"/>
                <w:szCs w:val="21"/>
              </w:rPr>
              <w:t>8</w:t>
            </w:r>
          </w:p>
        </w:tc>
        <w:tc>
          <w:tcPr>
            <w:tcW w:w="1734" w:type="dxa"/>
            <w:tcBorders>
              <w:top w:val="nil"/>
              <w:left w:val="nil"/>
              <w:bottom w:val="single" w:color="auto" w:sz="4" w:space="0"/>
              <w:right w:val="single" w:color="auto" w:sz="4" w:space="0"/>
            </w:tcBorders>
            <w:shd w:val="clear" w:color="000000" w:fill="FFFFFF"/>
            <w:vAlign w:val="center"/>
          </w:tcPr>
          <w:p w14:paraId="6B971125">
            <w:pPr>
              <w:widowControl/>
              <w:jc w:val="left"/>
              <w:rPr>
                <w:rFonts w:ascii="宋体" w:hAnsi="宋体" w:cs="Tahoma"/>
                <w:color w:val="000000"/>
                <w:kern w:val="0"/>
                <w:szCs w:val="21"/>
              </w:rPr>
            </w:pPr>
            <w:r>
              <w:rPr>
                <w:rFonts w:ascii="宋体" w:hAnsi="宋体" w:cs="Tahoma"/>
                <w:color w:val="000000"/>
                <w:kern w:val="0"/>
                <w:szCs w:val="21"/>
              </w:rPr>
              <w:t>PLC-A-23</w:t>
            </w:r>
          </w:p>
        </w:tc>
        <w:tc>
          <w:tcPr>
            <w:tcW w:w="3680" w:type="dxa"/>
            <w:tcBorders>
              <w:top w:val="nil"/>
              <w:left w:val="nil"/>
              <w:bottom w:val="single" w:color="auto" w:sz="4" w:space="0"/>
              <w:right w:val="single" w:color="auto" w:sz="4" w:space="0"/>
            </w:tcBorders>
            <w:shd w:val="clear" w:color="auto" w:fill="auto"/>
          </w:tcPr>
          <w:p w14:paraId="2D377E6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43D41C7F">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ABFA85D">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6726CE01">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20918FC8">
        <w:tblPrEx>
          <w:tblCellMar>
            <w:top w:w="0" w:type="dxa"/>
            <w:left w:w="108" w:type="dxa"/>
            <w:bottom w:w="0" w:type="dxa"/>
            <w:right w:w="108" w:type="dxa"/>
          </w:tblCellMar>
        </w:tblPrEx>
        <w:trPr>
          <w:wBefore w:w="118" w:type="dxa"/>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67A53584">
            <w:pPr>
              <w:widowControl/>
              <w:jc w:val="left"/>
              <w:rPr>
                <w:rFonts w:ascii="宋体" w:hAnsi="宋体" w:cs="Tahoma"/>
                <w:b/>
                <w:bCs/>
                <w:color w:val="000000"/>
                <w:kern w:val="0"/>
                <w:szCs w:val="21"/>
              </w:rPr>
            </w:pPr>
            <w:r>
              <w:rPr>
                <w:rFonts w:hint="eastAsia" w:ascii="宋体" w:hAnsi="宋体" w:cs="Tahoma"/>
                <w:b/>
                <w:bCs/>
                <w:color w:val="000000"/>
                <w:kern w:val="0"/>
                <w:szCs w:val="21"/>
              </w:rPr>
              <w:t>二、网络通信柜</w:t>
            </w:r>
          </w:p>
        </w:tc>
        <w:tc>
          <w:tcPr>
            <w:tcW w:w="1080" w:type="dxa"/>
            <w:tcBorders>
              <w:top w:val="nil"/>
              <w:left w:val="nil"/>
              <w:bottom w:val="single" w:color="auto" w:sz="4" w:space="0"/>
              <w:right w:val="single" w:color="auto" w:sz="4" w:space="0"/>
            </w:tcBorders>
            <w:shd w:val="clear" w:color="000000" w:fill="FFFFFF"/>
            <w:noWrap/>
            <w:vAlign w:val="bottom"/>
          </w:tcPr>
          <w:p w14:paraId="1FC84768">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4BB4C4EE">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322EB178">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456B088B">
        <w:tblPrEx>
          <w:tblCellMar>
            <w:top w:w="0" w:type="dxa"/>
            <w:left w:w="108" w:type="dxa"/>
            <w:bottom w:w="0" w:type="dxa"/>
            <w:right w:w="108" w:type="dxa"/>
          </w:tblCellMar>
        </w:tblPrEx>
        <w:trPr>
          <w:wBefore w:w="118" w:type="dxa"/>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B9B59D6">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vAlign w:val="center"/>
          </w:tcPr>
          <w:p w14:paraId="1D406C84">
            <w:pPr>
              <w:widowControl/>
              <w:jc w:val="left"/>
              <w:rPr>
                <w:rFonts w:ascii="宋体" w:hAnsi="宋体" w:cs="Tahoma"/>
                <w:color w:val="000000"/>
                <w:kern w:val="0"/>
                <w:szCs w:val="21"/>
              </w:rPr>
            </w:pPr>
            <w:r>
              <w:rPr>
                <w:rFonts w:hint="eastAsia" w:ascii="宋体" w:hAnsi="宋体" w:cs="Tahoma"/>
                <w:color w:val="000000"/>
                <w:kern w:val="0"/>
                <w:szCs w:val="21"/>
              </w:rPr>
              <w:t>控制柜</w:t>
            </w:r>
          </w:p>
        </w:tc>
        <w:tc>
          <w:tcPr>
            <w:tcW w:w="3680" w:type="dxa"/>
            <w:tcBorders>
              <w:top w:val="nil"/>
              <w:left w:val="nil"/>
              <w:bottom w:val="single" w:color="auto" w:sz="4" w:space="0"/>
              <w:right w:val="single" w:color="auto" w:sz="4" w:space="0"/>
            </w:tcBorders>
            <w:shd w:val="clear" w:color="000000" w:fill="FFFFFF"/>
            <w:vAlign w:val="bottom"/>
          </w:tcPr>
          <w:p w14:paraId="2EC56AD8">
            <w:pPr>
              <w:widowControl/>
              <w:jc w:val="left"/>
              <w:rPr>
                <w:rFonts w:ascii="宋体" w:hAnsi="宋体" w:cs="Tahoma"/>
                <w:color w:val="000000"/>
                <w:kern w:val="0"/>
                <w:szCs w:val="21"/>
              </w:rPr>
            </w:pPr>
            <w:r>
              <w:rPr>
                <w:rFonts w:hint="eastAsia" w:ascii="宋体" w:hAnsi="宋体" w:cs="Tahoma"/>
                <w:color w:val="000000"/>
                <w:kern w:val="0"/>
                <w:szCs w:val="21"/>
              </w:rPr>
              <w:t>含箱体，光纤盒、光纤交换机</w:t>
            </w:r>
            <w:r>
              <w:rPr>
                <w:rFonts w:ascii="宋体" w:hAnsi="宋体" w:cs="Tahoma"/>
                <w:color w:val="000000"/>
                <w:kern w:val="0"/>
                <w:szCs w:val="21"/>
              </w:rPr>
              <w:t>2光8口、光模块、断路器、电源、</w:t>
            </w:r>
            <w:r>
              <w:rPr>
                <w:rFonts w:hint="eastAsia" w:ascii="宋体" w:hAnsi="宋体" w:cs="Tahoma"/>
                <w:color w:val="000000"/>
                <w:kern w:val="0"/>
                <w:szCs w:val="21"/>
              </w:rPr>
              <w:t>快融保险丝、接线排子、及内部接线等控制附件。</w:t>
            </w:r>
          </w:p>
        </w:tc>
        <w:tc>
          <w:tcPr>
            <w:tcW w:w="1080" w:type="dxa"/>
            <w:tcBorders>
              <w:top w:val="nil"/>
              <w:left w:val="nil"/>
              <w:bottom w:val="single" w:color="auto" w:sz="4" w:space="0"/>
              <w:right w:val="single" w:color="auto" w:sz="4" w:space="0"/>
            </w:tcBorders>
            <w:shd w:val="clear" w:color="000000" w:fill="FFFFFF"/>
            <w:noWrap/>
            <w:vAlign w:val="center"/>
          </w:tcPr>
          <w:p w14:paraId="1D5F83D5">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FC6D444">
            <w:pPr>
              <w:widowControl/>
              <w:jc w:val="center"/>
              <w:rPr>
                <w:rFonts w:ascii="宋体" w:hAnsi="宋体" w:cs="Tahoma"/>
                <w:color w:val="000000"/>
                <w:kern w:val="0"/>
                <w:szCs w:val="21"/>
              </w:rPr>
            </w:pPr>
            <w:r>
              <w:rPr>
                <w:rFonts w:ascii="宋体" w:hAnsi="宋体" w:cs="Tahoma"/>
                <w:color w:val="000000"/>
                <w:kern w:val="0"/>
                <w:szCs w:val="21"/>
              </w:rPr>
              <w:t>3</w:t>
            </w:r>
          </w:p>
        </w:tc>
        <w:tc>
          <w:tcPr>
            <w:tcW w:w="1080" w:type="dxa"/>
            <w:tcBorders>
              <w:top w:val="nil"/>
              <w:left w:val="nil"/>
              <w:bottom w:val="single" w:color="auto" w:sz="4" w:space="0"/>
              <w:right w:val="single" w:color="auto" w:sz="4" w:space="0"/>
            </w:tcBorders>
            <w:shd w:val="clear" w:color="000000" w:fill="FFFFFF"/>
            <w:noWrap/>
            <w:vAlign w:val="center"/>
          </w:tcPr>
          <w:p w14:paraId="13B30944">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387491F2">
        <w:tblPrEx>
          <w:tblCellMar>
            <w:top w:w="0" w:type="dxa"/>
            <w:left w:w="108" w:type="dxa"/>
            <w:bottom w:w="0" w:type="dxa"/>
            <w:right w:w="108" w:type="dxa"/>
          </w:tblCellMar>
        </w:tblPrEx>
        <w:trPr>
          <w:wBefore w:w="118" w:type="dxa"/>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16AE6132">
            <w:pPr>
              <w:widowControl/>
              <w:jc w:val="left"/>
              <w:rPr>
                <w:rFonts w:ascii="宋体" w:hAnsi="宋体" w:cs="Tahoma"/>
                <w:b/>
                <w:bCs/>
                <w:color w:val="000000"/>
                <w:kern w:val="0"/>
                <w:szCs w:val="21"/>
              </w:rPr>
            </w:pPr>
            <w:r>
              <w:rPr>
                <w:rFonts w:hint="eastAsia" w:ascii="宋体" w:hAnsi="宋体" w:cs="Tahoma"/>
                <w:b/>
                <w:bCs/>
                <w:color w:val="000000"/>
                <w:kern w:val="0"/>
                <w:szCs w:val="21"/>
              </w:rPr>
              <w:t>三、通讯网关接口</w:t>
            </w:r>
          </w:p>
        </w:tc>
        <w:tc>
          <w:tcPr>
            <w:tcW w:w="1080" w:type="dxa"/>
            <w:tcBorders>
              <w:top w:val="nil"/>
              <w:left w:val="nil"/>
              <w:bottom w:val="single" w:color="auto" w:sz="4" w:space="0"/>
              <w:right w:val="single" w:color="auto" w:sz="4" w:space="0"/>
            </w:tcBorders>
            <w:shd w:val="clear" w:color="000000" w:fill="FFFFFF"/>
            <w:noWrap/>
            <w:vAlign w:val="bottom"/>
          </w:tcPr>
          <w:p w14:paraId="0D0B8733">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3A496503">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0227469E">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43A43AF1">
        <w:tblPrEx>
          <w:tblCellMar>
            <w:top w:w="0" w:type="dxa"/>
            <w:left w:w="108" w:type="dxa"/>
            <w:bottom w:w="0" w:type="dxa"/>
            <w:right w:w="108" w:type="dxa"/>
          </w:tblCellMar>
        </w:tblPrEx>
        <w:trPr>
          <w:wBefore w:w="118" w:type="dxa"/>
          <w:trHeight w:val="1275"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A10ADBD">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auto" w:fill="auto"/>
            <w:vAlign w:val="center"/>
          </w:tcPr>
          <w:p w14:paraId="758E96BE">
            <w:pPr>
              <w:widowControl/>
              <w:jc w:val="left"/>
              <w:rPr>
                <w:rFonts w:ascii="宋体" w:hAnsi="宋体" w:cs="Tahoma"/>
                <w:color w:val="000000"/>
                <w:kern w:val="0"/>
                <w:szCs w:val="21"/>
              </w:rPr>
            </w:pPr>
            <w:r>
              <w:rPr>
                <w:rFonts w:hint="eastAsia" w:ascii="宋体" w:hAnsi="宋体" w:cs="Tahoma"/>
                <w:color w:val="000000"/>
                <w:kern w:val="0"/>
                <w:szCs w:val="21"/>
              </w:rPr>
              <w:t>智能网关</w:t>
            </w:r>
          </w:p>
        </w:tc>
        <w:tc>
          <w:tcPr>
            <w:tcW w:w="3680" w:type="dxa"/>
            <w:tcBorders>
              <w:top w:val="nil"/>
              <w:left w:val="nil"/>
              <w:bottom w:val="single" w:color="auto" w:sz="4" w:space="0"/>
              <w:right w:val="single" w:color="auto" w:sz="4" w:space="0"/>
            </w:tcBorders>
            <w:shd w:val="clear" w:color="auto" w:fill="auto"/>
            <w:vAlign w:val="bottom"/>
          </w:tcPr>
          <w:p w14:paraId="76832629">
            <w:pPr>
              <w:widowControl/>
              <w:jc w:val="left"/>
              <w:rPr>
                <w:rFonts w:ascii="宋体" w:hAnsi="宋体" w:cs="Tahoma"/>
                <w:color w:val="000000"/>
                <w:kern w:val="0"/>
                <w:szCs w:val="21"/>
              </w:rPr>
            </w:pPr>
            <w:r>
              <w:rPr>
                <w:rFonts w:ascii="宋体" w:hAnsi="宋体" w:cs="Tahoma"/>
                <w:color w:val="000000"/>
                <w:kern w:val="0"/>
                <w:szCs w:val="21"/>
              </w:rPr>
              <w:t>4网口（不同网段）以上，10串口（485或232）以上，采集点数5000点以上，不限采集驱动，不限转发驱动，不限转发点数，配套软件编辑平台，网关管理平台，与枢纽楼大屏网关平台兼容</w:t>
            </w:r>
          </w:p>
        </w:tc>
        <w:tc>
          <w:tcPr>
            <w:tcW w:w="1080" w:type="dxa"/>
            <w:tcBorders>
              <w:top w:val="nil"/>
              <w:left w:val="nil"/>
              <w:bottom w:val="single" w:color="auto" w:sz="4" w:space="0"/>
              <w:right w:val="single" w:color="auto" w:sz="4" w:space="0"/>
            </w:tcBorders>
            <w:shd w:val="clear" w:color="auto" w:fill="auto"/>
            <w:noWrap/>
            <w:vAlign w:val="bottom"/>
          </w:tcPr>
          <w:p w14:paraId="2DDAB324">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39B9E680">
            <w:pPr>
              <w:widowControl/>
              <w:jc w:val="center"/>
              <w:rPr>
                <w:rFonts w:ascii="宋体" w:hAnsi="宋体" w:cs="Tahoma"/>
                <w:color w:val="000000"/>
                <w:kern w:val="0"/>
                <w:szCs w:val="21"/>
              </w:rPr>
            </w:pPr>
            <w:r>
              <w:rPr>
                <w:rFonts w:ascii="宋体" w:hAnsi="宋体" w:cs="Tahoma"/>
                <w:color w:val="000000"/>
                <w:kern w:val="0"/>
                <w:szCs w:val="21"/>
              </w:rPr>
              <w:t>2</w:t>
            </w:r>
          </w:p>
        </w:tc>
        <w:tc>
          <w:tcPr>
            <w:tcW w:w="1080" w:type="dxa"/>
            <w:tcBorders>
              <w:top w:val="nil"/>
              <w:left w:val="nil"/>
              <w:bottom w:val="single" w:color="auto" w:sz="4" w:space="0"/>
              <w:right w:val="single" w:color="auto" w:sz="4" w:space="0"/>
            </w:tcBorders>
            <w:shd w:val="clear" w:color="auto" w:fill="auto"/>
            <w:noWrap/>
            <w:vAlign w:val="center"/>
          </w:tcPr>
          <w:p w14:paraId="20F5419A">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00B6653">
        <w:tblPrEx>
          <w:tblCellMar>
            <w:top w:w="0" w:type="dxa"/>
            <w:left w:w="108" w:type="dxa"/>
            <w:bottom w:w="0" w:type="dxa"/>
            <w:right w:w="108" w:type="dxa"/>
          </w:tblCellMar>
        </w:tblPrEx>
        <w:trPr>
          <w:wBefore w:w="118" w:type="dxa"/>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12EA5779">
            <w:pPr>
              <w:widowControl/>
              <w:jc w:val="left"/>
              <w:rPr>
                <w:rFonts w:ascii="宋体" w:hAnsi="宋体" w:cs="Tahoma"/>
                <w:b/>
                <w:bCs/>
                <w:color w:val="000000"/>
                <w:kern w:val="0"/>
                <w:szCs w:val="21"/>
              </w:rPr>
            </w:pPr>
            <w:r>
              <w:rPr>
                <w:rFonts w:hint="eastAsia" w:ascii="宋体" w:hAnsi="宋体" w:cs="Tahoma"/>
                <w:b/>
                <w:bCs/>
                <w:color w:val="000000"/>
                <w:kern w:val="0"/>
                <w:szCs w:val="21"/>
              </w:rPr>
              <w:t>四、施工</w:t>
            </w:r>
          </w:p>
        </w:tc>
        <w:tc>
          <w:tcPr>
            <w:tcW w:w="3680" w:type="dxa"/>
            <w:tcBorders>
              <w:top w:val="nil"/>
              <w:left w:val="nil"/>
              <w:bottom w:val="single" w:color="auto" w:sz="4" w:space="0"/>
              <w:right w:val="single" w:color="auto" w:sz="4" w:space="0"/>
            </w:tcBorders>
            <w:shd w:val="clear" w:color="000000" w:fill="FFFFFF"/>
            <w:noWrap/>
            <w:vAlign w:val="bottom"/>
          </w:tcPr>
          <w:p w14:paraId="58BC8684">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10DCD66A">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5C9E48BC">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5EDB12C6">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7428A57A">
        <w:tblPrEx>
          <w:tblCellMar>
            <w:top w:w="0" w:type="dxa"/>
            <w:left w:w="108" w:type="dxa"/>
            <w:bottom w:w="0" w:type="dxa"/>
            <w:right w:w="108" w:type="dxa"/>
          </w:tblCellMar>
        </w:tblPrEx>
        <w:trPr>
          <w:wBefore w:w="118" w:type="dxa"/>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BE9E746">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tcPr>
          <w:p w14:paraId="7D2A2A19">
            <w:pPr>
              <w:widowControl/>
              <w:jc w:val="left"/>
              <w:rPr>
                <w:rFonts w:ascii="宋体" w:hAnsi="宋体" w:cs="Tahoma"/>
                <w:color w:val="000000"/>
                <w:kern w:val="0"/>
                <w:szCs w:val="21"/>
              </w:rPr>
            </w:pPr>
            <w:r>
              <w:rPr>
                <w:rFonts w:hint="eastAsia" w:ascii="宋体" w:hAnsi="宋体" w:cs="Tahoma"/>
                <w:color w:val="000000"/>
                <w:kern w:val="0"/>
                <w:szCs w:val="21"/>
              </w:rPr>
              <w:t>工控机</w:t>
            </w:r>
          </w:p>
        </w:tc>
        <w:tc>
          <w:tcPr>
            <w:tcW w:w="3680" w:type="dxa"/>
            <w:tcBorders>
              <w:top w:val="nil"/>
              <w:left w:val="nil"/>
              <w:bottom w:val="single" w:color="auto" w:sz="4" w:space="0"/>
              <w:right w:val="single" w:color="auto" w:sz="4" w:space="0"/>
            </w:tcBorders>
            <w:shd w:val="clear" w:color="000000" w:fill="FFFFFF"/>
          </w:tcPr>
          <w:p w14:paraId="3709CBFD">
            <w:pPr>
              <w:widowControl/>
              <w:jc w:val="left"/>
              <w:rPr>
                <w:rFonts w:ascii="宋体" w:hAnsi="宋体" w:cs="Tahoma"/>
                <w:color w:val="000000"/>
                <w:kern w:val="0"/>
                <w:szCs w:val="21"/>
              </w:rPr>
            </w:pPr>
            <w:r>
              <w:rPr>
                <w:rFonts w:hint="eastAsia" w:ascii="宋体" w:hAnsi="宋体" w:cs="Tahoma"/>
                <w:color w:val="000000"/>
                <w:kern w:val="0"/>
                <w:szCs w:val="21"/>
              </w:rPr>
              <w:t>主机</w:t>
            </w:r>
            <w:r>
              <w:rPr>
                <w:rFonts w:ascii="宋体" w:hAnsi="宋体" w:cs="Tahoma"/>
                <w:color w:val="000000"/>
                <w:kern w:val="0"/>
                <w:szCs w:val="21"/>
              </w:rPr>
              <w:t>+23.8英寸显示器，13代i5-1340016G256GSSD+1TB</w:t>
            </w:r>
          </w:p>
        </w:tc>
        <w:tc>
          <w:tcPr>
            <w:tcW w:w="1080" w:type="dxa"/>
            <w:tcBorders>
              <w:top w:val="nil"/>
              <w:left w:val="nil"/>
              <w:bottom w:val="single" w:color="auto" w:sz="4" w:space="0"/>
              <w:right w:val="single" w:color="auto" w:sz="4" w:space="0"/>
            </w:tcBorders>
            <w:shd w:val="clear" w:color="000000" w:fill="FFFFFF"/>
            <w:noWrap/>
            <w:vAlign w:val="bottom"/>
          </w:tcPr>
          <w:p w14:paraId="7EBC5152">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6BBDE4FF">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72034183">
            <w:pPr>
              <w:widowControl/>
              <w:jc w:val="center"/>
              <w:rPr>
                <w:rFonts w:ascii="宋体" w:hAnsi="宋体" w:cs="Tahoma"/>
                <w:color w:val="000000"/>
                <w:kern w:val="0"/>
                <w:szCs w:val="21"/>
              </w:rPr>
            </w:pPr>
            <w:r>
              <w:rPr>
                <w:rFonts w:hint="eastAsia" w:ascii="宋体" w:hAnsi="宋体" w:cs="Tahoma"/>
                <w:color w:val="000000"/>
                <w:kern w:val="0"/>
                <w:szCs w:val="21"/>
              </w:rPr>
              <w:t>台</w:t>
            </w:r>
          </w:p>
        </w:tc>
      </w:tr>
      <w:tr w14:paraId="3A58A3C8">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D358C27">
            <w:pPr>
              <w:widowControl/>
              <w:jc w:val="center"/>
              <w:rPr>
                <w:rFonts w:ascii="宋体" w:hAnsi="宋体" w:cs="Tahoma"/>
                <w:color w:val="000000"/>
                <w:kern w:val="0"/>
                <w:szCs w:val="21"/>
              </w:rPr>
            </w:pPr>
            <w:r>
              <w:rPr>
                <w:rFonts w:ascii="宋体" w:hAnsi="宋体" w:cs="Tahoma"/>
                <w:color w:val="000000"/>
                <w:kern w:val="0"/>
                <w:szCs w:val="21"/>
              </w:rPr>
              <w:t>2</w:t>
            </w:r>
          </w:p>
        </w:tc>
        <w:tc>
          <w:tcPr>
            <w:tcW w:w="1734" w:type="dxa"/>
            <w:tcBorders>
              <w:top w:val="nil"/>
              <w:left w:val="nil"/>
              <w:bottom w:val="single" w:color="auto" w:sz="4" w:space="0"/>
              <w:right w:val="single" w:color="auto" w:sz="4" w:space="0"/>
            </w:tcBorders>
            <w:shd w:val="clear" w:color="000000" w:fill="FFFFFF"/>
            <w:vAlign w:val="bottom"/>
          </w:tcPr>
          <w:p w14:paraId="0CC2B4D2">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3AEE6E2D">
            <w:pPr>
              <w:widowControl/>
              <w:jc w:val="left"/>
              <w:rPr>
                <w:rFonts w:ascii="宋体" w:hAnsi="宋体" w:cs="Tahoma"/>
                <w:color w:val="000000"/>
                <w:kern w:val="0"/>
                <w:szCs w:val="21"/>
              </w:rPr>
            </w:pPr>
            <w:r>
              <w:rPr>
                <w:rFonts w:ascii="宋体" w:hAnsi="宋体" w:cs="Tahoma"/>
                <w:color w:val="000000"/>
                <w:kern w:val="0"/>
                <w:szCs w:val="21"/>
              </w:rPr>
              <w:t>RVV8*1.0</w:t>
            </w:r>
          </w:p>
        </w:tc>
        <w:tc>
          <w:tcPr>
            <w:tcW w:w="1080" w:type="dxa"/>
            <w:tcBorders>
              <w:top w:val="nil"/>
              <w:left w:val="nil"/>
              <w:bottom w:val="single" w:color="auto" w:sz="4" w:space="0"/>
              <w:right w:val="single" w:color="auto" w:sz="4" w:space="0"/>
            </w:tcBorders>
            <w:shd w:val="clear" w:color="000000" w:fill="FFFFFF"/>
            <w:noWrap/>
            <w:vAlign w:val="center"/>
          </w:tcPr>
          <w:p w14:paraId="4DC90CE5">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237C1C4C">
            <w:pPr>
              <w:widowControl/>
              <w:jc w:val="center"/>
              <w:rPr>
                <w:rFonts w:ascii="宋体" w:hAnsi="宋体" w:cs="Tahoma"/>
                <w:color w:val="000000"/>
                <w:kern w:val="0"/>
                <w:szCs w:val="21"/>
              </w:rPr>
            </w:pPr>
            <w:r>
              <w:rPr>
                <w:rFonts w:ascii="宋体" w:hAnsi="宋体" w:cs="Tahoma"/>
                <w:color w:val="000000"/>
                <w:kern w:val="0"/>
                <w:szCs w:val="21"/>
              </w:rPr>
              <w:t>3000</w:t>
            </w:r>
          </w:p>
        </w:tc>
        <w:tc>
          <w:tcPr>
            <w:tcW w:w="1080" w:type="dxa"/>
            <w:tcBorders>
              <w:top w:val="nil"/>
              <w:left w:val="nil"/>
              <w:bottom w:val="single" w:color="auto" w:sz="4" w:space="0"/>
              <w:right w:val="single" w:color="auto" w:sz="4" w:space="0"/>
            </w:tcBorders>
            <w:shd w:val="clear" w:color="000000" w:fill="FFFFFF"/>
            <w:noWrap/>
            <w:vAlign w:val="center"/>
          </w:tcPr>
          <w:p w14:paraId="599547CB">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411F744C">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D6FA7ED">
            <w:pPr>
              <w:widowControl/>
              <w:jc w:val="center"/>
              <w:rPr>
                <w:rFonts w:ascii="宋体" w:hAnsi="宋体" w:cs="Tahoma"/>
                <w:color w:val="000000"/>
                <w:kern w:val="0"/>
                <w:szCs w:val="21"/>
              </w:rPr>
            </w:pPr>
            <w:r>
              <w:rPr>
                <w:rFonts w:ascii="宋体" w:hAnsi="宋体" w:cs="Tahoma"/>
                <w:color w:val="000000"/>
                <w:kern w:val="0"/>
                <w:szCs w:val="21"/>
              </w:rPr>
              <w:t>3</w:t>
            </w:r>
          </w:p>
        </w:tc>
        <w:tc>
          <w:tcPr>
            <w:tcW w:w="1734" w:type="dxa"/>
            <w:tcBorders>
              <w:top w:val="nil"/>
              <w:left w:val="nil"/>
              <w:bottom w:val="single" w:color="auto" w:sz="4" w:space="0"/>
              <w:right w:val="single" w:color="auto" w:sz="4" w:space="0"/>
            </w:tcBorders>
            <w:shd w:val="clear" w:color="000000" w:fill="FFFFFF"/>
            <w:vAlign w:val="bottom"/>
          </w:tcPr>
          <w:p w14:paraId="1E7DF0BA">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78DD58F5">
            <w:pPr>
              <w:widowControl/>
              <w:jc w:val="left"/>
              <w:rPr>
                <w:rFonts w:ascii="宋体" w:hAnsi="宋体" w:cs="Tahoma"/>
                <w:color w:val="000000"/>
                <w:kern w:val="0"/>
                <w:szCs w:val="21"/>
              </w:rPr>
            </w:pPr>
            <w:r>
              <w:rPr>
                <w:rFonts w:ascii="宋体" w:hAnsi="宋体" w:cs="Tahoma"/>
                <w:color w:val="000000"/>
                <w:kern w:val="0"/>
                <w:szCs w:val="21"/>
              </w:rPr>
              <w:t>RVV6*1.0</w:t>
            </w:r>
          </w:p>
        </w:tc>
        <w:tc>
          <w:tcPr>
            <w:tcW w:w="1080" w:type="dxa"/>
            <w:tcBorders>
              <w:top w:val="nil"/>
              <w:left w:val="nil"/>
              <w:bottom w:val="single" w:color="auto" w:sz="4" w:space="0"/>
              <w:right w:val="single" w:color="auto" w:sz="4" w:space="0"/>
            </w:tcBorders>
            <w:shd w:val="clear" w:color="000000" w:fill="FFFFFF"/>
            <w:noWrap/>
            <w:vAlign w:val="center"/>
          </w:tcPr>
          <w:p w14:paraId="3ECB174B">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C0A0205">
            <w:pPr>
              <w:widowControl/>
              <w:jc w:val="center"/>
              <w:rPr>
                <w:rFonts w:ascii="宋体" w:hAnsi="宋体" w:cs="Tahoma"/>
                <w:color w:val="000000"/>
                <w:kern w:val="0"/>
                <w:szCs w:val="21"/>
              </w:rPr>
            </w:pPr>
            <w:r>
              <w:rPr>
                <w:rFonts w:ascii="宋体" w:hAnsi="宋体" w:cs="Tahoma"/>
                <w:color w:val="000000"/>
                <w:kern w:val="0"/>
                <w:szCs w:val="21"/>
              </w:rPr>
              <w:t>4000</w:t>
            </w:r>
          </w:p>
        </w:tc>
        <w:tc>
          <w:tcPr>
            <w:tcW w:w="1080" w:type="dxa"/>
            <w:tcBorders>
              <w:top w:val="nil"/>
              <w:left w:val="nil"/>
              <w:bottom w:val="single" w:color="auto" w:sz="4" w:space="0"/>
              <w:right w:val="single" w:color="auto" w:sz="4" w:space="0"/>
            </w:tcBorders>
            <w:shd w:val="clear" w:color="000000" w:fill="FFFFFF"/>
            <w:noWrap/>
            <w:vAlign w:val="center"/>
          </w:tcPr>
          <w:p w14:paraId="6BAEA3F8">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1BF6ACD2">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145859C3">
            <w:pPr>
              <w:widowControl/>
              <w:jc w:val="center"/>
              <w:rPr>
                <w:rFonts w:ascii="宋体" w:hAnsi="宋体" w:cs="Tahoma"/>
                <w:color w:val="000000"/>
                <w:kern w:val="0"/>
                <w:szCs w:val="21"/>
              </w:rPr>
            </w:pPr>
            <w:r>
              <w:rPr>
                <w:rFonts w:ascii="宋体" w:hAnsi="宋体" w:cs="Tahoma"/>
                <w:color w:val="000000"/>
                <w:kern w:val="0"/>
                <w:szCs w:val="21"/>
              </w:rPr>
              <w:t>4</w:t>
            </w:r>
          </w:p>
        </w:tc>
        <w:tc>
          <w:tcPr>
            <w:tcW w:w="1734" w:type="dxa"/>
            <w:tcBorders>
              <w:top w:val="nil"/>
              <w:left w:val="nil"/>
              <w:bottom w:val="single" w:color="auto" w:sz="4" w:space="0"/>
              <w:right w:val="single" w:color="auto" w:sz="4" w:space="0"/>
            </w:tcBorders>
            <w:shd w:val="clear" w:color="000000" w:fill="FFFFFF"/>
            <w:vAlign w:val="bottom"/>
          </w:tcPr>
          <w:p w14:paraId="74F5172E">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125204F2">
            <w:pPr>
              <w:widowControl/>
              <w:jc w:val="left"/>
              <w:rPr>
                <w:rFonts w:ascii="宋体" w:hAnsi="宋体" w:cs="Tahoma"/>
                <w:color w:val="000000"/>
                <w:kern w:val="0"/>
                <w:szCs w:val="21"/>
              </w:rPr>
            </w:pPr>
            <w:r>
              <w:rPr>
                <w:rFonts w:ascii="宋体" w:hAnsi="宋体" w:cs="Tahoma"/>
                <w:color w:val="000000"/>
                <w:kern w:val="0"/>
                <w:szCs w:val="21"/>
              </w:rPr>
              <w:t>RVV4*1.0</w:t>
            </w:r>
          </w:p>
        </w:tc>
        <w:tc>
          <w:tcPr>
            <w:tcW w:w="1080" w:type="dxa"/>
            <w:tcBorders>
              <w:top w:val="nil"/>
              <w:left w:val="nil"/>
              <w:bottom w:val="single" w:color="auto" w:sz="4" w:space="0"/>
              <w:right w:val="single" w:color="auto" w:sz="4" w:space="0"/>
            </w:tcBorders>
            <w:shd w:val="clear" w:color="000000" w:fill="FFFFFF"/>
            <w:noWrap/>
            <w:vAlign w:val="center"/>
          </w:tcPr>
          <w:p w14:paraId="364342E5">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D01BE86">
            <w:pPr>
              <w:widowControl/>
              <w:jc w:val="center"/>
              <w:rPr>
                <w:rFonts w:ascii="宋体" w:hAnsi="宋体" w:cs="Tahoma"/>
                <w:color w:val="000000"/>
                <w:kern w:val="0"/>
                <w:szCs w:val="21"/>
              </w:rPr>
            </w:pPr>
            <w:r>
              <w:rPr>
                <w:rFonts w:ascii="宋体" w:hAnsi="宋体" w:cs="Tahoma"/>
                <w:color w:val="000000"/>
                <w:kern w:val="0"/>
                <w:szCs w:val="21"/>
              </w:rPr>
              <w:t>2500</w:t>
            </w:r>
          </w:p>
        </w:tc>
        <w:tc>
          <w:tcPr>
            <w:tcW w:w="1080" w:type="dxa"/>
            <w:tcBorders>
              <w:top w:val="nil"/>
              <w:left w:val="nil"/>
              <w:bottom w:val="single" w:color="auto" w:sz="4" w:space="0"/>
              <w:right w:val="single" w:color="auto" w:sz="4" w:space="0"/>
            </w:tcBorders>
            <w:shd w:val="clear" w:color="000000" w:fill="FFFFFF"/>
            <w:noWrap/>
            <w:vAlign w:val="center"/>
          </w:tcPr>
          <w:p w14:paraId="6E3B7C0E">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32864A80">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7B9A2B77">
            <w:pPr>
              <w:widowControl/>
              <w:jc w:val="center"/>
              <w:rPr>
                <w:rFonts w:ascii="宋体" w:hAnsi="宋体" w:cs="Tahoma"/>
                <w:color w:val="000000"/>
                <w:kern w:val="0"/>
                <w:szCs w:val="21"/>
              </w:rPr>
            </w:pPr>
            <w:r>
              <w:rPr>
                <w:rFonts w:ascii="宋体" w:hAnsi="宋体" w:cs="Tahoma"/>
                <w:color w:val="000000"/>
                <w:kern w:val="0"/>
                <w:szCs w:val="21"/>
              </w:rPr>
              <w:t>5</w:t>
            </w:r>
          </w:p>
        </w:tc>
        <w:tc>
          <w:tcPr>
            <w:tcW w:w="1734" w:type="dxa"/>
            <w:tcBorders>
              <w:top w:val="nil"/>
              <w:left w:val="nil"/>
              <w:bottom w:val="single" w:color="auto" w:sz="4" w:space="0"/>
              <w:right w:val="single" w:color="auto" w:sz="4" w:space="0"/>
            </w:tcBorders>
            <w:shd w:val="clear" w:color="000000" w:fill="FFFFFF"/>
            <w:vAlign w:val="bottom"/>
          </w:tcPr>
          <w:p w14:paraId="4CFF4094">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040C3B4E">
            <w:pPr>
              <w:widowControl/>
              <w:jc w:val="left"/>
              <w:rPr>
                <w:rFonts w:ascii="宋体" w:hAnsi="宋体" w:cs="Tahoma"/>
                <w:color w:val="000000"/>
                <w:kern w:val="0"/>
                <w:szCs w:val="21"/>
              </w:rPr>
            </w:pPr>
            <w:r>
              <w:rPr>
                <w:rFonts w:ascii="宋体" w:hAnsi="宋体" w:cs="Tahoma"/>
                <w:color w:val="000000"/>
                <w:kern w:val="0"/>
                <w:szCs w:val="21"/>
              </w:rPr>
              <w:t>RVV2*1.0</w:t>
            </w:r>
          </w:p>
        </w:tc>
        <w:tc>
          <w:tcPr>
            <w:tcW w:w="1080" w:type="dxa"/>
            <w:tcBorders>
              <w:top w:val="nil"/>
              <w:left w:val="nil"/>
              <w:bottom w:val="single" w:color="auto" w:sz="4" w:space="0"/>
              <w:right w:val="single" w:color="auto" w:sz="4" w:space="0"/>
            </w:tcBorders>
            <w:shd w:val="clear" w:color="000000" w:fill="FFFFFF"/>
            <w:noWrap/>
            <w:vAlign w:val="center"/>
          </w:tcPr>
          <w:p w14:paraId="6227F9DF">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3A86B2C">
            <w:pPr>
              <w:widowControl/>
              <w:jc w:val="center"/>
              <w:rPr>
                <w:rFonts w:ascii="宋体" w:hAnsi="宋体" w:cs="Tahoma"/>
                <w:color w:val="000000"/>
                <w:kern w:val="0"/>
                <w:szCs w:val="21"/>
              </w:rPr>
            </w:pPr>
            <w:r>
              <w:rPr>
                <w:rFonts w:ascii="宋体" w:hAnsi="宋体" w:cs="Tahoma"/>
                <w:color w:val="000000"/>
                <w:kern w:val="0"/>
                <w:szCs w:val="21"/>
              </w:rPr>
              <w:t>1000</w:t>
            </w:r>
          </w:p>
        </w:tc>
        <w:tc>
          <w:tcPr>
            <w:tcW w:w="1080" w:type="dxa"/>
            <w:tcBorders>
              <w:top w:val="nil"/>
              <w:left w:val="nil"/>
              <w:bottom w:val="single" w:color="auto" w:sz="4" w:space="0"/>
              <w:right w:val="single" w:color="auto" w:sz="4" w:space="0"/>
            </w:tcBorders>
            <w:shd w:val="clear" w:color="000000" w:fill="FFFFFF"/>
            <w:noWrap/>
            <w:vAlign w:val="center"/>
          </w:tcPr>
          <w:p w14:paraId="3057120C">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0A6564D8">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89FF0D1">
            <w:pPr>
              <w:widowControl/>
              <w:jc w:val="center"/>
              <w:rPr>
                <w:rFonts w:ascii="宋体" w:hAnsi="宋体" w:cs="Tahoma"/>
                <w:color w:val="000000"/>
                <w:kern w:val="0"/>
                <w:szCs w:val="21"/>
              </w:rPr>
            </w:pPr>
            <w:r>
              <w:rPr>
                <w:rFonts w:ascii="宋体" w:hAnsi="宋体" w:cs="Tahoma"/>
                <w:color w:val="000000"/>
                <w:kern w:val="0"/>
                <w:szCs w:val="21"/>
              </w:rPr>
              <w:t>6</w:t>
            </w:r>
          </w:p>
        </w:tc>
        <w:tc>
          <w:tcPr>
            <w:tcW w:w="1734" w:type="dxa"/>
            <w:tcBorders>
              <w:top w:val="nil"/>
              <w:left w:val="nil"/>
              <w:bottom w:val="single" w:color="auto" w:sz="4" w:space="0"/>
              <w:right w:val="single" w:color="auto" w:sz="4" w:space="0"/>
            </w:tcBorders>
            <w:shd w:val="clear" w:color="000000" w:fill="FFFFFF"/>
            <w:vAlign w:val="bottom"/>
          </w:tcPr>
          <w:p w14:paraId="2D23DB52">
            <w:pPr>
              <w:widowControl/>
              <w:jc w:val="left"/>
              <w:rPr>
                <w:rFonts w:ascii="宋体" w:hAnsi="宋体" w:cs="Tahoma"/>
                <w:color w:val="000000"/>
                <w:kern w:val="0"/>
                <w:szCs w:val="21"/>
              </w:rPr>
            </w:pPr>
            <w:r>
              <w:rPr>
                <w:rFonts w:hint="eastAsia" w:ascii="宋体" w:hAnsi="宋体" w:cs="Tahoma"/>
                <w:color w:val="000000"/>
                <w:kern w:val="0"/>
                <w:szCs w:val="21"/>
              </w:rPr>
              <w:t>通讯线</w:t>
            </w:r>
          </w:p>
        </w:tc>
        <w:tc>
          <w:tcPr>
            <w:tcW w:w="3680" w:type="dxa"/>
            <w:tcBorders>
              <w:top w:val="nil"/>
              <w:left w:val="nil"/>
              <w:bottom w:val="single" w:color="auto" w:sz="4" w:space="0"/>
              <w:right w:val="single" w:color="auto" w:sz="4" w:space="0"/>
            </w:tcBorders>
            <w:shd w:val="clear" w:color="000000" w:fill="FFFFFF"/>
            <w:noWrap/>
          </w:tcPr>
          <w:p w14:paraId="684AEC26">
            <w:pPr>
              <w:widowControl/>
              <w:jc w:val="left"/>
              <w:rPr>
                <w:rFonts w:ascii="宋体" w:hAnsi="宋体" w:cs="Tahoma"/>
                <w:color w:val="000000"/>
                <w:kern w:val="0"/>
                <w:szCs w:val="21"/>
              </w:rPr>
            </w:pPr>
            <w:r>
              <w:rPr>
                <w:rFonts w:ascii="宋体" w:hAnsi="宋体" w:cs="Tahoma"/>
                <w:color w:val="000000"/>
                <w:kern w:val="0"/>
                <w:szCs w:val="21"/>
              </w:rPr>
              <w:t>8芯光纤</w:t>
            </w:r>
          </w:p>
        </w:tc>
        <w:tc>
          <w:tcPr>
            <w:tcW w:w="1080" w:type="dxa"/>
            <w:tcBorders>
              <w:top w:val="nil"/>
              <w:left w:val="nil"/>
              <w:bottom w:val="single" w:color="auto" w:sz="4" w:space="0"/>
              <w:right w:val="single" w:color="auto" w:sz="4" w:space="0"/>
            </w:tcBorders>
            <w:shd w:val="clear" w:color="000000" w:fill="FFFFFF"/>
            <w:noWrap/>
            <w:vAlign w:val="center"/>
          </w:tcPr>
          <w:p w14:paraId="015E7DF2">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A4B831A">
            <w:pPr>
              <w:widowControl/>
              <w:jc w:val="center"/>
              <w:rPr>
                <w:rFonts w:ascii="宋体" w:hAnsi="宋体" w:cs="Tahoma"/>
                <w:color w:val="000000"/>
                <w:kern w:val="0"/>
                <w:szCs w:val="21"/>
              </w:rPr>
            </w:pPr>
            <w:r>
              <w:rPr>
                <w:rFonts w:ascii="宋体" w:hAnsi="宋体" w:cs="Tahoma"/>
                <w:color w:val="000000"/>
                <w:kern w:val="0"/>
                <w:szCs w:val="21"/>
              </w:rPr>
              <w:t>8000</w:t>
            </w:r>
          </w:p>
        </w:tc>
        <w:tc>
          <w:tcPr>
            <w:tcW w:w="1080" w:type="dxa"/>
            <w:tcBorders>
              <w:top w:val="nil"/>
              <w:left w:val="nil"/>
              <w:bottom w:val="single" w:color="auto" w:sz="4" w:space="0"/>
              <w:right w:val="single" w:color="auto" w:sz="4" w:space="0"/>
            </w:tcBorders>
            <w:shd w:val="clear" w:color="000000" w:fill="FFFFFF"/>
            <w:noWrap/>
            <w:vAlign w:val="center"/>
          </w:tcPr>
          <w:p w14:paraId="4B3F262F">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7DF7FC12">
        <w:tblPrEx>
          <w:tblCellMar>
            <w:top w:w="0" w:type="dxa"/>
            <w:left w:w="108" w:type="dxa"/>
            <w:bottom w:w="0" w:type="dxa"/>
            <w:right w:w="108" w:type="dxa"/>
          </w:tblCellMar>
        </w:tblPrEx>
        <w:trPr>
          <w:wBefore w:w="118" w:type="dxa"/>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E4F0B73">
            <w:pPr>
              <w:widowControl/>
              <w:jc w:val="center"/>
              <w:rPr>
                <w:rFonts w:ascii="宋体" w:hAnsi="宋体" w:cs="Tahoma"/>
                <w:color w:val="000000"/>
                <w:kern w:val="0"/>
                <w:szCs w:val="21"/>
              </w:rPr>
            </w:pPr>
            <w:r>
              <w:rPr>
                <w:rFonts w:ascii="宋体" w:hAnsi="宋体" w:cs="Tahoma"/>
                <w:color w:val="000000"/>
                <w:kern w:val="0"/>
                <w:szCs w:val="21"/>
              </w:rPr>
              <w:t>7</w:t>
            </w:r>
          </w:p>
        </w:tc>
        <w:tc>
          <w:tcPr>
            <w:tcW w:w="1734" w:type="dxa"/>
            <w:tcBorders>
              <w:top w:val="nil"/>
              <w:left w:val="nil"/>
              <w:bottom w:val="single" w:color="auto" w:sz="4" w:space="0"/>
              <w:right w:val="single" w:color="auto" w:sz="4" w:space="0"/>
            </w:tcBorders>
            <w:shd w:val="clear" w:color="000000" w:fill="FFFFFF"/>
            <w:vAlign w:val="bottom"/>
          </w:tcPr>
          <w:p w14:paraId="4E8752EC">
            <w:pPr>
              <w:widowControl/>
              <w:jc w:val="left"/>
              <w:rPr>
                <w:rFonts w:ascii="宋体" w:hAnsi="宋体" w:cs="Tahoma"/>
                <w:color w:val="000000"/>
                <w:kern w:val="0"/>
                <w:szCs w:val="21"/>
              </w:rPr>
            </w:pPr>
            <w:r>
              <w:rPr>
                <w:rFonts w:hint="eastAsia" w:ascii="宋体" w:hAnsi="宋体" w:cs="Tahoma"/>
                <w:color w:val="000000"/>
                <w:kern w:val="0"/>
                <w:szCs w:val="21"/>
              </w:rPr>
              <w:t>通讯网线</w:t>
            </w:r>
          </w:p>
        </w:tc>
        <w:tc>
          <w:tcPr>
            <w:tcW w:w="3680" w:type="dxa"/>
            <w:tcBorders>
              <w:top w:val="nil"/>
              <w:left w:val="nil"/>
              <w:bottom w:val="single" w:color="auto" w:sz="4" w:space="0"/>
              <w:right w:val="single" w:color="auto" w:sz="4" w:space="0"/>
            </w:tcBorders>
            <w:shd w:val="clear" w:color="000000" w:fill="FFFFFF"/>
            <w:noWrap/>
          </w:tcPr>
          <w:p w14:paraId="5C53E090">
            <w:pPr>
              <w:widowControl/>
              <w:jc w:val="left"/>
              <w:rPr>
                <w:rFonts w:ascii="宋体" w:hAnsi="宋体" w:cs="Tahoma"/>
                <w:color w:val="000000"/>
                <w:kern w:val="0"/>
                <w:szCs w:val="21"/>
              </w:rPr>
            </w:pPr>
            <w:r>
              <w:rPr>
                <w:rFonts w:hint="eastAsia" w:ascii="宋体" w:hAnsi="宋体" w:cs="Tahoma"/>
                <w:color w:val="000000"/>
                <w:kern w:val="0"/>
                <w:szCs w:val="21"/>
              </w:rPr>
              <w:t>六类网线</w:t>
            </w:r>
          </w:p>
        </w:tc>
        <w:tc>
          <w:tcPr>
            <w:tcW w:w="1080" w:type="dxa"/>
            <w:tcBorders>
              <w:top w:val="nil"/>
              <w:left w:val="nil"/>
              <w:bottom w:val="single" w:color="auto" w:sz="4" w:space="0"/>
              <w:right w:val="single" w:color="auto" w:sz="4" w:space="0"/>
            </w:tcBorders>
            <w:shd w:val="clear" w:color="000000" w:fill="FFFFFF"/>
            <w:noWrap/>
            <w:vAlign w:val="center"/>
          </w:tcPr>
          <w:p w14:paraId="6A441152">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4E8660E6">
            <w:pPr>
              <w:widowControl/>
              <w:jc w:val="center"/>
              <w:rPr>
                <w:rFonts w:ascii="宋体" w:hAnsi="宋体" w:cs="Tahoma"/>
                <w:color w:val="000000"/>
                <w:kern w:val="0"/>
                <w:szCs w:val="21"/>
              </w:rPr>
            </w:pPr>
            <w:r>
              <w:rPr>
                <w:rFonts w:ascii="宋体" w:hAnsi="宋体" w:cs="Tahoma"/>
                <w:color w:val="000000"/>
                <w:kern w:val="0"/>
                <w:szCs w:val="21"/>
              </w:rPr>
              <w:t>500</w:t>
            </w:r>
          </w:p>
        </w:tc>
        <w:tc>
          <w:tcPr>
            <w:tcW w:w="1080" w:type="dxa"/>
            <w:tcBorders>
              <w:top w:val="nil"/>
              <w:left w:val="nil"/>
              <w:bottom w:val="single" w:color="auto" w:sz="4" w:space="0"/>
              <w:right w:val="single" w:color="auto" w:sz="4" w:space="0"/>
            </w:tcBorders>
            <w:shd w:val="clear" w:color="000000" w:fill="FFFFFF"/>
            <w:noWrap/>
            <w:vAlign w:val="center"/>
          </w:tcPr>
          <w:p w14:paraId="71F96F72">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658E6CBC">
        <w:tblPrEx>
          <w:tblCellMar>
            <w:top w:w="0" w:type="dxa"/>
            <w:left w:w="108" w:type="dxa"/>
            <w:bottom w:w="0" w:type="dxa"/>
            <w:right w:w="108" w:type="dxa"/>
          </w:tblCellMar>
        </w:tblPrEx>
        <w:trPr>
          <w:wBefore w:w="118" w:type="dxa"/>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71DD4219">
            <w:pPr>
              <w:widowControl/>
              <w:jc w:val="center"/>
              <w:rPr>
                <w:rFonts w:ascii="宋体" w:hAnsi="宋体" w:cs="Tahoma"/>
                <w:color w:val="000000"/>
                <w:kern w:val="0"/>
                <w:szCs w:val="21"/>
              </w:rPr>
            </w:pPr>
            <w:r>
              <w:rPr>
                <w:rFonts w:ascii="宋体" w:hAnsi="宋体" w:cs="Tahoma"/>
                <w:color w:val="000000"/>
                <w:kern w:val="0"/>
                <w:szCs w:val="21"/>
              </w:rPr>
              <w:t>8</w:t>
            </w:r>
          </w:p>
        </w:tc>
        <w:tc>
          <w:tcPr>
            <w:tcW w:w="1734" w:type="dxa"/>
            <w:tcBorders>
              <w:top w:val="nil"/>
              <w:left w:val="nil"/>
              <w:bottom w:val="single" w:color="auto" w:sz="4" w:space="0"/>
              <w:right w:val="single" w:color="auto" w:sz="4" w:space="0"/>
            </w:tcBorders>
            <w:shd w:val="clear" w:color="000000" w:fill="FFFFFF"/>
          </w:tcPr>
          <w:p w14:paraId="210EACEF">
            <w:pPr>
              <w:widowControl/>
              <w:jc w:val="left"/>
              <w:rPr>
                <w:rFonts w:ascii="宋体" w:hAnsi="宋体" w:cs="Tahoma"/>
                <w:color w:val="000000"/>
                <w:kern w:val="0"/>
                <w:szCs w:val="21"/>
              </w:rPr>
            </w:pPr>
            <w:r>
              <w:rPr>
                <w:rFonts w:hint="eastAsia" w:ascii="宋体" w:hAnsi="宋体" w:cs="Tahoma"/>
                <w:color w:val="000000"/>
                <w:kern w:val="0"/>
                <w:szCs w:val="21"/>
                <w:lang w:val="en-US" w:eastAsia="zh-CN"/>
              </w:rPr>
              <w:t>PVC线管</w:t>
            </w:r>
          </w:p>
        </w:tc>
        <w:tc>
          <w:tcPr>
            <w:tcW w:w="3680" w:type="dxa"/>
            <w:tcBorders>
              <w:top w:val="nil"/>
              <w:left w:val="nil"/>
              <w:bottom w:val="single" w:color="auto" w:sz="4" w:space="0"/>
              <w:right w:val="single" w:color="auto" w:sz="4" w:space="0"/>
            </w:tcBorders>
            <w:shd w:val="clear" w:color="000000" w:fill="FFFFFF"/>
            <w:noWrap/>
          </w:tcPr>
          <w:p w14:paraId="64A5263B">
            <w:pPr>
              <w:widowControl/>
              <w:jc w:val="left"/>
              <w:rPr>
                <w:rFonts w:ascii="宋体" w:hAnsi="宋体" w:cs="Tahoma"/>
                <w:color w:val="000000"/>
                <w:kern w:val="0"/>
                <w:szCs w:val="21"/>
              </w:rPr>
            </w:pPr>
            <w:r>
              <w:rPr>
                <w:rFonts w:ascii="宋体" w:hAnsi="宋体" w:cs="Tahoma"/>
                <w:color w:val="000000"/>
                <w:kern w:val="0"/>
                <w:szCs w:val="21"/>
              </w:rPr>
              <w:t>DN20</w:t>
            </w:r>
          </w:p>
        </w:tc>
        <w:tc>
          <w:tcPr>
            <w:tcW w:w="1080" w:type="dxa"/>
            <w:tcBorders>
              <w:top w:val="nil"/>
              <w:left w:val="nil"/>
              <w:bottom w:val="single" w:color="auto" w:sz="4" w:space="0"/>
              <w:right w:val="single" w:color="auto" w:sz="4" w:space="0"/>
            </w:tcBorders>
            <w:shd w:val="clear" w:color="000000" w:fill="FFFFFF"/>
            <w:noWrap/>
            <w:vAlign w:val="center"/>
          </w:tcPr>
          <w:p w14:paraId="013CDAC7">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56F75FF">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12000</w:t>
            </w:r>
          </w:p>
        </w:tc>
        <w:tc>
          <w:tcPr>
            <w:tcW w:w="1080" w:type="dxa"/>
            <w:tcBorders>
              <w:top w:val="nil"/>
              <w:left w:val="nil"/>
              <w:bottom w:val="single" w:color="auto" w:sz="4" w:space="0"/>
              <w:right w:val="single" w:color="auto" w:sz="4" w:space="0"/>
            </w:tcBorders>
            <w:shd w:val="clear" w:color="000000" w:fill="FFFFFF"/>
            <w:noWrap/>
            <w:vAlign w:val="center"/>
          </w:tcPr>
          <w:p w14:paraId="1BFC4B28">
            <w:pPr>
              <w:widowControl/>
              <w:jc w:val="center"/>
              <w:rPr>
                <w:rFonts w:hint="eastAsia" w:ascii="宋体" w:hAnsi="宋体" w:eastAsia="宋体" w:cs="Tahoma"/>
                <w:color w:val="000000"/>
                <w:kern w:val="0"/>
                <w:szCs w:val="21"/>
                <w:lang w:eastAsia="zh-CN"/>
              </w:rPr>
            </w:pPr>
            <w:r>
              <w:rPr>
                <w:rFonts w:hint="eastAsia" w:ascii="宋体" w:hAnsi="宋体" w:cs="Tahoma"/>
                <w:color w:val="000000"/>
                <w:kern w:val="0"/>
                <w:szCs w:val="21"/>
                <w:lang w:val="en-US" w:eastAsia="zh-CN"/>
              </w:rPr>
              <w:t>米</w:t>
            </w:r>
          </w:p>
        </w:tc>
      </w:tr>
      <w:tr w14:paraId="507EEFBD">
        <w:tblPrEx>
          <w:tblCellMar>
            <w:top w:w="0" w:type="dxa"/>
            <w:left w:w="108" w:type="dxa"/>
            <w:bottom w:w="0" w:type="dxa"/>
            <w:right w:w="108" w:type="dxa"/>
          </w:tblCellMar>
        </w:tblPrEx>
        <w:trPr>
          <w:wBefore w:w="118" w:type="dxa"/>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50ADA61">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9</w:t>
            </w:r>
          </w:p>
        </w:tc>
        <w:tc>
          <w:tcPr>
            <w:tcW w:w="1734" w:type="dxa"/>
            <w:tcBorders>
              <w:top w:val="nil"/>
              <w:left w:val="nil"/>
              <w:bottom w:val="single" w:color="auto" w:sz="4" w:space="0"/>
              <w:right w:val="single" w:color="auto" w:sz="4" w:space="0"/>
            </w:tcBorders>
            <w:shd w:val="clear" w:color="000000" w:fill="FFFFFF"/>
          </w:tcPr>
          <w:p w14:paraId="0570BC2B">
            <w:pPr>
              <w:widowControl/>
              <w:jc w:val="left"/>
              <w:rPr>
                <w:rFonts w:hint="eastAsia" w:ascii="宋体" w:hAnsi="宋体" w:cs="Tahoma"/>
                <w:color w:val="000000"/>
                <w:kern w:val="0"/>
                <w:szCs w:val="21"/>
              </w:rPr>
            </w:pPr>
            <w:r>
              <w:rPr>
                <w:rFonts w:hint="eastAsia" w:ascii="宋体" w:hAnsi="宋体" w:cs="Tahoma"/>
                <w:color w:val="000000"/>
                <w:kern w:val="0"/>
                <w:szCs w:val="21"/>
                <w:lang w:val="en-US" w:eastAsia="zh-CN"/>
              </w:rPr>
              <w:t>PVC线管</w:t>
            </w:r>
          </w:p>
        </w:tc>
        <w:tc>
          <w:tcPr>
            <w:tcW w:w="3680" w:type="dxa"/>
            <w:tcBorders>
              <w:top w:val="nil"/>
              <w:left w:val="nil"/>
              <w:bottom w:val="single" w:color="auto" w:sz="4" w:space="0"/>
              <w:right w:val="single" w:color="auto" w:sz="4" w:space="0"/>
            </w:tcBorders>
            <w:shd w:val="clear" w:color="000000" w:fill="FFFFFF"/>
            <w:noWrap/>
          </w:tcPr>
          <w:p w14:paraId="11AEF1BE">
            <w:pPr>
              <w:widowControl/>
              <w:jc w:val="left"/>
              <w:rPr>
                <w:rFonts w:hint="eastAsia" w:ascii="宋体" w:hAnsi="宋体" w:eastAsia="宋体" w:cs="Tahoma"/>
                <w:color w:val="000000"/>
                <w:kern w:val="0"/>
                <w:szCs w:val="21"/>
                <w:lang w:val="en-US" w:eastAsia="zh-CN"/>
              </w:rPr>
            </w:pPr>
            <w:r>
              <w:rPr>
                <w:rFonts w:ascii="宋体" w:hAnsi="宋体" w:cs="Tahoma"/>
                <w:color w:val="000000"/>
                <w:kern w:val="0"/>
                <w:szCs w:val="21"/>
              </w:rPr>
              <w:t>DN2</w:t>
            </w:r>
            <w:r>
              <w:rPr>
                <w:rFonts w:hint="eastAsia" w:ascii="宋体" w:hAnsi="宋体" w:cs="Tahoma"/>
                <w:color w:val="000000"/>
                <w:kern w:val="0"/>
                <w:szCs w:val="21"/>
                <w:lang w:val="en-US" w:eastAsia="zh-CN"/>
              </w:rPr>
              <w:t>5</w:t>
            </w:r>
          </w:p>
        </w:tc>
        <w:tc>
          <w:tcPr>
            <w:tcW w:w="1080" w:type="dxa"/>
            <w:tcBorders>
              <w:top w:val="nil"/>
              <w:left w:val="nil"/>
              <w:bottom w:val="single" w:color="auto" w:sz="4" w:space="0"/>
              <w:right w:val="single" w:color="auto" w:sz="4" w:space="0"/>
            </w:tcBorders>
            <w:shd w:val="clear" w:color="000000" w:fill="FFFFFF"/>
            <w:noWrap/>
            <w:vAlign w:val="center"/>
          </w:tcPr>
          <w:p w14:paraId="15F040E3">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C69FDBA">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7000</w:t>
            </w:r>
          </w:p>
        </w:tc>
        <w:tc>
          <w:tcPr>
            <w:tcW w:w="1080" w:type="dxa"/>
            <w:tcBorders>
              <w:top w:val="nil"/>
              <w:left w:val="nil"/>
              <w:bottom w:val="single" w:color="auto" w:sz="4" w:space="0"/>
              <w:right w:val="single" w:color="auto" w:sz="4" w:space="0"/>
            </w:tcBorders>
            <w:shd w:val="clear" w:color="000000" w:fill="FFFFFF"/>
            <w:noWrap/>
            <w:vAlign w:val="center"/>
          </w:tcPr>
          <w:p w14:paraId="00C705AA">
            <w:pPr>
              <w:widowControl/>
              <w:jc w:val="center"/>
              <w:rPr>
                <w:rFonts w:hint="eastAsia" w:ascii="宋体" w:hAnsi="宋体" w:cs="Tahoma"/>
                <w:color w:val="000000"/>
                <w:kern w:val="0"/>
                <w:szCs w:val="21"/>
              </w:rPr>
            </w:pPr>
            <w:r>
              <w:rPr>
                <w:rFonts w:hint="eastAsia" w:ascii="宋体" w:hAnsi="宋体" w:cs="Tahoma"/>
                <w:color w:val="000000"/>
                <w:kern w:val="0"/>
                <w:szCs w:val="21"/>
                <w:lang w:val="en-US" w:eastAsia="zh-CN"/>
              </w:rPr>
              <w:t>米</w:t>
            </w:r>
          </w:p>
        </w:tc>
      </w:tr>
      <w:tr w14:paraId="3A711CBE">
        <w:tblPrEx>
          <w:tblCellMar>
            <w:top w:w="0" w:type="dxa"/>
            <w:left w:w="108" w:type="dxa"/>
            <w:bottom w:w="0" w:type="dxa"/>
            <w:right w:w="108" w:type="dxa"/>
          </w:tblCellMar>
        </w:tblPrEx>
        <w:trPr>
          <w:wBefore w:w="118" w:type="dxa"/>
          <w:trHeight w:val="510" w:hRule="atLeast"/>
        </w:trPr>
        <w:tc>
          <w:tcPr>
            <w:tcW w:w="426" w:type="dxa"/>
            <w:vMerge w:val="restart"/>
            <w:tcBorders>
              <w:top w:val="nil"/>
              <w:left w:val="single" w:color="auto" w:sz="4" w:space="0"/>
              <w:right w:val="single" w:color="auto" w:sz="4" w:space="0"/>
            </w:tcBorders>
            <w:shd w:val="clear" w:color="000000" w:fill="FFFFFF"/>
            <w:noWrap/>
            <w:vAlign w:val="center"/>
          </w:tcPr>
          <w:p w14:paraId="145C8EF4">
            <w:pPr>
              <w:widowControl/>
              <w:jc w:val="center"/>
              <w:rPr>
                <w:rFonts w:hint="eastAsia" w:ascii="宋体" w:hAnsi="宋体" w:cs="Tahoma"/>
                <w:color w:val="000000"/>
                <w:kern w:val="0"/>
                <w:szCs w:val="21"/>
                <w:lang w:val="en-US" w:eastAsia="zh-CN"/>
              </w:rPr>
            </w:pPr>
            <w:r>
              <w:rPr>
                <w:rFonts w:hint="eastAsia" w:ascii="宋体" w:hAnsi="宋体" w:cs="Tahoma"/>
                <w:color w:val="000000"/>
                <w:kern w:val="0"/>
                <w:szCs w:val="21"/>
                <w:lang w:val="en-US" w:eastAsia="zh-CN"/>
              </w:rPr>
              <w:t>10</w:t>
            </w:r>
          </w:p>
          <w:p w14:paraId="45987A44">
            <w:pPr>
              <w:widowControl/>
              <w:jc w:val="center"/>
              <w:rPr>
                <w:rFonts w:ascii="宋体" w:hAnsi="宋体" w:cs="Tahoma"/>
                <w:color w:val="000000"/>
                <w:kern w:val="0"/>
                <w:szCs w:val="21"/>
              </w:rPr>
            </w:pPr>
          </w:p>
          <w:p w14:paraId="5E01172C">
            <w:pPr>
              <w:widowControl/>
              <w:jc w:val="center"/>
              <w:rPr>
                <w:rFonts w:ascii="宋体" w:hAnsi="宋体" w:cs="Tahoma"/>
                <w:color w:val="000000"/>
                <w:kern w:val="0"/>
                <w:szCs w:val="21"/>
              </w:rPr>
            </w:pPr>
          </w:p>
        </w:tc>
        <w:tc>
          <w:tcPr>
            <w:tcW w:w="1734" w:type="dxa"/>
            <w:vMerge w:val="restart"/>
            <w:tcBorders>
              <w:top w:val="nil"/>
              <w:left w:val="nil"/>
              <w:right w:val="single" w:color="auto" w:sz="4" w:space="0"/>
            </w:tcBorders>
            <w:shd w:val="clear" w:color="000000" w:fill="FFFFFF"/>
          </w:tcPr>
          <w:p w14:paraId="0B3B8D2F">
            <w:pPr>
              <w:widowControl/>
              <w:jc w:val="center"/>
              <w:rPr>
                <w:rFonts w:hint="eastAsia" w:ascii="宋体" w:hAnsi="宋体" w:cs="Tahoma"/>
                <w:color w:val="000000"/>
                <w:kern w:val="0"/>
                <w:szCs w:val="21"/>
                <w:lang w:val="en-US" w:eastAsia="zh-CN"/>
              </w:rPr>
            </w:pPr>
          </w:p>
          <w:p w14:paraId="571DC87F">
            <w:pPr>
              <w:widowControl/>
              <w:jc w:val="center"/>
              <w:rPr>
                <w:rFonts w:hint="eastAsia" w:ascii="宋体" w:hAnsi="宋体" w:cs="Tahoma"/>
                <w:color w:val="000000"/>
                <w:kern w:val="0"/>
                <w:szCs w:val="21"/>
                <w:lang w:val="en-US" w:eastAsia="zh-CN"/>
              </w:rPr>
            </w:pPr>
          </w:p>
          <w:p w14:paraId="123FEE78">
            <w:pPr>
              <w:widowControl/>
              <w:jc w:val="center"/>
              <w:rPr>
                <w:rFonts w:hint="eastAsia" w:ascii="宋体" w:hAnsi="宋体" w:cs="Tahoma"/>
                <w:color w:val="000000"/>
                <w:kern w:val="0"/>
                <w:szCs w:val="21"/>
                <w:lang w:val="en-US" w:eastAsia="zh-CN"/>
              </w:rPr>
            </w:pPr>
          </w:p>
          <w:p w14:paraId="03163A19">
            <w:pPr>
              <w:widowControl/>
              <w:jc w:val="center"/>
              <w:rPr>
                <w:rFonts w:hint="eastAsia" w:ascii="宋体" w:hAnsi="宋体" w:cs="Tahoma"/>
                <w:color w:val="000000"/>
                <w:kern w:val="0"/>
                <w:szCs w:val="21"/>
                <w:lang w:val="en-US" w:eastAsia="zh-CN"/>
              </w:rPr>
            </w:pPr>
          </w:p>
          <w:p w14:paraId="40D0A318">
            <w:pPr>
              <w:widowControl/>
              <w:jc w:val="center"/>
              <w:rPr>
                <w:rFonts w:hint="eastAsia" w:ascii="宋体" w:hAnsi="宋体" w:cs="Tahoma"/>
                <w:color w:val="000000"/>
                <w:kern w:val="0"/>
                <w:szCs w:val="21"/>
                <w:lang w:val="en-US" w:eastAsia="zh-CN"/>
              </w:rPr>
            </w:pPr>
          </w:p>
          <w:p w14:paraId="4B13EF2A">
            <w:pPr>
              <w:widowControl/>
              <w:jc w:val="center"/>
              <w:rPr>
                <w:rFonts w:hint="eastAsia" w:ascii="宋体" w:hAnsi="宋体" w:cs="Tahoma"/>
                <w:color w:val="000000"/>
                <w:kern w:val="0"/>
                <w:szCs w:val="21"/>
                <w:lang w:val="en-US" w:eastAsia="zh-CN"/>
              </w:rPr>
            </w:pPr>
          </w:p>
          <w:p w14:paraId="4740E5FE">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施工辅材及耗材</w:t>
            </w:r>
          </w:p>
        </w:tc>
        <w:tc>
          <w:tcPr>
            <w:tcW w:w="3680" w:type="dxa"/>
            <w:tcBorders>
              <w:top w:val="nil"/>
              <w:left w:val="nil"/>
              <w:bottom w:val="single" w:color="auto" w:sz="4" w:space="0"/>
              <w:right w:val="single" w:color="auto" w:sz="4" w:space="0"/>
            </w:tcBorders>
            <w:shd w:val="clear" w:color="000000" w:fill="FFFFFF"/>
            <w:noWrap/>
          </w:tcPr>
          <w:p w14:paraId="6B0A2CC1">
            <w:pPr>
              <w:widowControl/>
              <w:jc w:val="left"/>
              <w:rPr>
                <w:rFonts w:ascii="宋体" w:hAnsi="宋体" w:cs="Tahoma"/>
                <w:color w:val="000000"/>
                <w:kern w:val="0"/>
                <w:szCs w:val="21"/>
              </w:rPr>
            </w:pPr>
            <w:r>
              <w:rPr>
                <w:rFonts w:hint="eastAsia" w:ascii="宋体" w:hAnsi="宋体" w:cs="Tahoma"/>
                <w:color w:val="000000"/>
                <w:kern w:val="0"/>
                <w:szCs w:val="21"/>
              </w:rPr>
              <w:t>螺丝、胶粒、拉爆、水晶头、波纹软管</w:t>
            </w:r>
          </w:p>
        </w:tc>
        <w:tc>
          <w:tcPr>
            <w:tcW w:w="1080" w:type="dxa"/>
            <w:tcBorders>
              <w:top w:val="nil"/>
              <w:left w:val="nil"/>
              <w:bottom w:val="single" w:color="auto" w:sz="4" w:space="0"/>
              <w:right w:val="single" w:color="auto" w:sz="4" w:space="0"/>
            </w:tcBorders>
            <w:shd w:val="clear" w:color="000000" w:fill="FFFFFF"/>
            <w:noWrap/>
            <w:vAlign w:val="center"/>
          </w:tcPr>
          <w:p w14:paraId="443C0065">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2507B0B">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664180B6">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29277CD8">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4C86063F">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07B33373">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34BE4233">
            <w:pPr>
              <w:widowControl/>
              <w:jc w:val="left"/>
              <w:rPr>
                <w:rFonts w:ascii="宋体" w:hAnsi="宋体" w:cs="Tahoma"/>
                <w:color w:val="000000"/>
                <w:kern w:val="0"/>
                <w:szCs w:val="21"/>
              </w:rPr>
            </w:pPr>
            <w:r>
              <w:rPr>
                <w:rFonts w:hint="eastAsia" w:ascii="宋体" w:hAnsi="宋体" w:cs="Tahoma"/>
                <w:color w:val="000000"/>
                <w:kern w:val="0"/>
                <w:szCs w:val="21"/>
              </w:rPr>
              <w:t>电焊条、磨片、钻头、铁管</w:t>
            </w:r>
          </w:p>
        </w:tc>
        <w:tc>
          <w:tcPr>
            <w:tcW w:w="1080" w:type="dxa"/>
            <w:tcBorders>
              <w:top w:val="nil"/>
              <w:left w:val="nil"/>
              <w:bottom w:val="single" w:color="auto" w:sz="4" w:space="0"/>
              <w:right w:val="single" w:color="auto" w:sz="4" w:space="0"/>
            </w:tcBorders>
            <w:shd w:val="clear" w:color="000000" w:fill="FFFFFF"/>
            <w:noWrap/>
            <w:vAlign w:val="center"/>
          </w:tcPr>
          <w:p w14:paraId="2BF7E756">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F3F3A02">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26DA7891">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115FCD78">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2045B10D">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23FE38D2">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060FE31F">
            <w:pPr>
              <w:widowControl/>
              <w:jc w:val="left"/>
              <w:rPr>
                <w:rFonts w:ascii="宋体" w:hAnsi="宋体" w:cs="Tahoma"/>
                <w:color w:val="000000"/>
                <w:kern w:val="0"/>
                <w:szCs w:val="21"/>
              </w:rPr>
            </w:pPr>
            <w:r>
              <w:rPr>
                <w:rFonts w:hint="eastAsia" w:ascii="宋体" w:hAnsi="宋体" w:cs="Tahoma"/>
                <w:color w:val="000000"/>
                <w:kern w:val="0"/>
                <w:szCs w:val="21"/>
              </w:rPr>
              <w:t>控制箱电源线、接地线</w:t>
            </w:r>
          </w:p>
        </w:tc>
        <w:tc>
          <w:tcPr>
            <w:tcW w:w="1080" w:type="dxa"/>
            <w:tcBorders>
              <w:top w:val="nil"/>
              <w:left w:val="nil"/>
              <w:bottom w:val="single" w:color="auto" w:sz="4" w:space="0"/>
              <w:right w:val="single" w:color="auto" w:sz="4" w:space="0"/>
            </w:tcBorders>
            <w:shd w:val="clear" w:color="000000" w:fill="FFFFFF"/>
            <w:noWrap/>
            <w:vAlign w:val="center"/>
          </w:tcPr>
          <w:p w14:paraId="72AE07B4">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095D7B1">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28F93008">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76DDAC23">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11454A25">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737FFBA8">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0CDF41A3">
            <w:pPr>
              <w:widowControl/>
              <w:jc w:val="left"/>
              <w:rPr>
                <w:rFonts w:ascii="宋体" w:hAnsi="宋体" w:cs="Tahoma"/>
                <w:color w:val="000000"/>
                <w:kern w:val="0"/>
                <w:szCs w:val="21"/>
              </w:rPr>
            </w:pPr>
            <w:r>
              <w:rPr>
                <w:rFonts w:hint="eastAsia" w:ascii="宋体" w:hAnsi="宋体" w:cs="Tahoma"/>
                <w:color w:val="000000"/>
                <w:kern w:val="0"/>
                <w:szCs w:val="21"/>
              </w:rPr>
              <w:t>电工胶布、防水胶布、扎带、管卡</w:t>
            </w:r>
          </w:p>
        </w:tc>
        <w:tc>
          <w:tcPr>
            <w:tcW w:w="1080" w:type="dxa"/>
            <w:tcBorders>
              <w:top w:val="nil"/>
              <w:left w:val="nil"/>
              <w:bottom w:val="single" w:color="auto" w:sz="4" w:space="0"/>
              <w:right w:val="single" w:color="auto" w:sz="4" w:space="0"/>
            </w:tcBorders>
            <w:shd w:val="clear" w:color="000000" w:fill="FFFFFF"/>
            <w:noWrap/>
            <w:vAlign w:val="center"/>
          </w:tcPr>
          <w:p w14:paraId="4282332C">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9C73B7B">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01B6B3CB">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1F2EEFBC">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56EA7CAB">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2A490374">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31BF9ABE">
            <w:pPr>
              <w:widowControl/>
              <w:jc w:val="left"/>
              <w:rPr>
                <w:rFonts w:ascii="宋体" w:hAnsi="宋体" w:cs="Tahoma"/>
                <w:color w:val="000000"/>
                <w:kern w:val="0"/>
                <w:szCs w:val="21"/>
              </w:rPr>
            </w:pPr>
            <w:r>
              <w:rPr>
                <w:rFonts w:hint="eastAsia" w:ascii="宋体" w:hAnsi="宋体" w:cs="Tahoma"/>
                <w:color w:val="000000"/>
                <w:kern w:val="0"/>
                <w:szCs w:val="21"/>
              </w:rPr>
              <w:t>绝缘手套、防水绝缘鞋、手电筒、照明灯</w:t>
            </w:r>
          </w:p>
        </w:tc>
        <w:tc>
          <w:tcPr>
            <w:tcW w:w="1080" w:type="dxa"/>
            <w:tcBorders>
              <w:top w:val="nil"/>
              <w:left w:val="nil"/>
              <w:bottom w:val="single" w:color="auto" w:sz="4" w:space="0"/>
              <w:right w:val="single" w:color="auto" w:sz="4" w:space="0"/>
            </w:tcBorders>
            <w:shd w:val="clear" w:color="000000" w:fill="FFFFFF"/>
            <w:noWrap/>
            <w:vAlign w:val="center"/>
          </w:tcPr>
          <w:p w14:paraId="49E0C971">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667DC53">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5EC56432">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584AC9B5">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30EE099B">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5984EE95">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5EBE0C77">
            <w:pPr>
              <w:widowControl/>
              <w:jc w:val="left"/>
              <w:rPr>
                <w:rFonts w:ascii="宋体" w:hAnsi="宋体" w:cs="Tahoma"/>
                <w:color w:val="000000"/>
                <w:kern w:val="0"/>
                <w:szCs w:val="21"/>
              </w:rPr>
            </w:pPr>
            <w:r>
              <w:rPr>
                <w:rFonts w:hint="eastAsia" w:ascii="宋体" w:hAnsi="宋体" w:cs="Tahoma"/>
                <w:color w:val="000000"/>
                <w:kern w:val="0"/>
                <w:szCs w:val="21"/>
              </w:rPr>
              <w:t>安全网、安全带、防护栏杆、反光衣，反光防护带</w:t>
            </w:r>
          </w:p>
        </w:tc>
        <w:tc>
          <w:tcPr>
            <w:tcW w:w="1080" w:type="dxa"/>
            <w:tcBorders>
              <w:top w:val="nil"/>
              <w:left w:val="nil"/>
              <w:bottom w:val="single" w:color="auto" w:sz="4" w:space="0"/>
              <w:right w:val="single" w:color="auto" w:sz="4" w:space="0"/>
            </w:tcBorders>
            <w:shd w:val="clear" w:color="000000" w:fill="FFFFFF"/>
            <w:noWrap/>
            <w:vAlign w:val="center"/>
          </w:tcPr>
          <w:p w14:paraId="24BC5EE2">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45EF8847">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6F134D72">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742B44B4">
        <w:tblPrEx>
          <w:tblCellMar>
            <w:top w:w="0" w:type="dxa"/>
            <w:left w:w="108" w:type="dxa"/>
            <w:bottom w:w="0" w:type="dxa"/>
            <w:right w:w="108" w:type="dxa"/>
          </w:tblCellMar>
        </w:tblPrEx>
        <w:trPr>
          <w:wBefore w:w="118" w:type="dxa"/>
          <w:trHeight w:val="510" w:hRule="atLeast"/>
        </w:trPr>
        <w:tc>
          <w:tcPr>
            <w:tcW w:w="426" w:type="dxa"/>
            <w:vMerge w:val="continue"/>
            <w:tcBorders>
              <w:left w:val="single" w:color="auto" w:sz="4" w:space="0"/>
              <w:bottom w:val="single" w:color="auto" w:sz="4" w:space="0"/>
              <w:right w:val="single" w:color="auto" w:sz="4" w:space="0"/>
            </w:tcBorders>
            <w:shd w:val="clear" w:color="000000" w:fill="FFFFFF"/>
            <w:noWrap/>
            <w:vAlign w:val="center"/>
          </w:tcPr>
          <w:p w14:paraId="6E88C1AD">
            <w:pPr>
              <w:widowControl/>
              <w:jc w:val="center"/>
              <w:rPr>
                <w:rFonts w:ascii="宋体" w:hAnsi="宋体" w:cs="Tahoma"/>
                <w:color w:val="000000"/>
                <w:kern w:val="0"/>
                <w:szCs w:val="21"/>
              </w:rPr>
            </w:pPr>
          </w:p>
        </w:tc>
        <w:tc>
          <w:tcPr>
            <w:tcW w:w="1734" w:type="dxa"/>
            <w:vMerge w:val="continue"/>
            <w:tcBorders>
              <w:left w:val="nil"/>
              <w:bottom w:val="single" w:color="auto" w:sz="4" w:space="0"/>
              <w:right w:val="single" w:color="auto" w:sz="4" w:space="0"/>
            </w:tcBorders>
            <w:shd w:val="clear" w:color="000000" w:fill="FFFFFF"/>
          </w:tcPr>
          <w:p w14:paraId="6315C1D6">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53B1FF3A">
            <w:pPr>
              <w:widowControl/>
              <w:jc w:val="left"/>
              <w:rPr>
                <w:rFonts w:ascii="宋体" w:hAnsi="宋体" w:cs="Tahoma"/>
                <w:color w:val="000000"/>
                <w:kern w:val="0"/>
                <w:szCs w:val="21"/>
              </w:rPr>
            </w:pPr>
            <w:r>
              <w:rPr>
                <w:rFonts w:hint="eastAsia" w:ascii="宋体" w:hAnsi="宋体" w:cs="Tahoma"/>
                <w:color w:val="000000"/>
                <w:kern w:val="0"/>
                <w:szCs w:val="21"/>
              </w:rPr>
              <w:t>接线盒、86底盒、三通、弯头、直通、四通</w:t>
            </w:r>
          </w:p>
        </w:tc>
        <w:tc>
          <w:tcPr>
            <w:tcW w:w="1080" w:type="dxa"/>
            <w:tcBorders>
              <w:top w:val="nil"/>
              <w:left w:val="nil"/>
              <w:bottom w:val="single" w:color="auto" w:sz="4" w:space="0"/>
              <w:right w:val="single" w:color="auto" w:sz="4" w:space="0"/>
            </w:tcBorders>
            <w:shd w:val="clear" w:color="000000" w:fill="FFFFFF"/>
            <w:noWrap/>
            <w:vAlign w:val="center"/>
          </w:tcPr>
          <w:p w14:paraId="3C7A79AB">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F93093D">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0F561570">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3A115F1B">
        <w:tblPrEx>
          <w:tblCellMar>
            <w:top w:w="0" w:type="dxa"/>
            <w:left w:w="108" w:type="dxa"/>
            <w:bottom w:w="0" w:type="dxa"/>
            <w:right w:w="108" w:type="dxa"/>
          </w:tblCellMar>
        </w:tblPrEx>
        <w:trPr>
          <w:wBefore w:w="118" w:type="dxa"/>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4C0E39F">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11</w:t>
            </w:r>
          </w:p>
        </w:tc>
        <w:tc>
          <w:tcPr>
            <w:tcW w:w="1734" w:type="dxa"/>
            <w:tcBorders>
              <w:top w:val="nil"/>
              <w:left w:val="nil"/>
              <w:bottom w:val="single" w:color="auto" w:sz="4" w:space="0"/>
              <w:right w:val="single" w:color="auto" w:sz="4" w:space="0"/>
            </w:tcBorders>
            <w:shd w:val="clear" w:color="000000" w:fill="FFFFFF"/>
          </w:tcPr>
          <w:p w14:paraId="603FB312">
            <w:pPr>
              <w:widowControl/>
              <w:jc w:val="left"/>
              <w:rPr>
                <w:rFonts w:ascii="宋体" w:hAnsi="宋体" w:cs="Tahoma"/>
                <w:color w:val="000000"/>
                <w:kern w:val="0"/>
                <w:szCs w:val="21"/>
              </w:rPr>
            </w:pPr>
            <w:r>
              <w:rPr>
                <w:rFonts w:hint="eastAsia" w:ascii="宋体" w:hAnsi="宋体" w:cs="Tahoma"/>
                <w:color w:val="000000"/>
                <w:kern w:val="0"/>
                <w:szCs w:val="21"/>
              </w:rPr>
              <w:t>机电设备柜内改造</w:t>
            </w:r>
          </w:p>
        </w:tc>
        <w:tc>
          <w:tcPr>
            <w:tcW w:w="3680" w:type="dxa"/>
            <w:tcBorders>
              <w:top w:val="nil"/>
              <w:left w:val="nil"/>
              <w:bottom w:val="single" w:color="auto" w:sz="4" w:space="0"/>
              <w:right w:val="single" w:color="auto" w:sz="4" w:space="0"/>
            </w:tcBorders>
            <w:shd w:val="clear" w:color="000000" w:fill="FFFFFF"/>
          </w:tcPr>
          <w:p w14:paraId="45C22AB4">
            <w:pPr>
              <w:widowControl/>
              <w:jc w:val="left"/>
              <w:rPr>
                <w:rFonts w:ascii="宋体" w:hAnsi="宋体" w:cs="Tahoma"/>
                <w:color w:val="000000"/>
                <w:kern w:val="0"/>
                <w:szCs w:val="21"/>
              </w:rPr>
            </w:pPr>
            <w:r>
              <w:rPr>
                <w:rFonts w:hint="eastAsia" w:ascii="宋体" w:hAnsi="宋体" w:cs="Tahoma"/>
                <w:color w:val="000000"/>
                <w:kern w:val="0"/>
                <w:szCs w:val="21"/>
              </w:rPr>
              <w:t>新增分支段关联的风机、水泵、照明等控制柜电路，增加二次回路端子给</w:t>
            </w:r>
            <w:r>
              <w:rPr>
                <w:rFonts w:ascii="宋体" w:hAnsi="宋体" w:cs="Tahoma"/>
                <w:color w:val="000000"/>
                <w:kern w:val="0"/>
                <w:szCs w:val="21"/>
              </w:rPr>
              <w:t>PLC控制柜监控，出CAD原理图</w:t>
            </w:r>
          </w:p>
        </w:tc>
        <w:tc>
          <w:tcPr>
            <w:tcW w:w="1080" w:type="dxa"/>
            <w:tcBorders>
              <w:top w:val="nil"/>
              <w:left w:val="nil"/>
              <w:bottom w:val="single" w:color="auto" w:sz="4" w:space="0"/>
              <w:right w:val="single" w:color="auto" w:sz="4" w:space="0"/>
            </w:tcBorders>
            <w:shd w:val="clear" w:color="000000" w:fill="FFFFFF"/>
            <w:noWrap/>
            <w:vAlign w:val="center"/>
          </w:tcPr>
          <w:p w14:paraId="79BF8110">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FD53867">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5BDFFCBF">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078221E3">
        <w:tblPrEx>
          <w:tblCellMar>
            <w:top w:w="0" w:type="dxa"/>
            <w:left w:w="108" w:type="dxa"/>
            <w:bottom w:w="0" w:type="dxa"/>
            <w:right w:w="108" w:type="dxa"/>
          </w:tblCellMar>
        </w:tblPrEx>
        <w:trPr>
          <w:wBefore w:w="118" w:type="dxa"/>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336E2CCF">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12</w:t>
            </w:r>
          </w:p>
        </w:tc>
        <w:tc>
          <w:tcPr>
            <w:tcW w:w="1734" w:type="dxa"/>
            <w:tcBorders>
              <w:top w:val="nil"/>
              <w:left w:val="nil"/>
              <w:bottom w:val="single" w:color="auto" w:sz="4" w:space="0"/>
              <w:right w:val="single" w:color="auto" w:sz="4" w:space="0"/>
            </w:tcBorders>
            <w:shd w:val="clear" w:color="000000" w:fill="FFFFFF"/>
          </w:tcPr>
          <w:p w14:paraId="2F321C35">
            <w:pPr>
              <w:widowControl/>
              <w:jc w:val="left"/>
              <w:rPr>
                <w:rFonts w:ascii="宋体" w:hAnsi="宋体" w:cs="Tahoma"/>
                <w:color w:val="000000"/>
                <w:kern w:val="0"/>
                <w:szCs w:val="21"/>
              </w:rPr>
            </w:pPr>
            <w:r>
              <w:rPr>
                <w:rFonts w:hint="eastAsia" w:ascii="宋体" w:hAnsi="宋体" w:cs="Tahoma"/>
                <w:color w:val="000000"/>
                <w:kern w:val="0"/>
                <w:szCs w:val="21"/>
              </w:rPr>
              <w:t>系统调试</w:t>
            </w:r>
          </w:p>
        </w:tc>
        <w:tc>
          <w:tcPr>
            <w:tcW w:w="3680" w:type="dxa"/>
            <w:tcBorders>
              <w:top w:val="nil"/>
              <w:left w:val="nil"/>
              <w:bottom w:val="single" w:color="auto" w:sz="4" w:space="0"/>
              <w:right w:val="single" w:color="auto" w:sz="4" w:space="0"/>
            </w:tcBorders>
            <w:shd w:val="clear" w:color="000000" w:fill="FFFFFF"/>
          </w:tcPr>
          <w:p w14:paraId="2EA048DF">
            <w:pPr>
              <w:widowControl/>
              <w:jc w:val="left"/>
              <w:rPr>
                <w:rFonts w:ascii="宋体" w:hAnsi="宋体" w:cs="Tahoma"/>
                <w:color w:val="000000"/>
                <w:kern w:val="0"/>
                <w:szCs w:val="21"/>
              </w:rPr>
            </w:pPr>
            <w:r>
              <w:rPr>
                <w:rFonts w:hint="eastAsia" w:ascii="宋体" w:hAnsi="宋体" w:cs="Tahoma"/>
                <w:color w:val="000000"/>
                <w:kern w:val="0"/>
                <w:szCs w:val="21"/>
              </w:rPr>
              <w:t>新增的</w:t>
            </w:r>
            <w:r>
              <w:rPr>
                <w:rFonts w:ascii="宋体" w:hAnsi="宋体" w:cs="Tahoma"/>
                <w:color w:val="000000"/>
                <w:kern w:val="0"/>
                <w:szCs w:val="21"/>
              </w:rPr>
              <w:t>PLC控制柜，原系统故障点排查，原系统PLC物理地址分配IP地址，网络故障排查等，绘制CAD网络图，系统稳定运行</w:t>
            </w:r>
          </w:p>
        </w:tc>
        <w:tc>
          <w:tcPr>
            <w:tcW w:w="1080" w:type="dxa"/>
            <w:tcBorders>
              <w:top w:val="nil"/>
              <w:left w:val="nil"/>
              <w:bottom w:val="single" w:color="auto" w:sz="4" w:space="0"/>
              <w:right w:val="single" w:color="auto" w:sz="4" w:space="0"/>
            </w:tcBorders>
            <w:shd w:val="clear" w:color="000000" w:fill="FFFFFF"/>
            <w:noWrap/>
            <w:vAlign w:val="center"/>
          </w:tcPr>
          <w:p w14:paraId="0EC4AA8C">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4881FA74">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60D0435B">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5CA1BC07">
        <w:tblPrEx>
          <w:tblCellMar>
            <w:top w:w="0" w:type="dxa"/>
            <w:left w:w="108" w:type="dxa"/>
            <w:bottom w:w="0" w:type="dxa"/>
            <w:right w:w="108" w:type="dxa"/>
          </w:tblCellMar>
        </w:tblPrEx>
        <w:trPr>
          <w:wBefore w:w="118" w:type="dxa"/>
          <w:trHeight w:val="153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DFEA22D">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13</w:t>
            </w:r>
          </w:p>
        </w:tc>
        <w:tc>
          <w:tcPr>
            <w:tcW w:w="1734" w:type="dxa"/>
            <w:tcBorders>
              <w:top w:val="nil"/>
              <w:left w:val="nil"/>
              <w:bottom w:val="single" w:color="auto" w:sz="4" w:space="0"/>
              <w:right w:val="single" w:color="auto" w:sz="4" w:space="0"/>
            </w:tcBorders>
            <w:shd w:val="clear" w:color="000000" w:fill="FFFFFF"/>
          </w:tcPr>
          <w:p w14:paraId="0AA958AE">
            <w:pPr>
              <w:widowControl/>
              <w:jc w:val="left"/>
              <w:rPr>
                <w:rFonts w:ascii="宋体" w:hAnsi="宋体" w:cs="Tahoma"/>
                <w:color w:val="000000"/>
                <w:kern w:val="0"/>
                <w:szCs w:val="21"/>
              </w:rPr>
            </w:pPr>
            <w:r>
              <w:rPr>
                <w:rFonts w:hint="eastAsia" w:ascii="宋体" w:hAnsi="宋体" w:cs="Tahoma"/>
                <w:color w:val="000000"/>
                <w:kern w:val="0"/>
                <w:szCs w:val="21"/>
              </w:rPr>
              <w:t>上位机软件升级改造</w:t>
            </w:r>
          </w:p>
        </w:tc>
        <w:tc>
          <w:tcPr>
            <w:tcW w:w="3680" w:type="dxa"/>
            <w:tcBorders>
              <w:top w:val="nil"/>
              <w:left w:val="nil"/>
              <w:bottom w:val="single" w:color="auto" w:sz="4" w:space="0"/>
              <w:right w:val="single" w:color="auto" w:sz="4" w:space="0"/>
            </w:tcBorders>
            <w:shd w:val="clear" w:color="000000" w:fill="FFFFFF"/>
          </w:tcPr>
          <w:p w14:paraId="4F4CEEBB">
            <w:pPr>
              <w:widowControl/>
              <w:jc w:val="left"/>
              <w:rPr>
                <w:rFonts w:ascii="宋体" w:hAnsi="宋体" w:cs="Tahoma"/>
                <w:color w:val="000000"/>
                <w:kern w:val="0"/>
                <w:szCs w:val="21"/>
              </w:rPr>
            </w:pPr>
            <w:r>
              <w:rPr>
                <w:rFonts w:ascii="宋体" w:hAnsi="宋体" w:cs="Tahoma"/>
                <w:color w:val="000000"/>
                <w:kern w:val="0"/>
                <w:szCs w:val="21"/>
              </w:rPr>
              <w:t>Wincc6.3升级到与冷站自控系统同版本Wincc7.5，原程序优化，与冷站风格一致、WINCC变量名称中文化，与冷站自控系统格式一致、界面美工，参照</w:t>
            </w:r>
            <w:r>
              <w:rPr>
                <w:rFonts w:hint="eastAsia" w:ascii="宋体" w:hAnsi="宋体" w:cs="Tahoma"/>
                <w:color w:val="000000"/>
                <w:kern w:val="0"/>
                <w:szCs w:val="21"/>
              </w:rPr>
              <w:t>制备站自控系统风格，约有</w:t>
            </w:r>
            <w:r>
              <w:rPr>
                <w:rFonts w:ascii="宋体" w:hAnsi="宋体" w:cs="Tahoma"/>
                <w:color w:val="000000"/>
                <w:kern w:val="0"/>
                <w:szCs w:val="21"/>
              </w:rPr>
              <w:t>5000个点位，Wincc</w:t>
            </w:r>
            <w:r>
              <w:rPr>
                <w:rFonts w:hint="eastAsia" w:ascii="宋体" w:hAnsi="宋体" w:cs="Tahoma"/>
                <w:color w:val="000000"/>
                <w:kern w:val="0"/>
                <w:szCs w:val="21"/>
              </w:rPr>
              <w:t>与</w:t>
            </w:r>
            <w:r>
              <w:rPr>
                <w:rFonts w:ascii="宋体" w:hAnsi="宋体" w:cs="Tahoma"/>
                <w:color w:val="000000"/>
                <w:kern w:val="0"/>
                <w:szCs w:val="21"/>
              </w:rPr>
              <w:t>PLC直连不经任何中转</w:t>
            </w:r>
          </w:p>
        </w:tc>
        <w:tc>
          <w:tcPr>
            <w:tcW w:w="1080" w:type="dxa"/>
            <w:tcBorders>
              <w:top w:val="nil"/>
              <w:left w:val="nil"/>
              <w:bottom w:val="single" w:color="auto" w:sz="4" w:space="0"/>
              <w:right w:val="single" w:color="auto" w:sz="4" w:space="0"/>
            </w:tcBorders>
            <w:shd w:val="clear" w:color="000000" w:fill="FFFFFF"/>
            <w:noWrap/>
            <w:vAlign w:val="center"/>
          </w:tcPr>
          <w:p w14:paraId="6C8D0732">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3FFBDDF3">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8BE577F">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54BFB5EF">
        <w:tblPrEx>
          <w:tblCellMar>
            <w:top w:w="0" w:type="dxa"/>
            <w:left w:w="108" w:type="dxa"/>
            <w:bottom w:w="0" w:type="dxa"/>
            <w:right w:w="108" w:type="dxa"/>
          </w:tblCellMar>
        </w:tblPrEx>
        <w:trPr>
          <w:wBefore w:w="118" w:type="dxa"/>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C3D5C21">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14</w:t>
            </w:r>
          </w:p>
        </w:tc>
        <w:tc>
          <w:tcPr>
            <w:tcW w:w="1734" w:type="dxa"/>
            <w:tcBorders>
              <w:top w:val="nil"/>
              <w:left w:val="nil"/>
              <w:bottom w:val="single" w:color="auto" w:sz="4" w:space="0"/>
              <w:right w:val="single" w:color="auto" w:sz="4" w:space="0"/>
            </w:tcBorders>
            <w:shd w:val="clear" w:color="000000" w:fill="FFFFFF"/>
          </w:tcPr>
          <w:p w14:paraId="3CA9999F">
            <w:pPr>
              <w:widowControl/>
              <w:jc w:val="left"/>
              <w:rPr>
                <w:rFonts w:ascii="宋体" w:hAnsi="宋体" w:cs="Tahoma"/>
                <w:color w:val="000000"/>
                <w:kern w:val="0"/>
                <w:szCs w:val="21"/>
              </w:rPr>
            </w:pPr>
            <w:r>
              <w:rPr>
                <w:rFonts w:hint="eastAsia" w:ascii="宋体" w:hAnsi="宋体" w:cs="Tahoma"/>
                <w:color w:val="000000"/>
                <w:kern w:val="0"/>
                <w:szCs w:val="21"/>
              </w:rPr>
              <w:t>数据传送至枢纽楼</w:t>
            </w:r>
          </w:p>
        </w:tc>
        <w:tc>
          <w:tcPr>
            <w:tcW w:w="3680" w:type="dxa"/>
            <w:tcBorders>
              <w:top w:val="nil"/>
              <w:left w:val="nil"/>
              <w:bottom w:val="single" w:color="auto" w:sz="4" w:space="0"/>
              <w:right w:val="single" w:color="auto" w:sz="4" w:space="0"/>
            </w:tcBorders>
            <w:shd w:val="clear" w:color="000000" w:fill="FFFFFF"/>
          </w:tcPr>
          <w:p w14:paraId="4061AF7B">
            <w:pPr>
              <w:widowControl/>
              <w:jc w:val="left"/>
              <w:rPr>
                <w:rFonts w:ascii="宋体" w:hAnsi="宋体" w:cs="Tahoma"/>
                <w:color w:val="000000"/>
                <w:kern w:val="0"/>
                <w:szCs w:val="21"/>
              </w:rPr>
            </w:pPr>
            <w:r>
              <w:rPr>
                <w:rFonts w:hint="eastAsia" w:ascii="宋体" w:hAnsi="宋体" w:cs="Tahoma"/>
                <w:color w:val="000000"/>
                <w:kern w:val="0"/>
                <w:szCs w:val="21"/>
              </w:rPr>
              <w:t>通过网关转发数据至枢纽楼并集成到枢纽楼上位机系统，枢纽楼上位机与管沟上位机同步</w:t>
            </w:r>
          </w:p>
        </w:tc>
        <w:tc>
          <w:tcPr>
            <w:tcW w:w="1080" w:type="dxa"/>
            <w:tcBorders>
              <w:top w:val="nil"/>
              <w:left w:val="nil"/>
              <w:bottom w:val="single" w:color="auto" w:sz="4" w:space="0"/>
              <w:right w:val="single" w:color="auto" w:sz="4" w:space="0"/>
            </w:tcBorders>
            <w:shd w:val="clear" w:color="000000" w:fill="FFFFFF"/>
            <w:noWrap/>
            <w:vAlign w:val="center"/>
          </w:tcPr>
          <w:p w14:paraId="5474EFFB">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F676F0B">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77121696">
            <w:pPr>
              <w:widowControl/>
              <w:jc w:val="center"/>
              <w:rPr>
                <w:rFonts w:ascii="宋体" w:hAnsi="宋体" w:cs="Tahoma"/>
                <w:color w:val="000000"/>
                <w:kern w:val="0"/>
                <w:szCs w:val="21"/>
              </w:rPr>
            </w:pPr>
            <w:r>
              <w:rPr>
                <w:rFonts w:hint="eastAsia" w:ascii="宋体" w:hAnsi="宋体" w:cs="Tahoma"/>
                <w:color w:val="000000"/>
                <w:kern w:val="0"/>
                <w:szCs w:val="21"/>
              </w:rPr>
              <w:t>项</w:t>
            </w:r>
          </w:p>
        </w:tc>
      </w:tr>
    </w:tbl>
    <w:p w14:paraId="30AD6C29">
      <w:pPr>
        <w:spacing w:before="120" w:beforeLines="50" w:after="120" w:afterLines="50" w:line="360" w:lineRule="auto"/>
        <w:jc w:val="center"/>
        <w:rPr>
          <w:rFonts w:ascii="宋体" w:hAnsi="宋体"/>
          <w:b/>
          <w:sz w:val="28"/>
          <w:szCs w:val="28"/>
        </w:rPr>
      </w:pPr>
    </w:p>
    <w:p w14:paraId="45159D7A">
      <w:pPr>
        <w:spacing w:before="120" w:beforeLines="50" w:after="120" w:afterLines="50" w:line="360" w:lineRule="auto"/>
        <w:rPr>
          <w:rFonts w:ascii="宋体" w:hAnsi="宋体" w:cs="宋体"/>
          <w:b/>
          <w:bCs/>
          <w:kern w:val="0"/>
          <w:sz w:val="24"/>
        </w:rPr>
      </w:pPr>
      <w:r>
        <w:rPr>
          <w:rFonts w:hint="eastAsia" w:ascii="宋体" w:hAnsi="宋体"/>
          <w:b/>
          <w:sz w:val="24"/>
        </w:rPr>
        <w:t>备注：</w:t>
      </w:r>
      <w:r>
        <w:rPr>
          <w:rFonts w:ascii="宋体" w:hAnsi="宋体"/>
          <w:b/>
          <w:sz w:val="24"/>
        </w:rPr>
        <w:t xml:space="preserve">1、 </w:t>
      </w:r>
      <w:r>
        <w:rPr>
          <w:rFonts w:hint="eastAsia" w:ascii="宋体" w:hAnsi="宋体" w:cs="宋体"/>
          <w:b/>
          <w:bCs/>
          <w:kern w:val="0"/>
          <w:sz w:val="24"/>
        </w:rPr>
        <w:t>工程量清单报价时建议按上述表格人工、材料分开单列报价。</w:t>
      </w:r>
    </w:p>
    <w:p w14:paraId="7F0F5ECB">
      <w:pPr>
        <w:spacing w:line="360" w:lineRule="auto"/>
        <w:ind w:firstLine="480" w:firstLineChars="200"/>
        <w:rPr>
          <w:rFonts w:ascii="宋体" w:hAnsi="宋体" w:cs="宋体"/>
          <w:bCs/>
          <w:kern w:val="0"/>
          <w:sz w:val="24"/>
        </w:rPr>
      </w:pPr>
    </w:p>
    <w:p w14:paraId="5E78869B">
      <w:pPr>
        <w:pStyle w:val="37"/>
        <w:numPr>
          <w:ilvl w:val="1"/>
          <w:numId w:val="5"/>
        </w:numPr>
        <w:spacing w:line="360" w:lineRule="auto"/>
        <w:ind w:left="0" w:firstLine="482"/>
        <w:rPr>
          <w:rFonts w:ascii="宋体" w:hAnsi="宋体"/>
          <w:b/>
          <w:sz w:val="24"/>
        </w:rPr>
      </w:pPr>
      <w:r>
        <w:rPr>
          <w:rFonts w:hint="eastAsia" w:ascii="宋体" w:hAnsi="宋体"/>
          <w:b/>
          <w:sz w:val="24"/>
        </w:rPr>
        <w:t>项目技术要求</w:t>
      </w:r>
    </w:p>
    <w:p w14:paraId="05DB7C9C">
      <w:pPr>
        <w:pStyle w:val="16"/>
        <w:shd w:val="clear" w:color="auto" w:fill="FFFFFF"/>
        <w:spacing w:line="360" w:lineRule="auto"/>
        <w:ind w:firstLine="480" w:firstLineChars="200"/>
        <w:rPr>
          <w:kern w:val="2"/>
        </w:rPr>
      </w:pPr>
      <w:r>
        <w:rPr>
          <w:kern w:val="2"/>
        </w:rPr>
        <w:t>1、</w:t>
      </w:r>
      <w:r>
        <w:rPr>
          <w:rFonts w:hint="eastAsia"/>
          <w:kern w:val="2"/>
        </w:rPr>
        <w:t>接线端子排及附件要按图纸安装完整，编号无缺失、所有紧固螺丝要拧紧，力矩合适，无松动或滑丝，线缆两端要按图纸套号码管，号码管长度，方向要一致，使用合适的字号，所有线缆接线端要压线卡，线卡无松动，变形，控制柜内无杂物，器件上无铁屑，控制柜的附件齐全，人机界面的工艺流程画面要与实际一致，</w:t>
      </w:r>
      <w:r>
        <w:rPr>
          <w:kern w:val="2"/>
        </w:rPr>
        <w:t>人机界面的布局设计根据人体工程学的要求应该实现简洁、平衡和风格一致</w:t>
      </w:r>
      <w:r>
        <w:rPr>
          <w:rFonts w:hint="eastAsia"/>
          <w:kern w:val="2"/>
        </w:rPr>
        <w:t>，</w:t>
      </w:r>
      <w:r>
        <w:rPr>
          <w:kern w:val="2"/>
        </w:rPr>
        <w:t>综合管沟的人机界面画面要同步集成到枢纽楼10楼自控系统电脑。</w:t>
      </w:r>
    </w:p>
    <w:p w14:paraId="3274C73C">
      <w:pPr>
        <w:pStyle w:val="16"/>
        <w:numPr>
          <w:ilvl w:val="0"/>
          <w:numId w:val="6"/>
        </w:numPr>
        <w:shd w:val="clear" w:color="auto" w:fill="FFFFFF"/>
        <w:spacing w:line="360" w:lineRule="auto"/>
        <w:ind w:left="0" w:firstLine="480" w:firstLineChars="200"/>
        <w:rPr>
          <w:kern w:val="2"/>
        </w:rPr>
      </w:pPr>
      <w:r>
        <w:rPr>
          <w:rFonts w:hint="eastAsia"/>
          <w:kern w:val="2"/>
        </w:rPr>
        <w:t>光缆部分</w:t>
      </w:r>
    </w:p>
    <w:p w14:paraId="33C189C2">
      <w:pPr>
        <w:pStyle w:val="16"/>
        <w:numPr>
          <w:ilvl w:val="2"/>
          <w:numId w:val="7"/>
        </w:numPr>
        <w:shd w:val="clear" w:color="auto" w:fill="FFFFFF"/>
        <w:spacing w:line="360" w:lineRule="auto"/>
        <w:ind w:left="0" w:firstLine="480" w:firstLineChars="200"/>
        <w:rPr>
          <w:kern w:val="2"/>
        </w:rPr>
      </w:pPr>
      <w:r>
        <w:rPr>
          <w:rFonts w:hint="eastAsia"/>
          <w:kern w:val="2"/>
        </w:rPr>
        <w:t>新光缆安装按施工深化图纸路由敷设，不可擅自改变，如有特殊情况确需改变，需向业主呈报方案，并经业主同意后方可实施。</w:t>
      </w:r>
    </w:p>
    <w:p w14:paraId="130438A4">
      <w:pPr>
        <w:pStyle w:val="16"/>
        <w:numPr>
          <w:ilvl w:val="2"/>
          <w:numId w:val="7"/>
        </w:numPr>
        <w:shd w:val="clear" w:color="auto" w:fill="FFFFFF"/>
        <w:spacing w:line="360" w:lineRule="auto"/>
        <w:ind w:left="0" w:firstLine="480" w:firstLineChars="200"/>
        <w:rPr>
          <w:kern w:val="2"/>
        </w:rPr>
      </w:pPr>
      <w:r>
        <w:rPr>
          <w:rFonts w:hint="eastAsia"/>
          <w:kern w:val="2"/>
        </w:rPr>
        <w:t>光纤弯曲时，弯曲半径应大于</w:t>
      </w:r>
      <w:r>
        <w:rPr>
          <w:kern w:val="2"/>
        </w:rPr>
        <w:t>50mm。</w:t>
      </w:r>
    </w:p>
    <w:p w14:paraId="4B0E7269">
      <w:pPr>
        <w:pStyle w:val="16"/>
        <w:numPr>
          <w:ilvl w:val="2"/>
          <w:numId w:val="7"/>
        </w:numPr>
        <w:shd w:val="clear" w:color="auto" w:fill="FFFFFF"/>
        <w:spacing w:line="360" w:lineRule="auto"/>
        <w:ind w:left="0" w:firstLine="480" w:firstLineChars="200"/>
        <w:rPr>
          <w:kern w:val="2"/>
        </w:rPr>
      </w:pPr>
      <w:r>
        <w:rPr>
          <w:rFonts w:hint="eastAsia"/>
          <w:kern w:val="2"/>
        </w:rPr>
        <w:t>余量段必须用尼龙扎带将其绑扎成环状，牢靠固定，弯曲半径应大于</w:t>
      </w:r>
      <w:r>
        <w:rPr>
          <w:kern w:val="2"/>
        </w:rPr>
        <w:t>50mm。</w:t>
      </w:r>
    </w:p>
    <w:p w14:paraId="7FAE7252">
      <w:pPr>
        <w:pStyle w:val="16"/>
        <w:numPr>
          <w:ilvl w:val="2"/>
          <w:numId w:val="7"/>
        </w:numPr>
        <w:shd w:val="clear" w:color="auto" w:fill="FFFFFF"/>
        <w:spacing w:line="360" w:lineRule="auto"/>
        <w:ind w:left="0" w:firstLine="480" w:firstLineChars="200"/>
        <w:rPr>
          <w:kern w:val="2"/>
        </w:rPr>
      </w:pPr>
      <w:r>
        <w:rPr>
          <w:rFonts w:hint="eastAsia"/>
          <w:kern w:val="2"/>
        </w:rPr>
        <w:t>同一光通道所有折断处、有明显损伤处必须熔接。</w:t>
      </w:r>
    </w:p>
    <w:p w14:paraId="5516634A">
      <w:pPr>
        <w:pStyle w:val="16"/>
        <w:numPr>
          <w:ilvl w:val="2"/>
          <w:numId w:val="7"/>
        </w:numPr>
        <w:shd w:val="clear" w:color="auto" w:fill="FFFFFF"/>
        <w:spacing w:line="360" w:lineRule="auto"/>
        <w:ind w:left="0" w:firstLine="480" w:firstLineChars="200"/>
        <w:rPr>
          <w:kern w:val="2"/>
        </w:rPr>
      </w:pPr>
      <w:r>
        <w:rPr>
          <w:rFonts w:hint="eastAsia"/>
          <w:kern w:val="2"/>
        </w:rPr>
        <w:t>光纤接头处应使用光缆接续盒保护，光缆接续盒、终端保护盒防护等级应达到或高于</w:t>
      </w:r>
      <w:r>
        <w:rPr>
          <w:kern w:val="2"/>
        </w:rPr>
        <w:t>IP65。光缆接续盒应固定在墙壁或支架上。</w:t>
      </w:r>
    </w:p>
    <w:p w14:paraId="6828A0D5">
      <w:pPr>
        <w:pStyle w:val="16"/>
        <w:numPr>
          <w:ilvl w:val="2"/>
          <w:numId w:val="7"/>
        </w:numPr>
        <w:shd w:val="clear" w:color="auto" w:fill="FFFFFF"/>
        <w:spacing w:line="360" w:lineRule="auto"/>
        <w:ind w:left="0" w:firstLine="480" w:firstLineChars="200"/>
        <w:rPr>
          <w:kern w:val="2"/>
        </w:rPr>
      </w:pPr>
      <w:r>
        <w:rPr>
          <w:rFonts w:hint="eastAsia"/>
          <w:kern w:val="2"/>
        </w:rPr>
        <w:t>光纤连接应采用专用设备，连接后必须对光纤进行测试，单个接头熔接损耗不得大于</w:t>
      </w:r>
      <w:r>
        <w:rPr>
          <w:kern w:val="2"/>
        </w:rPr>
        <w:t>0.2dB。</w:t>
      </w:r>
    </w:p>
    <w:p w14:paraId="4675F1DD">
      <w:pPr>
        <w:pStyle w:val="16"/>
        <w:numPr>
          <w:ilvl w:val="2"/>
          <w:numId w:val="7"/>
        </w:numPr>
        <w:shd w:val="clear" w:color="auto" w:fill="FFFFFF"/>
        <w:spacing w:line="360" w:lineRule="auto"/>
        <w:ind w:left="0" w:firstLine="480" w:firstLineChars="200"/>
        <w:rPr>
          <w:kern w:val="2"/>
        </w:rPr>
      </w:pPr>
      <w:r>
        <w:rPr>
          <w:rFonts w:hint="eastAsia"/>
          <w:kern w:val="2"/>
        </w:rPr>
        <w:t>每段光缆应编号并记录、贴好现场标识</w:t>
      </w:r>
    </w:p>
    <w:p w14:paraId="02B4A999">
      <w:pPr>
        <w:pStyle w:val="16"/>
        <w:numPr>
          <w:ilvl w:val="2"/>
          <w:numId w:val="7"/>
        </w:numPr>
        <w:shd w:val="clear" w:color="auto" w:fill="FFFFFF"/>
        <w:spacing w:line="360" w:lineRule="auto"/>
        <w:ind w:left="0" w:firstLine="480" w:firstLineChars="200"/>
        <w:rPr>
          <w:kern w:val="2"/>
        </w:rPr>
      </w:pPr>
      <w:r>
        <w:rPr>
          <w:rFonts w:hint="eastAsia"/>
          <w:kern w:val="2"/>
        </w:rPr>
        <w:t>每段光缆的安装位置（起点和终点）应作记录。</w:t>
      </w:r>
    </w:p>
    <w:p w14:paraId="009E3DAC">
      <w:pPr>
        <w:pStyle w:val="16"/>
        <w:numPr>
          <w:ilvl w:val="2"/>
          <w:numId w:val="7"/>
        </w:numPr>
        <w:shd w:val="clear" w:color="auto" w:fill="FFFFFF"/>
        <w:spacing w:line="360" w:lineRule="auto"/>
        <w:ind w:left="0" w:firstLine="480" w:firstLineChars="200"/>
        <w:rPr>
          <w:kern w:val="2"/>
        </w:rPr>
      </w:pPr>
      <w:r>
        <w:rPr>
          <w:rFonts w:hint="eastAsia"/>
          <w:kern w:val="2"/>
        </w:rPr>
        <w:t>光缆安装完成后，需对每段连续的光缆进行测光，形成测试记录。</w:t>
      </w:r>
    </w:p>
    <w:p w14:paraId="1CF31EC9">
      <w:pPr>
        <w:pStyle w:val="16"/>
        <w:numPr>
          <w:ilvl w:val="0"/>
          <w:numId w:val="7"/>
        </w:numPr>
        <w:shd w:val="clear" w:color="auto" w:fill="FFFFFF"/>
        <w:spacing w:line="360" w:lineRule="auto"/>
        <w:ind w:left="0" w:firstLine="480" w:firstLineChars="200"/>
        <w:rPr>
          <w:kern w:val="2"/>
        </w:rPr>
      </w:pPr>
      <w:r>
        <w:rPr>
          <w:rFonts w:hint="eastAsia"/>
          <w:kern w:val="2"/>
        </w:rPr>
        <w:t>监控设备及数据采样、传输方式</w:t>
      </w:r>
    </w:p>
    <w:p w14:paraId="446377C6">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6DDB09AE">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4DD96ABA">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436B9B8D">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0DCCB1F7">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76694F97">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71FC29DE">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29049FA2">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kern w:val="2"/>
          <w:sz w:val="24"/>
          <w:lang w:eastAsia="zh-CN"/>
        </w:rPr>
        <w:t>控制柜、箱及附件、电器元件防护等级为</w:t>
      </w:r>
      <w:r>
        <w:rPr>
          <w:rFonts w:ascii="宋体" w:hAnsi="宋体" w:eastAsia="宋体"/>
          <w:kern w:val="2"/>
          <w:sz w:val="24"/>
          <w:lang w:eastAsia="zh-CN"/>
        </w:rPr>
        <w:t>IP55、环境温度60</w:t>
      </w:r>
      <w:r>
        <w:rPr>
          <w:rFonts w:hint="eastAsia" w:ascii="宋体" w:hAnsi="宋体" w:eastAsia="宋体"/>
          <w:kern w:val="2"/>
          <w:sz w:val="24"/>
          <w:lang w:eastAsia="zh-CN"/>
        </w:rPr>
        <w:t>℃以上。风机、温度、水位、压力、环境监测、水泵等监控采用硬接线方式接入控制柜，方便设备维护。</w:t>
      </w:r>
    </w:p>
    <w:p w14:paraId="42878EB7">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kern w:val="2"/>
          <w:sz w:val="24"/>
          <w:lang w:eastAsia="zh-CN"/>
        </w:rPr>
        <w:t>通过</w:t>
      </w:r>
      <w:r>
        <w:rPr>
          <w:rFonts w:ascii="宋体" w:hAnsi="宋体" w:eastAsia="宋体"/>
          <w:kern w:val="2"/>
          <w:sz w:val="24"/>
          <w:lang w:eastAsia="zh-CN"/>
        </w:rPr>
        <w:t>PLC控制柜将设备运行数据传送至控制室。</w:t>
      </w:r>
    </w:p>
    <w:p w14:paraId="3B837565">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sz w:val="24"/>
          <w:lang w:eastAsia="zh-CN"/>
        </w:rPr>
        <w:t>辅助设备系统的数据，采用</w:t>
      </w:r>
      <w:r>
        <w:rPr>
          <w:rFonts w:ascii="宋体" w:hAnsi="宋体" w:eastAsia="宋体"/>
          <w:sz w:val="24"/>
          <w:lang w:eastAsia="zh-CN"/>
        </w:rPr>
        <w:t>MODBUSRTU总线通讯方式集成入网关内，同时为今后的通讯设备扩充提供接口，传送枢纽楼采用MODBUSTCP总线通讯方式。</w:t>
      </w:r>
    </w:p>
    <w:p w14:paraId="387F7366">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sz w:val="24"/>
          <w:lang w:eastAsia="zh-CN"/>
        </w:rPr>
        <w:t>所有数据、工艺集成到上位机及触摸屏。</w:t>
      </w:r>
    </w:p>
    <w:p w14:paraId="1AB46DD0">
      <w:pPr>
        <w:pStyle w:val="16"/>
        <w:shd w:val="clear" w:color="auto" w:fill="FFFFFF"/>
        <w:spacing w:line="360" w:lineRule="auto"/>
        <w:ind w:firstLine="480" w:firstLineChars="200"/>
        <w:rPr>
          <w:kern w:val="2"/>
        </w:rPr>
      </w:pPr>
      <w:r>
        <w:rPr>
          <w:kern w:val="2"/>
        </w:rPr>
        <w:t>4、</w:t>
      </w:r>
      <w:r>
        <w:rPr>
          <w:rFonts w:hint="eastAsia"/>
          <w:b/>
          <w:kern w:val="2"/>
        </w:rPr>
        <w:t>控制柜配置规格要求</w:t>
      </w:r>
    </w:p>
    <w:p w14:paraId="2AC59286">
      <w:pPr>
        <w:pStyle w:val="16"/>
        <w:shd w:val="clear" w:color="auto" w:fill="FFFFFF"/>
        <w:spacing w:line="360" w:lineRule="auto"/>
        <w:ind w:firstLine="482" w:firstLineChars="200"/>
        <w:rPr>
          <w:kern w:val="2"/>
        </w:rPr>
      </w:pPr>
      <w:r>
        <w:rPr>
          <w:rFonts w:hint="eastAsia"/>
          <w:b/>
          <w:kern w:val="2"/>
        </w:rPr>
        <w:t>投标书技术文件必须包含控制柜的设计图纸，包括柜内配置图，接线图和点表清单。中标单位签订合同后</w:t>
      </w:r>
      <w:r>
        <w:rPr>
          <w:b/>
          <w:kern w:val="2"/>
        </w:rPr>
        <w:t>7</w:t>
      </w:r>
      <w:r>
        <w:rPr>
          <w:rFonts w:hint="eastAsia"/>
          <w:b/>
          <w:kern w:val="2"/>
        </w:rPr>
        <w:t>日内完成控制柜的最终优化设计</w:t>
      </w:r>
      <w:r>
        <w:rPr>
          <w:rFonts w:hint="eastAsia"/>
          <w:kern w:val="2"/>
        </w:rPr>
        <w:t>，优化设计通过甲方审核后进行组装、测试。实现</w:t>
      </w:r>
      <w:r>
        <w:rPr>
          <w:kern w:val="2"/>
        </w:rPr>
        <w:t>CPU/</w:t>
      </w:r>
      <w:r>
        <w:rPr>
          <w:rFonts w:hint="eastAsia"/>
          <w:kern w:val="2"/>
        </w:rPr>
        <w:t>网关控制柜与</w:t>
      </w:r>
      <w:r>
        <w:rPr>
          <w:kern w:val="2"/>
        </w:rPr>
        <w:t>IO</w:t>
      </w:r>
      <w:r>
        <w:rPr>
          <w:rFonts w:hint="eastAsia"/>
          <w:kern w:val="2"/>
        </w:rPr>
        <w:t>控制柜的通讯，编写测试软件，利用信号发生器完成模拟测试，能模拟电动阀门的开关动作和状态反馈，模拟温度、水位、压力、环境监测信号，模拟水泵的状态及控制信号。测试通过后提交</w:t>
      </w:r>
      <w:r>
        <w:rPr>
          <w:kern w:val="2"/>
        </w:rPr>
        <w:t>IO</w:t>
      </w:r>
      <w:r>
        <w:rPr>
          <w:rFonts w:hint="eastAsia"/>
          <w:kern w:val="2"/>
        </w:rPr>
        <w:t>点的测试报告，甲方审核后再送至甲方指定地点，由乙方完成机柜安装和现场设备的接线、调试工作。控制柜内电线颜色必须满足，</w:t>
      </w:r>
      <w:r>
        <w:rPr>
          <w:kern w:val="2"/>
        </w:rPr>
        <w:t>24V-</w:t>
      </w:r>
      <w:r>
        <w:rPr>
          <w:rFonts w:hint="eastAsia"/>
          <w:kern w:val="2"/>
        </w:rPr>
        <w:t>红色，</w:t>
      </w:r>
      <w:r>
        <w:rPr>
          <w:kern w:val="2"/>
        </w:rPr>
        <w:t>0V-</w:t>
      </w:r>
      <w:r>
        <w:rPr>
          <w:rFonts w:hint="eastAsia"/>
          <w:kern w:val="2"/>
        </w:rPr>
        <w:t>黑色，</w:t>
      </w:r>
      <w:r>
        <w:rPr>
          <w:kern w:val="2"/>
        </w:rPr>
        <w:t>DI-</w:t>
      </w:r>
      <w:r>
        <w:rPr>
          <w:rFonts w:hint="eastAsia"/>
          <w:kern w:val="2"/>
        </w:rPr>
        <w:t>橙色，</w:t>
      </w:r>
      <w:r>
        <w:rPr>
          <w:kern w:val="2"/>
        </w:rPr>
        <w:t>DO-</w:t>
      </w:r>
      <w:r>
        <w:rPr>
          <w:rFonts w:hint="eastAsia"/>
          <w:kern w:val="2"/>
        </w:rPr>
        <w:t>黄色，</w:t>
      </w:r>
      <w:r>
        <w:rPr>
          <w:kern w:val="2"/>
        </w:rPr>
        <w:t>AI-</w:t>
      </w:r>
      <w:r>
        <w:rPr>
          <w:rFonts w:hint="eastAsia"/>
          <w:kern w:val="2"/>
        </w:rPr>
        <w:t>粉色，</w:t>
      </w:r>
      <w:r>
        <w:rPr>
          <w:kern w:val="2"/>
        </w:rPr>
        <w:t>AO-</w:t>
      </w:r>
      <w:r>
        <w:rPr>
          <w:rFonts w:hint="eastAsia"/>
          <w:kern w:val="2"/>
        </w:rPr>
        <w:t>紫色，</w:t>
      </w:r>
      <w:r>
        <w:rPr>
          <w:kern w:val="2"/>
        </w:rPr>
        <w:t>485</w:t>
      </w:r>
      <w:r>
        <w:rPr>
          <w:rFonts w:hint="eastAsia"/>
          <w:kern w:val="2"/>
        </w:rPr>
        <w:t>通讯线</w:t>
      </w:r>
      <w:r>
        <w:rPr>
          <w:kern w:val="2"/>
        </w:rPr>
        <w:t>-</w:t>
      </w:r>
      <w:r>
        <w:rPr>
          <w:rFonts w:hint="eastAsia"/>
          <w:kern w:val="2"/>
        </w:rPr>
        <w:t>白色。</w:t>
      </w:r>
    </w:p>
    <w:p w14:paraId="1DD2E6B0">
      <w:pPr>
        <w:pStyle w:val="16"/>
        <w:numPr>
          <w:ilvl w:val="0"/>
          <w:numId w:val="5"/>
        </w:numPr>
        <w:shd w:val="clear" w:color="auto" w:fill="FFFFFF"/>
        <w:spacing w:line="360" w:lineRule="auto"/>
        <w:ind w:left="0" w:firstLine="480" w:firstLineChars="200"/>
        <w:rPr>
          <w:kern w:val="2"/>
        </w:rPr>
      </w:pPr>
      <w:r>
        <w:rPr>
          <w:rFonts w:hint="eastAsia"/>
          <w:kern w:val="2"/>
        </w:rPr>
        <w:t>控制柜安装位置和高度</w:t>
      </w:r>
    </w:p>
    <w:p w14:paraId="05A7ED7B">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08971F71">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301E9357">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0C1CDEF9">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1C0F9C1B">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680BBD69">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22D6F3AB">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673A11D8">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532453AC">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4220FCBB">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控制</w:t>
      </w:r>
      <w:r>
        <w:rPr>
          <w:rFonts w:hint="eastAsia" w:ascii="宋体" w:hAnsi="宋体" w:eastAsia="宋体"/>
          <w:kern w:val="2"/>
          <w:sz w:val="24"/>
          <w:lang w:eastAsia="zh-CN"/>
        </w:rPr>
        <w:t>柜</w:t>
      </w:r>
      <w:r>
        <w:rPr>
          <w:rFonts w:hint="eastAsia" w:ascii="宋体" w:hAnsi="宋体" w:eastAsia="宋体" w:cs="仿宋"/>
          <w:kern w:val="2"/>
          <w:sz w:val="24"/>
          <w:lang w:eastAsia="zh-CN"/>
        </w:rPr>
        <w:t>应安装在便于操作和维护的位置，</w:t>
      </w:r>
      <w:r>
        <w:rPr>
          <w:rFonts w:ascii="MS Mincho" w:hAnsi="MS Mincho" w:eastAsia="MS Mincho" w:cs="MS Mincho"/>
          <w:kern w:val="2"/>
          <w:sz w:val="24"/>
          <w:lang w:eastAsia="zh-CN"/>
        </w:rPr>
        <w:t>‌</w:t>
      </w:r>
      <w:r>
        <w:rPr>
          <w:rFonts w:hint="eastAsia" w:ascii="宋体" w:hAnsi="宋体" w:eastAsia="宋体" w:cs="仿宋"/>
          <w:kern w:val="2"/>
          <w:sz w:val="24"/>
          <w:lang w:eastAsia="zh-CN"/>
        </w:rPr>
        <w:t>同时考虑到安全和方便维修的原则。</w:t>
      </w:r>
      <w:r>
        <w:rPr>
          <w:rFonts w:ascii="MS Mincho" w:hAnsi="MS Mincho" w:eastAsia="MS Mincho" w:cs="MS Mincho"/>
          <w:kern w:val="2"/>
          <w:sz w:val="24"/>
          <w:lang w:eastAsia="zh-CN"/>
        </w:rPr>
        <w:t>‌</w:t>
      </w:r>
      <w:r>
        <w:rPr>
          <w:rFonts w:hint="eastAsia" w:ascii="宋体" w:hAnsi="宋体" w:eastAsia="宋体" w:cs="仿宋"/>
          <w:b/>
          <w:kern w:val="2"/>
          <w:sz w:val="24"/>
          <w:lang w:eastAsia="zh-CN"/>
        </w:rPr>
        <w:t>壁挂式控制</w:t>
      </w:r>
      <w:r>
        <w:rPr>
          <w:rFonts w:hint="eastAsia" w:ascii="宋体" w:hAnsi="宋体" w:eastAsia="宋体"/>
          <w:b/>
          <w:kern w:val="2"/>
          <w:sz w:val="24"/>
          <w:lang w:eastAsia="zh-CN"/>
        </w:rPr>
        <w:t>柜</w:t>
      </w:r>
      <w:r>
        <w:rPr>
          <w:rFonts w:hint="eastAsia" w:ascii="宋体" w:hAnsi="宋体" w:eastAsia="宋体" w:cs="仿宋"/>
          <w:b/>
          <w:kern w:val="2"/>
          <w:sz w:val="24"/>
          <w:lang w:eastAsia="zh-CN"/>
        </w:rPr>
        <w:t>的安装高度宜为</w:t>
      </w:r>
      <w:r>
        <w:rPr>
          <w:rFonts w:ascii="宋体" w:hAnsi="宋体" w:eastAsia="宋体"/>
          <w:b/>
          <w:kern w:val="2"/>
          <w:sz w:val="24"/>
          <w:lang w:eastAsia="zh-CN"/>
        </w:rPr>
        <w:t>1.3~1.5</w:t>
      </w:r>
      <w:r>
        <w:rPr>
          <w:rFonts w:hint="eastAsia" w:ascii="宋体" w:hAnsi="宋体" w:eastAsia="宋体"/>
          <w:b/>
          <w:kern w:val="2"/>
          <w:sz w:val="24"/>
          <w:lang w:eastAsia="zh-CN"/>
        </w:rPr>
        <w:t>米，</w:t>
      </w:r>
      <w:r>
        <w:rPr>
          <w:rFonts w:ascii="MS Mincho" w:hAnsi="MS Mincho" w:eastAsia="MS Mincho" w:cs="MS Mincho"/>
          <w:b/>
          <w:kern w:val="2"/>
          <w:sz w:val="24"/>
          <w:lang w:eastAsia="zh-CN"/>
        </w:rPr>
        <w:t>‌</w:t>
      </w:r>
      <w:r>
        <w:rPr>
          <w:rFonts w:hint="eastAsia" w:ascii="宋体" w:hAnsi="宋体" w:eastAsia="宋体" w:cs="仿宋"/>
          <w:kern w:val="2"/>
          <w:sz w:val="24"/>
          <w:lang w:eastAsia="zh-CN"/>
        </w:rPr>
        <w:t>这样既可以保证操作人员可以方便地查看和控制，</w:t>
      </w:r>
      <w:r>
        <w:rPr>
          <w:rFonts w:ascii="MS Mincho" w:hAnsi="MS Mincho" w:eastAsia="MS Mincho" w:cs="MS Mincho"/>
          <w:kern w:val="2"/>
          <w:sz w:val="24"/>
          <w:lang w:eastAsia="zh-CN"/>
        </w:rPr>
        <w:t>‌</w:t>
      </w:r>
      <w:r>
        <w:rPr>
          <w:rFonts w:hint="eastAsia" w:ascii="宋体" w:hAnsi="宋体" w:eastAsia="宋体" w:cs="仿宋"/>
          <w:kern w:val="2"/>
          <w:sz w:val="24"/>
          <w:lang w:eastAsia="zh-CN"/>
        </w:rPr>
        <w:t>又能确保安全操作距离</w:t>
      </w:r>
      <w:r>
        <w:rPr>
          <w:rFonts w:hint="eastAsia" w:ascii="宋体" w:hAnsi="宋体" w:eastAsia="宋体"/>
          <w:kern w:val="2"/>
          <w:sz w:val="24"/>
          <w:lang w:eastAsia="zh-CN"/>
        </w:rPr>
        <w:t>。</w:t>
      </w:r>
    </w:p>
    <w:p w14:paraId="00FB4241">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固定和稳定性：</w:t>
      </w:r>
      <w:r>
        <w:rPr>
          <w:rFonts w:ascii="MS Mincho" w:hAnsi="MS Mincho" w:eastAsia="MS Mincho" w:cs="MS Mincho"/>
          <w:kern w:val="2"/>
          <w:sz w:val="24"/>
          <w:lang w:eastAsia="zh-CN"/>
        </w:rPr>
        <w:t>‌</w:t>
      </w:r>
      <w:r>
        <w:rPr>
          <w:rFonts w:hint="eastAsia" w:ascii="宋体" w:hAnsi="宋体" w:eastAsia="宋体" w:cs="仿宋"/>
          <w:kern w:val="2"/>
          <w:sz w:val="24"/>
          <w:lang w:eastAsia="zh-CN"/>
        </w:rPr>
        <w:t>控制柜应牢固地安装在墙上，</w:t>
      </w:r>
      <w:r>
        <w:rPr>
          <w:rFonts w:ascii="MS Mincho" w:hAnsi="MS Mincho" w:eastAsia="MS Mincho" w:cs="MS Mincho"/>
          <w:kern w:val="2"/>
          <w:sz w:val="24"/>
          <w:lang w:eastAsia="zh-CN"/>
        </w:rPr>
        <w:t>‌</w:t>
      </w:r>
      <w:r>
        <w:rPr>
          <w:rFonts w:hint="eastAsia" w:ascii="宋体" w:hAnsi="宋体" w:eastAsia="宋体" w:cs="仿宋"/>
          <w:kern w:val="2"/>
          <w:sz w:val="24"/>
          <w:lang w:eastAsia="zh-CN"/>
        </w:rPr>
        <w:t>确保不会因外部力量而移动或摇晃。</w:t>
      </w:r>
      <w:r>
        <w:rPr>
          <w:rFonts w:ascii="MS Mincho" w:hAnsi="MS Mincho" w:eastAsia="MS Mincho" w:cs="MS Mincho"/>
          <w:kern w:val="2"/>
          <w:sz w:val="24"/>
          <w:lang w:eastAsia="zh-CN"/>
        </w:rPr>
        <w:t>‌</w:t>
      </w:r>
      <w:r>
        <w:rPr>
          <w:rFonts w:hint="eastAsia" w:ascii="宋体" w:hAnsi="宋体" w:eastAsia="宋体" w:cs="仿宋"/>
          <w:kern w:val="2"/>
          <w:sz w:val="24"/>
          <w:lang w:eastAsia="zh-CN"/>
        </w:rPr>
        <w:t>安装时应遵循横平竖直的原则，</w:t>
      </w:r>
      <w:r>
        <w:rPr>
          <w:rFonts w:ascii="MS Mincho" w:hAnsi="MS Mincho" w:eastAsia="MS Mincho" w:cs="MS Mincho"/>
          <w:kern w:val="2"/>
          <w:sz w:val="24"/>
          <w:lang w:eastAsia="zh-CN"/>
        </w:rPr>
        <w:t>‌</w:t>
      </w:r>
      <w:r>
        <w:rPr>
          <w:rFonts w:hint="eastAsia" w:ascii="宋体" w:hAnsi="宋体" w:eastAsia="宋体" w:cs="仿宋"/>
          <w:kern w:val="2"/>
          <w:sz w:val="24"/>
          <w:lang w:eastAsia="zh-CN"/>
        </w:rPr>
        <w:t>以保持控制柜的稳定性和美观性，固定方式根据现场情况编写到实施方案中。</w:t>
      </w:r>
      <w:r>
        <w:rPr>
          <w:rFonts w:ascii="MS Mincho" w:hAnsi="MS Mincho" w:eastAsia="MS Mincho" w:cs="MS Mincho"/>
          <w:kern w:val="2"/>
          <w:sz w:val="24"/>
          <w:lang w:eastAsia="zh-CN"/>
        </w:rPr>
        <w:t>‌</w:t>
      </w:r>
    </w:p>
    <w:p w14:paraId="6CA3DAA7">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电源线和电缆管理：</w:t>
      </w:r>
      <w:r>
        <w:rPr>
          <w:rFonts w:ascii="MS Mincho" w:hAnsi="MS Mincho" w:eastAsia="MS Mincho" w:cs="MS Mincho"/>
          <w:kern w:val="2"/>
          <w:sz w:val="24"/>
          <w:lang w:eastAsia="zh-CN"/>
        </w:rPr>
        <w:t>‌</w:t>
      </w:r>
      <w:r>
        <w:rPr>
          <w:rFonts w:hint="eastAsia" w:ascii="宋体" w:hAnsi="宋体" w:eastAsia="宋体" w:cs="仿宋"/>
          <w:kern w:val="2"/>
          <w:sz w:val="24"/>
          <w:lang w:eastAsia="zh-CN"/>
        </w:rPr>
        <w:t>电源线和电缆的进出应通过线槽或线管进行保护，</w:t>
      </w:r>
      <w:r>
        <w:rPr>
          <w:rFonts w:ascii="MS Mincho" w:hAnsi="MS Mincho" w:eastAsia="MS Mincho" w:cs="MS Mincho"/>
          <w:kern w:val="2"/>
          <w:sz w:val="24"/>
          <w:lang w:eastAsia="zh-CN"/>
        </w:rPr>
        <w:t>‌</w:t>
      </w:r>
      <w:r>
        <w:rPr>
          <w:rFonts w:hint="eastAsia" w:ascii="宋体" w:hAnsi="宋体" w:eastAsia="宋体" w:cs="仿宋"/>
          <w:kern w:val="2"/>
          <w:sz w:val="24"/>
          <w:lang w:eastAsia="zh-CN"/>
        </w:rPr>
        <w:t>避免直接暴露在外，</w:t>
      </w:r>
      <w:r>
        <w:rPr>
          <w:rFonts w:ascii="MS Mincho" w:hAnsi="MS Mincho" w:eastAsia="MS Mincho" w:cs="MS Mincho"/>
          <w:kern w:val="2"/>
          <w:sz w:val="24"/>
          <w:lang w:eastAsia="zh-CN"/>
        </w:rPr>
        <w:t>‌</w:t>
      </w:r>
      <w:r>
        <w:rPr>
          <w:rFonts w:hint="eastAsia" w:ascii="宋体" w:hAnsi="宋体" w:eastAsia="宋体" w:cs="仿宋"/>
          <w:kern w:val="2"/>
          <w:sz w:val="24"/>
          <w:lang w:eastAsia="zh-CN"/>
        </w:rPr>
        <w:t>以增加安全性和延长电缆使用寿命。</w:t>
      </w:r>
      <w:r>
        <w:rPr>
          <w:rFonts w:ascii="MS Mincho" w:hAnsi="MS Mincho" w:eastAsia="MS Mincho" w:cs="MS Mincho"/>
          <w:kern w:val="2"/>
          <w:sz w:val="24"/>
          <w:lang w:eastAsia="zh-CN"/>
        </w:rPr>
        <w:t>‌‌</w:t>
      </w:r>
      <w:r>
        <w:rPr>
          <w:rFonts w:hint="eastAsia" w:ascii="宋体" w:hAnsi="宋体" w:eastAsia="宋体" w:cs="仿宋"/>
          <w:kern w:val="2"/>
          <w:sz w:val="24"/>
          <w:lang w:eastAsia="zh-CN"/>
        </w:rPr>
        <w:t>插板应安装在配电箱侧面或下面，</w:t>
      </w:r>
      <w:r>
        <w:rPr>
          <w:rFonts w:ascii="MS Mincho" w:hAnsi="MS Mincho" w:eastAsia="MS Mincho" w:cs="MS Mincho"/>
          <w:kern w:val="2"/>
          <w:sz w:val="24"/>
          <w:lang w:eastAsia="zh-CN"/>
        </w:rPr>
        <w:t>‌</w:t>
      </w:r>
      <w:r>
        <w:rPr>
          <w:rFonts w:hint="eastAsia" w:ascii="宋体" w:hAnsi="宋体" w:eastAsia="宋体" w:cs="仿宋"/>
          <w:kern w:val="2"/>
          <w:sz w:val="24"/>
          <w:lang w:eastAsia="zh-CN"/>
        </w:rPr>
        <w:t>电线必须穿管防护，</w:t>
      </w:r>
      <w:r>
        <w:rPr>
          <w:rFonts w:ascii="MS Mincho" w:hAnsi="MS Mincho" w:eastAsia="MS Mincho" w:cs="MS Mincho"/>
          <w:kern w:val="2"/>
          <w:sz w:val="24"/>
          <w:lang w:eastAsia="zh-CN"/>
        </w:rPr>
        <w:t>‌</w:t>
      </w:r>
      <w:r>
        <w:rPr>
          <w:rFonts w:hint="eastAsia" w:ascii="宋体" w:hAnsi="宋体" w:eastAsia="宋体" w:cs="仿宋"/>
          <w:kern w:val="2"/>
          <w:sz w:val="24"/>
          <w:lang w:eastAsia="zh-CN"/>
        </w:rPr>
        <w:t>确保安装牢固。</w:t>
      </w:r>
    </w:p>
    <w:p w14:paraId="522E305F">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安全标识：</w:t>
      </w:r>
      <w:r>
        <w:rPr>
          <w:rFonts w:ascii="MS Mincho" w:hAnsi="MS Mincho" w:eastAsia="MS Mincho" w:cs="MS Mincho"/>
          <w:kern w:val="2"/>
          <w:sz w:val="24"/>
          <w:lang w:eastAsia="zh-CN"/>
        </w:rPr>
        <w:t>‌</w:t>
      </w:r>
      <w:r>
        <w:rPr>
          <w:rFonts w:hint="eastAsia" w:ascii="宋体" w:hAnsi="宋体" w:eastAsia="宋体" w:cs="仿宋"/>
          <w:kern w:val="2"/>
          <w:sz w:val="24"/>
          <w:lang w:eastAsia="zh-CN"/>
        </w:rPr>
        <w:t>配电箱正面应粘贴当心触电的标示，</w:t>
      </w:r>
      <w:r>
        <w:rPr>
          <w:rFonts w:ascii="MS Mincho" w:hAnsi="MS Mincho" w:eastAsia="MS Mincho" w:cs="MS Mincho"/>
          <w:kern w:val="2"/>
          <w:sz w:val="24"/>
          <w:lang w:eastAsia="zh-CN"/>
        </w:rPr>
        <w:t>‌</w:t>
      </w:r>
      <w:r>
        <w:rPr>
          <w:rFonts w:hint="eastAsia" w:ascii="宋体" w:hAnsi="宋体" w:eastAsia="宋体" w:cs="仿宋"/>
          <w:kern w:val="2"/>
          <w:sz w:val="24"/>
          <w:lang w:eastAsia="zh-CN"/>
        </w:rPr>
        <w:t>以提醒操作人员注意安全。</w:t>
      </w:r>
      <w:r>
        <w:rPr>
          <w:rFonts w:ascii="MS Mincho" w:hAnsi="MS Mincho" w:eastAsia="MS Mincho" w:cs="MS Mincho"/>
          <w:kern w:val="2"/>
          <w:sz w:val="24"/>
          <w:lang w:eastAsia="zh-CN"/>
        </w:rPr>
        <w:t>‌</w:t>
      </w:r>
      <w:r>
        <w:rPr>
          <w:rFonts w:hint="eastAsia" w:ascii="宋体" w:hAnsi="宋体" w:eastAsia="宋体" w:cs="仿宋"/>
          <w:kern w:val="2"/>
          <w:sz w:val="24"/>
          <w:lang w:eastAsia="zh-CN"/>
        </w:rPr>
        <w:t>此外，</w:t>
      </w:r>
      <w:r>
        <w:rPr>
          <w:rFonts w:ascii="MS Mincho" w:hAnsi="MS Mincho" w:eastAsia="MS Mincho" w:cs="MS Mincho"/>
          <w:kern w:val="2"/>
          <w:sz w:val="24"/>
          <w:lang w:eastAsia="zh-CN"/>
        </w:rPr>
        <w:t>‌</w:t>
      </w:r>
      <w:r>
        <w:rPr>
          <w:rFonts w:hint="eastAsia" w:ascii="宋体" w:hAnsi="宋体" w:eastAsia="宋体" w:cs="仿宋"/>
          <w:kern w:val="2"/>
          <w:sz w:val="24"/>
          <w:lang w:eastAsia="zh-CN"/>
        </w:rPr>
        <w:t>对于控制柜内的电气元件，</w:t>
      </w:r>
      <w:r>
        <w:rPr>
          <w:rFonts w:ascii="MS Mincho" w:hAnsi="MS Mincho" w:eastAsia="MS Mincho" w:cs="MS Mincho"/>
          <w:kern w:val="2"/>
          <w:sz w:val="24"/>
          <w:lang w:eastAsia="zh-CN"/>
        </w:rPr>
        <w:t>‌</w:t>
      </w:r>
      <w:r>
        <w:rPr>
          <w:rFonts w:hint="eastAsia" w:ascii="宋体" w:hAnsi="宋体" w:eastAsia="宋体" w:cs="仿宋"/>
          <w:kern w:val="2"/>
          <w:sz w:val="24"/>
          <w:lang w:eastAsia="zh-CN"/>
        </w:rPr>
        <w:t>应明确标识其用途和操作方法，</w:t>
      </w:r>
      <w:r>
        <w:rPr>
          <w:rFonts w:ascii="MS Mincho" w:hAnsi="MS Mincho" w:eastAsia="MS Mincho" w:cs="MS Mincho"/>
          <w:kern w:val="2"/>
          <w:sz w:val="24"/>
          <w:lang w:eastAsia="zh-CN"/>
        </w:rPr>
        <w:t>‌</w:t>
      </w:r>
      <w:r>
        <w:rPr>
          <w:rFonts w:hint="eastAsia" w:ascii="宋体" w:hAnsi="宋体" w:eastAsia="宋体" w:cs="仿宋"/>
          <w:kern w:val="2"/>
          <w:sz w:val="24"/>
          <w:lang w:eastAsia="zh-CN"/>
        </w:rPr>
        <w:t>避免误操作。</w:t>
      </w:r>
      <w:r>
        <w:rPr>
          <w:rFonts w:ascii="MS Mincho" w:hAnsi="MS Mincho" w:eastAsia="MS Mincho" w:cs="MS Mincho"/>
          <w:kern w:val="2"/>
          <w:sz w:val="24"/>
          <w:lang w:eastAsia="zh-CN"/>
        </w:rPr>
        <w:t>‌</w:t>
      </w:r>
    </w:p>
    <w:p w14:paraId="0C4C54FA">
      <w:pPr>
        <w:pStyle w:val="16"/>
        <w:numPr>
          <w:ilvl w:val="0"/>
          <w:numId w:val="5"/>
        </w:numPr>
        <w:shd w:val="clear" w:color="auto" w:fill="FFFFFF"/>
        <w:spacing w:line="360" w:lineRule="auto"/>
        <w:ind w:left="0" w:firstLine="480" w:firstLineChars="200"/>
        <w:rPr>
          <w:kern w:val="2"/>
        </w:rPr>
      </w:pPr>
      <w:r>
        <w:rPr>
          <w:rFonts w:hint="eastAsia"/>
          <w:kern w:val="2"/>
        </w:rPr>
        <w:t>供电与接地</w:t>
      </w:r>
    </w:p>
    <w:p w14:paraId="77D1A88C">
      <w:pPr>
        <w:pStyle w:val="16"/>
        <w:shd w:val="clear" w:color="auto" w:fill="FFFFFF"/>
        <w:spacing w:line="360" w:lineRule="auto"/>
        <w:ind w:firstLine="480" w:firstLineChars="200"/>
        <w:rPr>
          <w:kern w:val="2"/>
        </w:rPr>
      </w:pPr>
      <w:r>
        <w:rPr>
          <w:rFonts w:hint="eastAsia"/>
          <w:kern w:val="2"/>
        </w:rPr>
        <w:t>系统供电应采用</w:t>
      </w:r>
      <w:r>
        <w:rPr>
          <w:kern w:val="2"/>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14:paraId="705CC51D">
      <w:pPr>
        <w:pStyle w:val="16"/>
        <w:shd w:val="clear" w:color="auto" w:fill="FFFFFF"/>
        <w:spacing w:line="360" w:lineRule="auto"/>
        <w:ind w:firstLine="480" w:firstLineChars="200"/>
        <w:rPr>
          <w:kern w:val="2"/>
        </w:rPr>
      </w:pPr>
      <w:r>
        <w:rPr>
          <w:kern w:val="2"/>
        </w:rPr>
        <w:t>7</w:t>
      </w:r>
      <w:r>
        <w:rPr>
          <w:rFonts w:hint="eastAsia"/>
          <w:kern w:val="2"/>
        </w:rPr>
        <w:t>、其他要求</w:t>
      </w:r>
    </w:p>
    <w:p w14:paraId="551081F3">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65C6712B">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1789371B">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7D84DD88">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450E4636">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6631C82E">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43028012">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26EDA95D">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1F51A65C">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65F56E19">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22CFE83F">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506FBE38">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中标单位负责供货、调试，工艺满足原设计要求、满足使用要求；</w:t>
      </w:r>
    </w:p>
    <w:p w14:paraId="7C7BF9BD">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随时提供技术咨询或现场培训；</w:t>
      </w:r>
    </w:p>
    <w:p w14:paraId="40238A46">
      <w:pPr>
        <w:pStyle w:val="56"/>
        <w:widowControl w:val="0"/>
        <w:numPr>
          <w:ilvl w:val="2"/>
          <w:numId w:val="7"/>
        </w:numPr>
        <w:spacing w:line="360" w:lineRule="auto"/>
        <w:ind w:left="0" w:firstLine="482"/>
        <w:jc w:val="both"/>
        <w:rPr>
          <w:rFonts w:ascii="宋体" w:hAnsi="宋体" w:eastAsia="宋体"/>
          <w:kern w:val="2"/>
          <w:sz w:val="24"/>
          <w:lang w:eastAsia="zh-CN"/>
        </w:rPr>
      </w:pPr>
      <w:r>
        <w:rPr>
          <w:rFonts w:hint="eastAsia" w:ascii="宋体" w:hAnsi="宋体" w:eastAsia="宋体"/>
          <w:b/>
          <w:kern w:val="2"/>
          <w:sz w:val="24"/>
          <w:lang w:eastAsia="zh-CN"/>
        </w:rPr>
        <w:t>中标单位熟悉</w:t>
      </w:r>
      <w:r>
        <w:rPr>
          <w:rFonts w:ascii="宋体" w:hAnsi="宋体" w:eastAsia="宋体"/>
          <w:b/>
          <w:kern w:val="2"/>
          <w:sz w:val="24"/>
          <w:lang w:eastAsia="zh-CN"/>
        </w:rPr>
        <w:t>PLC</w:t>
      </w:r>
      <w:r>
        <w:rPr>
          <w:rFonts w:hint="eastAsia" w:ascii="宋体" w:hAnsi="宋体" w:eastAsia="宋体"/>
          <w:b/>
          <w:kern w:val="2"/>
          <w:sz w:val="24"/>
          <w:lang w:eastAsia="zh-CN"/>
        </w:rPr>
        <w:t>系统及编程软件，按要求设计机柜图，并提供设计安装图纸。</w:t>
      </w:r>
    </w:p>
    <w:p w14:paraId="398B6B6B">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控制柜设计工艺要求必须满足仓点要求，及控制逻辑、启动条件、故障报警等控制工艺保持一致性。</w:t>
      </w:r>
    </w:p>
    <w:p w14:paraId="71669685">
      <w:pPr>
        <w:pStyle w:val="37"/>
      </w:pPr>
    </w:p>
    <w:p w14:paraId="5AA576F4">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施工要求</w:t>
      </w:r>
    </w:p>
    <w:p w14:paraId="6DBF6C83">
      <w:pPr>
        <w:pStyle w:val="37"/>
        <w:numPr>
          <w:ilvl w:val="1"/>
          <w:numId w:val="13"/>
        </w:numPr>
        <w:spacing w:line="360" w:lineRule="auto"/>
        <w:ind w:firstLineChars="0"/>
        <w:jc w:val="left"/>
        <w:rPr>
          <w:rFonts w:ascii="宋体" w:hAnsi="宋体"/>
          <w:color w:val="000000"/>
          <w:sz w:val="24"/>
        </w:rPr>
      </w:pPr>
      <w:r>
        <w:rPr>
          <w:rFonts w:hint="eastAsia" w:ascii="宋体" w:hAnsi="宋体"/>
          <w:color w:val="000000"/>
          <w:sz w:val="24"/>
        </w:rPr>
        <w:t>安全第一，执行甲方的安全管理规章制度，办票作业。</w:t>
      </w:r>
    </w:p>
    <w:p w14:paraId="58B59D17">
      <w:pPr>
        <w:numPr>
          <w:ilvl w:val="1"/>
          <w:numId w:val="13"/>
        </w:numPr>
        <w:spacing w:line="360" w:lineRule="auto"/>
        <w:jc w:val="left"/>
        <w:rPr>
          <w:rFonts w:ascii="宋体" w:hAnsi="宋体"/>
          <w:color w:val="000000"/>
          <w:sz w:val="24"/>
        </w:rPr>
      </w:pPr>
      <w:r>
        <w:rPr>
          <w:rFonts w:hint="eastAsia" w:ascii="宋体" w:hAnsi="宋体"/>
          <w:color w:val="000000"/>
          <w:sz w:val="24"/>
        </w:rPr>
        <w:t>中标单位应充分察勘现场，对影响施工质量的潜在风险进行评估，施工时注意成品保护，必要时采取围护、覆盖等有效措施，中标单位应充分考虑成品保护措施费。</w:t>
      </w:r>
    </w:p>
    <w:p w14:paraId="25B09961">
      <w:pPr>
        <w:numPr>
          <w:ilvl w:val="1"/>
          <w:numId w:val="13"/>
        </w:numPr>
        <w:spacing w:line="360" w:lineRule="auto"/>
        <w:jc w:val="left"/>
        <w:rPr>
          <w:rFonts w:ascii="宋体" w:hAnsi="宋体"/>
          <w:color w:val="000000"/>
          <w:sz w:val="24"/>
        </w:rPr>
      </w:pPr>
      <w:r>
        <w:rPr>
          <w:rFonts w:hint="eastAsia" w:ascii="宋体" w:hAnsi="宋体"/>
          <w:color w:val="000000"/>
          <w:sz w:val="24"/>
        </w:rPr>
        <w:t>项目经理或安全员到场管理，且人证合一。</w:t>
      </w:r>
    </w:p>
    <w:p w14:paraId="1AE6DAD3">
      <w:pPr>
        <w:numPr>
          <w:ilvl w:val="1"/>
          <w:numId w:val="13"/>
        </w:numPr>
        <w:spacing w:line="360" w:lineRule="auto"/>
        <w:jc w:val="left"/>
        <w:rPr>
          <w:rFonts w:ascii="宋体" w:hAnsi="宋体"/>
          <w:color w:val="000000"/>
          <w:sz w:val="24"/>
        </w:rPr>
      </w:pPr>
      <w:r>
        <w:rPr>
          <w:rFonts w:hint="eastAsia" w:ascii="宋体" w:hAnsi="宋体"/>
          <w:color w:val="000000"/>
          <w:sz w:val="24"/>
        </w:rPr>
        <w:t>本采购要求中标单位包采购、包送货、包安装调试、包质量、包使用培训、包税费、质保期服务和完成这些工作所需的材料、工器具以及其他相关服务等。中标单位必须提供全新的货物。</w:t>
      </w:r>
    </w:p>
    <w:p w14:paraId="2431B044">
      <w:pPr>
        <w:numPr>
          <w:ilvl w:val="1"/>
          <w:numId w:val="13"/>
        </w:numPr>
        <w:spacing w:line="360" w:lineRule="auto"/>
        <w:jc w:val="left"/>
        <w:rPr>
          <w:rFonts w:ascii="宋体" w:hAnsi="宋体"/>
          <w:color w:val="000000"/>
          <w:sz w:val="24"/>
        </w:rPr>
      </w:pPr>
      <w:r>
        <w:rPr>
          <w:rFonts w:hint="eastAsia" w:ascii="宋体" w:hAnsi="宋体"/>
          <w:color w:val="000000"/>
          <w:sz w:val="24"/>
        </w:rPr>
        <w:t>布管布线要求做到横平竖直</w:t>
      </w:r>
      <w:r>
        <w:rPr>
          <w:rFonts w:ascii="宋体" w:hAnsi="宋体"/>
          <w:color w:val="000000"/>
          <w:sz w:val="24"/>
        </w:rPr>
        <w:t>,工艺美观,质量符合要求，线管内不允许有接头，室外及地面必须采用金属管穿线开挖填埋，做到防腐防水，金属管外壳必须与防雷接地系统可靠连接，管廊内布线按甲方指定位置敷设。</w:t>
      </w:r>
    </w:p>
    <w:p w14:paraId="316596AF">
      <w:pPr>
        <w:numPr>
          <w:ilvl w:val="1"/>
          <w:numId w:val="13"/>
        </w:numPr>
        <w:spacing w:line="360" w:lineRule="auto"/>
        <w:jc w:val="left"/>
        <w:rPr>
          <w:rFonts w:ascii="宋体" w:hAnsi="宋体"/>
          <w:color w:val="000000"/>
          <w:sz w:val="24"/>
        </w:rPr>
      </w:pPr>
      <w:r>
        <w:rPr>
          <w:rFonts w:hint="eastAsia" w:ascii="宋体" w:hAnsi="宋体"/>
          <w:color w:val="000000"/>
          <w:sz w:val="24"/>
        </w:rPr>
        <w:t>现场了解清楚综合管沟工艺、设备运行情况、</w:t>
      </w:r>
      <w:r>
        <w:rPr>
          <w:rFonts w:ascii="宋体" w:hAnsi="宋体"/>
          <w:color w:val="000000"/>
          <w:sz w:val="24"/>
        </w:rPr>
        <w:t>PLC控制柜模块、电气布线、运行情况、中控监控系统运行情况等。</w:t>
      </w:r>
    </w:p>
    <w:p w14:paraId="13654611">
      <w:pPr>
        <w:numPr>
          <w:ilvl w:val="1"/>
          <w:numId w:val="13"/>
        </w:numPr>
        <w:spacing w:line="360" w:lineRule="auto"/>
        <w:jc w:val="left"/>
        <w:rPr>
          <w:rFonts w:ascii="宋体" w:hAnsi="宋体"/>
          <w:color w:val="000000"/>
          <w:sz w:val="24"/>
        </w:rPr>
      </w:pPr>
      <w:r>
        <w:rPr>
          <w:rFonts w:hint="eastAsia" w:ascii="宋体" w:hAnsi="宋体"/>
          <w:color w:val="000000"/>
          <w:sz w:val="24"/>
        </w:rPr>
        <w:t>施工前，中标单位根据甲方要求，现场情况，确定安装位置及要求，实施方案、安装图纸、机柜布置图、接线图、深化设计图、必须得到甲方认可。</w:t>
      </w:r>
    </w:p>
    <w:p w14:paraId="111C44DC">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服务要求</w:t>
      </w:r>
    </w:p>
    <w:p w14:paraId="6F98B7FF">
      <w:pPr>
        <w:pStyle w:val="16"/>
        <w:numPr>
          <w:ilvl w:val="1"/>
          <w:numId w:val="14"/>
        </w:numPr>
        <w:shd w:val="clear" w:color="auto" w:fill="FFFFFF"/>
        <w:wordWrap w:val="0"/>
        <w:spacing w:line="360" w:lineRule="auto"/>
        <w:rPr>
          <w:rFonts w:ascii="Times New Roman" w:hAnsi="Times New Roman" w:cs="Times New Roman"/>
          <w:kern w:val="2"/>
        </w:rPr>
      </w:pPr>
      <w:r>
        <w:rPr>
          <w:rFonts w:hint="eastAsia"/>
          <w:color w:val="000000"/>
        </w:rPr>
        <w:t>中标单位</w:t>
      </w:r>
      <w:r>
        <w:rPr>
          <w:rFonts w:hint="eastAsia" w:ascii="Times New Roman" w:hAnsi="Times New Roman" w:cs="Times New Roman"/>
          <w:kern w:val="2"/>
        </w:rPr>
        <w:t>负责对甲方进行设备使用培训，</w:t>
      </w:r>
      <w:r>
        <w:rPr>
          <w:rFonts w:hint="eastAsia"/>
          <w:color w:val="000000"/>
        </w:rPr>
        <w:t>中标单位</w:t>
      </w:r>
      <w:r>
        <w:rPr>
          <w:rFonts w:hint="eastAsia" w:ascii="Times New Roman" w:hAnsi="Times New Roman" w:cs="Times New Roman"/>
          <w:kern w:val="2"/>
        </w:rPr>
        <w:t>必须派有经验的工程技术人员对甲方技术及操作人员进行设备的运行、维护方面的培训和指导；</w:t>
      </w:r>
      <w:r>
        <w:rPr>
          <w:rFonts w:ascii="Times New Roman" w:hAnsi="Times New Roman" w:cs="Times New Roman"/>
          <w:kern w:val="2"/>
        </w:rPr>
        <w:t>在工程现场进行实际操作示范，让参加培训人员</w:t>
      </w:r>
      <w:r>
        <w:rPr>
          <w:rFonts w:hint="eastAsia" w:ascii="Times New Roman" w:hAnsi="Times New Roman" w:cs="Times New Roman"/>
          <w:kern w:val="2"/>
        </w:rPr>
        <w:t>对设备充分了解，达到更好的</w:t>
      </w:r>
      <w:r>
        <w:rPr>
          <w:rFonts w:ascii="Times New Roman" w:hAnsi="Times New Roman" w:cs="Times New Roman"/>
          <w:kern w:val="2"/>
        </w:rPr>
        <w:t>操作和维护设备的</w:t>
      </w:r>
      <w:r>
        <w:rPr>
          <w:rFonts w:hint="eastAsia" w:ascii="Times New Roman" w:hAnsi="Times New Roman" w:cs="Times New Roman"/>
          <w:kern w:val="2"/>
        </w:rPr>
        <w:t>目的。</w:t>
      </w:r>
    </w:p>
    <w:p w14:paraId="4B9A5398">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设备验收合格并交付甲方前，</w:t>
      </w:r>
      <w:r>
        <w:rPr>
          <w:rFonts w:hint="eastAsia"/>
          <w:color w:val="000000"/>
        </w:rPr>
        <w:t>中标单位</w:t>
      </w:r>
      <w:r>
        <w:rPr>
          <w:rFonts w:hint="eastAsia" w:ascii="Times New Roman" w:hAnsi="Times New Roman" w:cs="Times New Roman"/>
          <w:kern w:val="2"/>
        </w:rPr>
        <w:t>应自行保管设备材料，并自行承担这些设备材料损坏、丢失的风险。</w:t>
      </w:r>
    </w:p>
    <w:p w14:paraId="46E1D517">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本项目现场施工和调试运行期间，必须保证综合管沟正常生产运行，设备调试指导及调试，</w:t>
      </w:r>
      <w:r>
        <w:rPr>
          <w:rFonts w:hint="eastAsia"/>
          <w:color w:val="000000"/>
        </w:rPr>
        <w:t>中标单位</w:t>
      </w:r>
      <w:r>
        <w:rPr>
          <w:rFonts w:hint="eastAsia" w:ascii="Times New Roman" w:hAnsi="Times New Roman" w:cs="Times New Roman"/>
          <w:kern w:val="2"/>
        </w:rPr>
        <w:t>必须按要求协商提供调试方案，开展调试运行工作，做好调试和测试记录。</w:t>
      </w:r>
    </w:p>
    <w:p w14:paraId="0CDB5ADA">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派专门技术人员现场指导并负责所供设备的安装工作，负责安装完毕后的单机调试和联动调试工作。安装完成时，进行检查，提交安装完毕及质量合格的证明。</w:t>
      </w:r>
    </w:p>
    <w:p w14:paraId="2E1A5AC7">
      <w:pPr>
        <w:pStyle w:val="16"/>
        <w:numPr>
          <w:ilvl w:val="1"/>
          <w:numId w:val="14"/>
        </w:numPr>
        <w:shd w:val="clear" w:color="auto" w:fill="FFFFFF"/>
        <w:wordWrap w:val="0"/>
        <w:spacing w:line="360" w:lineRule="auto"/>
        <w:rPr>
          <w:rFonts w:ascii="Times New Roman" w:hAnsi="Times New Roman" w:cs="Times New Roman"/>
          <w:kern w:val="2"/>
        </w:rPr>
      </w:pPr>
      <w:r>
        <w:rPr>
          <w:rFonts w:hint="eastAsia"/>
          <w:color w:val="000000"/>
        </w:rPr>
        <w:t>中标单位</w:t>
      </w:r>
      <w:r>
        <w:rPr>
          <w:rFonts w:hint="eastAsia" w:ascii="Times New Roman" w:hAnsi="Times New Roman" w:cs="Times New Roman"/>
          <w:kern w:val="2"/>
        </w:rPr>
        <w:t>负责系统试运行的全过程，试运行是考核整个系统的质量和可靠性的重要步骤，在试运行满足要求后，验收才能进行。</w:t>
      </w:r>
    </w:p>
    <w:p w14:paraId="13048209">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提供所有设备的规格及说明书、合格证、配件、图纸。</w:t>
      </w:r>
    </w:p>
    <w:p w14:paraId="38021E7C">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质保期的服务：</w:t>
      </w:r>
      <w:r>
        <w:rPr>
          <w:rFonts w:hint="eastAsia"/>
          <w:color w:val="000000"/>
        </w:rPr>
        <w:t>中标单位</w:t>
      </w:r>
      <w:r>
        <w:rPr>
          <w:rFonts w:hint="eastAsia" w:ascii="Times New Roman" w:hAnsi="Times New Roman" w:cs="Times New Roman"/>
          <w:kern w:val="2"/>
        </w:rPr>
        <w:t>必须为设备提供</w:t>
      </w:r>
      <w:r>
        <w:rPr>
          <w:rFonts w:ascii="Times New Roman" w:hAnsi="Times New Roman" w:cs="Times New Roman"/>
          <w:kern w:val="2"/>
        </w:rPr>
        <w:t>2</w:t>
      </w:r>
      <w:r>
        <w:rPr>
          <w:rFonts w:hint="eastAsia" w:ascii="Times New Roman" w:hAnsi="Times New Roman" w:cs="Times New Roman"/>
          <w:kern w:val="2"/>
        </w:rPr>
        <w:t>年的免费维修保养和缺陷保修，时间从安装调试验收合格之日算起。要求维修维护服务</w:t>
      </w:r>
      <w:r>
        <w:rPr>
          <w:rFonts w:ascii="Times New Roman" w:hAnsi="Times New Roman" w:cs="Times New Roman"/>
          <w:kern w:val="2"/>
        </w:rPr>
        <w:t>24</w:t>
      </w:r>
      <w:r>
        <w:rPr>
          <w:rFonts w:hint="eastAsia" w:ascii="Times New Roman" w:hAnsi="Times New Roman" w:cs="Times New Roman"/>
          <w:kern w:val="2"/>
        </w:rPr>
        <w:t>小时服务，在接到要求维护维修通知四小时内作出响应，</w:t>
      </w:r>
      <w:r>
        <w:rPr>
          <w:rFonts w:ascii="Times New Roman" w:hAnsi="Times New Roman" w:cs="Times New Roman"/>
          <w:kern w:val="2"/>
        </w:rPr>
        <w:t>12</w:t>
      </w:r>
      <w:r>
        <w:rPr>
          <w:rFonts w:hint="eastAsia" w:ascii="Times New Roman" w:hAnsi="Times New Roman" w:cs="Times New Roman"/>
          <w:kern w:val="2"/>
        </w:rPr>
        <w:t>小时内赶到现场服务，直到问题得到妥善解决。保修期内由于设备本身质量原因造成的任何损伤或损坏，供货商必须免费负责修理或更换。</w:t>
      </w:r>
    </w:p>
    <w:p w14:paraId="31A16947">
      <w:pPr>
        <w:spacing w:before="120" w:beforeLines="50" w:after="120" w:afterLines="50" w:line="360" w:lineRule="auto"/>
        <w:rPr>
          <w:rFonts w:ascii="宋体" w:hAnsi="宋体"/>
          <w:b/>
          <w:sz w:val="24"/>
        </w:rPr>
      </w:pPr>
    </w:p>
    <w:p w14:paraId="4D71DDCF">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项目工期、验收标准及质保期限</w:t>
      </w:r>
    </w:p>
    <w:p w14:paraId="0F67548D">
      <w:pPr>
        <w:pStyle w:val="37"/>
        <w:numPr>
          <w:ilvl w:val="0"/>
          <w:numId w:val="15"/>
        </w:numPr>
        <w:spacing w:before="120" w:beforeLines="50" w:after="120" w:afterLines="50" w:line="360" w:lineRule="auto"/>
        <w:ind w:firstLineChars="0"/>
        <w:rPr>
          <w:sz w:val="24"/>
        </w:rPr>
      </w:pPr>
      <w:r>
        <w:rPr>
          <w:rFonts w:hint="eastAsia"/>
          <w:sz w:val="24"/>
        </w:rPr>
        <w:t>施工工期</w:t>
      </w:r>
    </w:p>
    <w:p w14:paraId="179E1D8D">
      <w:pPr>
        <w:spacing w:before="120" w:beforeLines="50" w:after="120" w:afterLines="50" w:line="360" w:lineRule="auto"/>
        <w:ind w:firstLine="480" w:firstLineChars="200"/>
        <w:rPr>
          <w:sz w:val="24"/>
        </w:rPr>
      </w:pPr>
      <w:r>
        <w:rPr>
          <w:rFonts w:hint="eastAsia"/>
          <w:sz w:val="24"/>
        </w:rPr>
        <w:t>本项目工期总日历天数为</w:t>
      </w:r>
      <w:r>
        <w:rPr>
          <w:sz w:val="24"/>
        </w:rPr>
        <w:t>60</w:t>
      </w:r>
      <w:r>
        <w:rPr>
          <w:rFonts w:hint="eastAsia"/>
          <w:sz w:val="24"/>
        </w:rPr>
        <w:t>天（包括法定节假日在内连续计算），自甲方发出开工指令的次日起算。</w:t>
      </w:r>
    </w:p>
    <w:p w14:paraId="768B660D">
      <w:pPr>
        <w:pStyle w:val="37"/>
        <w:numPr>
          <w:ilvl w:val="0"/>
          <w:numId w:val="15"/>
        </w:numPr>
        <w:spacing w:before="120" w:beforeLines="50" w:after="120" w:afterLines="50" w:line="360" w:lineRule="auto"/>
        <w:ind w:firstLineChars="0"/>
        <w:rPr>
          <w:sz w:val="24"/>
        </w:rPr>
      </w:pPr>
      <w:r>
        <w:rPr>
          <w:rFonts w:hint="eastAsia"/>
          <w:sz w:val="24"/>
        </w:rPr>
        <w:t>工程验收标准及方式</w:t>
      </w:r>
    </w:p>
    <w:p w14:paraId="1CF2778A">
      <w:pPr>
        <w:pStyle w:val="37"/>
        <w:numPr>
          <w:ilvl w:val="2"/>
          <w:numId w:val="14"/>
        </w:numPr>
        <w:spacing w:line="360" w:lineRule="auto"/>
        <w:ind w:firstLineChars="0"/>
        <w:rPr>
          <w:bCs/>
        </w:rPr>
      </w:pPr>
      <w:r>
        <w:rPr>
          <w:rFonts w:hint="eastAsia"/>
          <w:sz w:val="24"/>
        </w:rPr>
        <w:t>质量验收标准：《人机界面标志标识的基本和安全规则操作规则》</w:t>
      </w:r>
      <w:r>
        <w:rPr>
          <w:sz w:val="24"/>
        </w:rPr>
        <w:t>GB/T4205-2010</w:t>
      </w:r>
      <w:r>
        <w:rPr>
          <w:rFonts w:hint="eastAsia"/>
          <w:sz w:val="24"/>
        </w:rPr>
        <w:t>、《综合布线系统工程设计规范》</w:t>
      </w:r>
      <w:r>
        <w:rPr>
          <w:sz w:val="24"/>
        </w:rPr>
        <w:t>GB50311-2016</w:t>
      </w:r>
      <w:r>
        <w:rPr>
          <w:rFonts w:hint="eastAsia"/>
          <w:sz w:val="24"/>
        </w:rPr>
        <w:t>、《计算机房设计规范》</w:t>
      </w:r>
      <w:r>
        <w:rPr>
          <w:sz w:val="24"/>
        </w:rPr>
        <w:t>GB/T29467-2017</w:t>
      </w:r>
      <w:r>
        <w:rPr>
          <w:rFonts w:hint="eastAsia"/>
          <w:sz w:val="24"/>
        </w:rPr>
        <w:t>、《电气和电子设备机械结构符合英制系列和公制系列机柜的热管理》</w:t>
      </w:r>
      <w:r>
        <w:rPr>
          <w:sz w:val="24"/>
        </w:rPr>
        <w:t>GB_T40815.5-2022</w:t>
      </w:r>
      <w:r>
        <w:rPr>
          <w:rFonts w:hint="eastAsia"/>
          <w:sz w:val="24"/>
        </w:rPr>
        <w:t>及其它相关验收规范。</w:t>
      </w:r>
    </w:p>
    <w:p w14:paraId="72DF9A04">
      <w:pPr>
        <w:pStyle w:val="37"/>
        <w:numPr>
          <w:ilvl w:val="2"/>
          <w:numId w:val="14"/>
        </w:numPr>
        <w:spacing w:line="360" w:lineRule="auto"/>
        <w:ind w:firstLineChars="0"/>
        <w:rPr>
          <w:sz w:val="24"/>
        </w:rPr>
      </w:pPr>
      <w:r>
        <w:rPr>
          <w:rFonts w:hint="eastAsia"/>
          <w:sz w:val="24"/>
        </w:rPr>
        <w:t>工程验收的方式：</w:t>
      </w:r>
    </w:p>
    <w:p w14:paraId="68718437">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14:paraId="4CF36279">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14:paraId="30D36A15">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施工单位必须将产品所有资料（如有，包括但不限于交竣工图一式六份及相关设备使用说明书、出厂合格证明等相关资料等）提交采购人，同时将与项目有关的竣工资料一式两份一起提交给采购人。</w:t>
      </w:r>
    </w:p>
    <w:p w14:paraId="7163FDC2">
      <w:pPr>
        <w:numPr>
          <w:ilvl w:val="2"/>
          <w:numId w:val="14"/>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来料验收、过程验收及竣工验收。</w:t>
      </w:r>
    </w:p>
    <w:p w14:paraId="4966D02D">
      <w:pPr>
        <w:numPr>
          <w:ilvl w:val="2"/>
          <w:numId w:val="14"/>
        </w:numPr>
        <w:spacing w:before="120" w:beforeLines="50" w:after="120" w:afterLines="50" w:line="360" w:lineRule="auto"/>
        <w:ind w:left="0" w:firstLine="480" w:firstLineChars="200"/>
        <w:rPr>
          <w:rFonts w:ascii="宋体" w:hAnsi="宋体"/>
          <w:sz w:val="24"/>
        </w:rPr>
      </w:pPr>
      <w:r>
        <w:rPr>
          <w:rFonts w:hint="eastAsia" w:ascii="宋体" w:hAnsi="宋体" w:cs="宋体"/>
          <w:bCs/>
          <w:kern w:val="0"/>
          <w:sz w:val="24"/>
        </w:rPr>
        <w:t>质保期及质保期</w:t>
      </w:r>
      <w:r>
        <w:rPr>
          <w:rFonts w:hint="eastAsia" w:ascii="宋体" w:hAnsi="宋体"/>
          <w:sz w:val="24"/>
        </w:rPr>
        <w:t>内需履行的特殊义务：项目质保期为</w:t>
      </w:r>
      <w:r>
        <w:rPr>
          <w:rFonts w:ascii="宋体" w:hAnsi="宋体"/>
          <w:sz w:val="24"/>
        </w:rPr>
        <w:t>2</w:t>
      </w:r>
      <w:r>
        <w:rPr>
          <w:rFonts w:hint="eastAsia" w:ascii="宋体" w:hAnsi="宋体"/>
          <w:sz w:val="24"/>
        </w:rPr>
        <w:t>年，从竣工验收开始计算。</w:t>
      </w:r>
    </w:p>
    <w:p w14:paraId="25D74947">
      <w:pPr>
        <w:spacing w:before="120" w:beforeLines="50" w:after="120" w:afterLines="50" w:line="360" w:lineRule="auto"/>
        <w:ind w:left="482"/>
        <w:rPr>
          <w:rFonts w:ascii="宋体" w:hAnsi="宋体"/>
          <w:b/>
          <w:sz w:val="24"/>
        </w:rPr>
      </w:pPr>
      <w:r>
        <w:rPr>
          <w:rFonts w:hint="eastAsia" w:ascii="宋体" w:hAnsi="宋体"/>
          <w:b/>
          <w:sz w:val="24"/>
        </w:rPr>
        <w:t>九、工程费用及支付方式</w:t>
      </w:r>
    </w:p>
    <w:p w14:paraId="0ECB385A">
      <w:pPr>
        <w:numPr>
          <w:ilvl w:val="1"/>
          <w:numId w:val="16"/>
        </w:numPr>
        <w:spacing w:before="120" w:beforeLines="50" w:after="120" w:afterLines="50" w:line="360" w:lineRule="auto"/>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14:paraId="00BB193A">
      <w:pPr>
        <w:numPr>
          <w:ilvl w:val="1"/>
          <w:numId w:val="16"/>
        </w:numPr>
        <w:spacing w:before="120" w:beforeLines="50" w:after="120" w:afterLines="5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14:paraId="49A4AC50">
      <w:pPr>
        <w:numPr>
          <w:ilvl w:val="1"/>
          <w:numId w:val="16"/>
        </w:numPr>
        <w:spacing w:before="120" w:beforeLines="50" w:after="120" w:afterLines="50" w:line="360" w:lineRule="auto"/>
        <w:rPr>
          <w:sz w:val="24"/>
        </w:rPr>
      </w:pPr>
      <w:r>
        <w:rPr>
          <w:rFonts w:hint="eastAsia"/>
          <w:sz w:val="24"/>
        </w:rPr>
        <w:t>付款方式</w:t>
      </w:r>
    </w:p>
    <w:p w14:paraId="4863F3E5">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（1）在本合同履行期内，若国家税费调整，合同含税金额按国家规定税率作出相应调整，乙方每次申请付款应按照合同内容开具相应税率的合法有效的增值税专用发票。</w:t>
      </w:r>
    </w:p>
    <w:p w14:paraId="3714AF5E">
      <w:pPr>
        <w:spacing w:before="120" w:beforeLines="50" w:after="120" w:afterLines="50" w:line="360" w:lineRule="auto"/>
        <w:ind w:left="480"/>
        <w:rPr>
          <w:rFonts w:ascii="宋体" w:hAnsi="宋体" w:cs="Arial"/>
          <w:b/>
          <w:color w:val="000000"/>
          <w:sz w:val="24"/>
        </w:rPr>
      </w:pPr>
      <w:r>
        <w:rPr>
          <w:rFonts w:hint="eastAsia" w:ascii="宋体" w:hAnsi="宋体" w:cs="Arial"/>
          <w:color w:val="000000"/>
          <w:sz w:val="24"/>
        </w:rPr>
        <w:t>（2）</w:t>
      </w:r>
      <w:r>
        <w:rPr>
          <w:rFonts w:hint="eastAsia" w:ascii="宋体" w:hAnsi="宋体" w:cs="Arial"/>
          <w:b/>
          <w:color w:val="000000"/>
          <w:sz w:val="24"/>
        </w:rPr>
        <w:t>合同签订并进场后，甲方收到乙方请款资料后15个工作日内支付暂定合同总价</w:t>
      </w:r>
      <w:r>
        <w:rPr>
          <w:rFonts w:ascii="宋体" w:hAnsi="宋体" w:cs="Arial"/>
          <w:b/>
          <w:color w:val="000000"/>
          <w:sz w:val="24"/>
        </w:rPr>
        <w:t>5%</w:t>
      </w:r>
      <w:r>
        <w:rPr>
          <w:rFonts w:hint="eastAsia" w:ascii="宋体" w:hAnsi="宋体" w:cs="Arial"/>
          <w:b/>
          <w:color w:val="000000"/>
          <w:sz w:val="24"/>
        </w:rPr>
        <w:t>的预付款。</w:t>
      </w:r>
    </w:p>
    <w:p w14:paraId="44728A11">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（3）形象进度达合同工程量</w:t>
      </w:r>
      <w:r>
        <w:rPr>
          <w:rFonts w:ascii="宋体" w:hAnsi="宋体" w:cs="Arial"/>
          <w:color w:val="000000"/>
          <w:sz w:val="24"/>
        </w:rPr>
        <w:t>40</w:t>
      </w:r>
      <w:r>
        <w:rPr>
          <w:rFonts w:hint="eastAsia" w:ascii="宋体" w:hAnsi="宋体" w:cs="Arial"/>
          <w:color w:val="000000"/>
          <w:sz w:val="24"/>
        </w:rPr>
        <w:t>%及以上，甲方收到乙方请款资料后15 个工作日内支付合同款至合同总价的</w:t>
      </w:r>
      <w:r>
        <w:rPr>
          <w:rFonts w:ascii="宋体" w:hAnsi="宋体" w:cs="Arial"/>
          <w:color w:val="000000"/>
          <w:sz w:val="24"/>
        </w:rPr>
        <w:t>2</w:t>
      </w:r>
      <w:r>
        <w:rPr>
          <w:rFonts w:hint="eastAsia" w:ascii="宋体" w:hAnsi="宋体" w:cs="Arial"/>
          <w:color w:val="000000"/>
          <w:sz w:val="24"/>
        </w:rPr>
        <w:t>0%。</w:t>
      </w:r>
    </w:p>
    <w:p w14:paraId="25270D15">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（4）形象进度达合同工程量</w:t>
      </w:r>
      <w:r>
        <w:rPr>
          <w:rFonts w:ascii="宋体" w:hAnsi="宋体" w:cs="Arial"/>
          <w:color w:val="000000"/>
          <w:sz w:val="24"/>
        </w:rPr>
        <w:t>6</w:t>
      </w:r>
      <w:r>
        <w:rPr>
          <w:rFonts w:hint="eastAsia" w:ascii="宋体" w:hAnsi="宋体" w:cs="Arial"/>
          <w:color w:val="000000"/>
          <w:sz w:val="24"/>
        </w:rPr>
        <w:t>0%及以上，甲方收到乙方请款资料后15 个工作日内支付合同款至合同总价的</w:t>
      </w:r>
      <w:r>
        <w:rPr>
          <w:rFonts w:ascii="宋体" w:hAnsi="宋体" w:cs="Arial"/>
          <w:color w:val="000000"/>
          <w:sz w:val="24"/>
        </w:rPr>
        <w:t>4</w:t>
      </w:r>
      <w:r>
        <w:rPr>
          <w:rFonts w:hint="eastAsia" w:ascii="宋体" w:hAnsi="宋体" w:cs="Arial"/>
          <w:color w:val="000000"/>
          <w:sz w:val="24"/>
        </w:rPr>
        <w:t>0%。</w:t>
      </w:r>
    </w:p>
    <w:p w14:paraId="0065B6B4">
      <w:pPr>
        <w:spacing w:before="120" w:beforeLines="50" w:after="120" w:afterLines="50" w:line="360" w:lineRule="auto"/>
        <w:ind w:left="480"/>
        <w:rPr>
          <w:rFonts w:cs="Cambria Math"/>
          <w:color w:val="000000"/>
        </w:rPr>
      </w:pPr>
      <w:r>
        <w:rPr>
          <w:rFonts w:hint="eastAsia" w:cs="Cambria Math"/>
          <w:color w:val="000000"/>
        </w:rPr>
        <w:t>（3）</w:t>
      </w:r>
      <w:r>
        <w:rPr>
          <w:rFonts w:hint="eastAsia" w:ascii="宋体" w:hAnsi="宋体" w:cs="Arial"/>
          <w:color w:val="000000"/>
          <w:sz w:val="24"/>
        </w:rPr>
        <w:t>形象进度达合同工程量80%及以上，甲方收到乙方请款资料后15 个工作日内支付合同款至合同总价的60%。</w:t>
      </w:r>
    </w:p>
    <w:p w14:paraId="0D66ED2E">
      <w:pPr>
        <w:spacing w:before="120" w:beforeLines="50" w:after="120" w:afterLines="50" w:line="360" w:lineRule="auto"/>
        <w:ind w:left="480"/>
        <w:rPr>
          <w:rFonts w:ascii="宋体" w:hAnsi="宋体" w:cs="Arial"/>
          <w:color w:val="000000"/>
          <w:sz w:val="24"/>
        </w:rPr>
      </w:pPr>
      <w:r>
        <w:rPr>
          <w:rFonts w:hint="eastAsia" w:cs="Cambria Math"/>
          <w:color w:val="000000"/>
        </w:rPr>
        <w:t>（4）</w:t>
      </w:r>
      <w:r>
        <w:rPr>
          <w:rFonts w:hint="eastAsia" w:ascii="宋体" w:hAnsi="宋体" w:cs="Cambria Math"/>
          <w:color w:val="000000"/>
          <w:sz w:val="24"/>
        </w:rPr>
        <w:t>项目全部完工，甲方收到乙方请款资料后15 个工作日内支付合同款至合同总价的80%。</w:t>
      </w:r>
    </w:p>
    <w:p w14:paraId="082EEB13">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5</w:t>
      </w:r>
      <w:r>
        <w:rPr>
          <w:rFonts w:hint="eastAsia" w:ascii="宋体" w:hAnsi="宋体" w:cs="Arial"/>
          <w:color w:val="000000"/>
          <w:sz w:val="24"/>
        </w:rPr>
        <w:t>）项目全部完工并竣工验收合格并按甲方要求完成合同结算手续后，甲方收到乙方请款资料后15个工作日内支付工程款至合同结算总造价的9</w:t>
      </w:r>
      <w:r>
        <w:rPr>
          <w:rFonts w:ascii="宋体" w:hAnsi="宋体" w:cs="Arial"/>
          <w:color w:val="000000"/>
          <w:sz w:val="24"/>
        </w:rPr>
        <w:t>7</w:t>
      </w:r>
      <w:r>
        <w:rPr>
          <w:rFonts w:hint="eastAsia" w:ascii="宋体" w:hAnsi="宋体" w:cs="Arial"/>
          <w:color w:val="000000"/>
          <w:sz w:val="24"/>
        </w:rPr>
        <w:t>%。</w:t>
      </w:r>
    </w:p>
    <w:p w14:paraId="58D07EA3">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6</w:t>
      </w:r>
      <w:r>
        <w:rPr>
          <w:rFonts w:hint="eastAsia" w:ascii="宋体" w:hAnsi="宋体" w:cs="Arial"/>
          <w:color w:val="000000"/>
          <w:sz w:val="24"/>
        </w:rPr>
        <w:t>）质保期期满且乙方质保期义务按要求履行完毕后，甲方收到乙方请款资料后15个工作日内付清余款（不计利息）。</w:t>
      </w:r>
    </w:p>
    <w:p w14:paraId="5C575DFE">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7</w:t>
      </w:r>
      <w:r>
        <w:rPr>
          <w:rFonts w:hint="eastAsia" w:ascii="宋体" w:hAnsi="宋体" w:cs="Arial"/>
          <w:color w:val="000000"/>
          <w:sz w:val="24"/>
        </w:rPr>
        <w:t>）每次付款前乙方开具符合国家税务规定的等额合格的增值税专用发票给甲方。乙方晚于付款期限提供的，甲方付款期限相应顺延。</w:t>
      </w:r>
    </w:p>
    <w:p w14:paraId="24A09C93">
      <w:pPr>
        <w:spacing w:before="120" w:beforeLines="50" w:after="120" w:afterLines="50" w:line="360" w:lineRule="auto"/>
        <w:ind w:left="482"/>
        <w:rPr>
          <w:rFonts w:ascii="宋体" w:hAnsi="宋体"/>
          <w:b/>
          <w:sz w:val="24"/>
        </w:rPr>
      </w:pPr>
      <w:r>
        <w:rPr>
          <w:rFonts w:hint="eastAsia" w:ascii="宋体" w:hAnsi="宋体"/>
          <w:b/>
          <w:sz w:val="24"/>
        </w:rPr>
        <w:t>十、投标文件</w:t>
      </w:r>
    </w:p>
    <w:p w14:paraId="4F52F0E5">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14:paraId="3B814E82">
      <w:pPr>
        <w:spacing w:before="120" w:beforeLines="50" w:after="120" w:afterLines="50" w:line="360" w:lineRule="auto"/>
        <w:ind w:left="480"/>
        <w:rPr>
          <w:sz w:val="24"/>
        </w:rPr>
      </w:pPr>
      <w:r>
        <w:rPr>
          <w:rFonts w:hint="eastAsia"/>
          <w:sz w:val="24"/>
        </w:rPr>
        <w:t>1、商务部分（提供复印件，并加盖公章）</w:t>
      </w:r>
    </w:p>
    <w:p w14:paraId="47ED96DE">
      <w:pPr>
        <w:pStyle w:val="37"/>
        <w:numPr>
          <w:ilvl w:val="0"/>
          <w:numId w:val="17"/>
        </w:numPr>
        <w:spacing w:before="120" w:beforeLines="50" w:after="120" w:afterLines="50" w:line="360" w:lineRule="auto"/>
        <w:ind w:left="0" w:firstLine="480"/>
        <w:rPr>
          <w:rFonts w:ascii="宋体" w:hAnsi="宋体" w:cs="Arial"/>
          <w:color w:val="000000"/>
          <w:sz w:val="24"/>
        </w:rPr>
      </w:pPr>
      <w:bookmarkStart w:id="4" w:name="_Hlk33472787"/>
      <w:r>
        <w:rPr>
          <w:rFonts w:hint="eastAsia" w:ascii="宋体" w:hAnsi="宋体" w:cs="Arial"/>
          <w:color w:val="000000"/>
          <w:sz w:val="24"/>
        </w:rPr>
        <w:t>有效的企业工商营业执照、企业法人组织机构代码证书、税务登记证书（或三证合一）；</w:t>
      </w:r>
    </w:p>
    <w:p w14:paraId="60E62520">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供应商调查表（格式见附件2）</w:t>
      </w:r>
    </w:p>
    <w:p w14:paraId="3AB29A7B">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14:paraId="3120CB41">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有效的安全生产施工许可证及资质证书；</w:t>
      </w:r>
    </w:p>
    <w:p w14:paraId="3DC054A3">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及复印件，证书包括但不限于机电中级工程师职称或以上证书、二级建造师机电类或以上证书</w:t>
      </w:r>
      <w:r>
        <w:rPr>
          <w:rFonts w:ascii="宋体" w:hAnsi="宋体" w:cs="Arial"/>
          <w:color w:val="000000"/>
          <w:sz w:val="24"/>
        </w:rPr>
        <w:t>）</w:t>
      </w:r>
      <w:r>
        <w:rPr>
          <w:rFonts w:hint="eastAsia" w:ascii="宋体" w:hAnsi="宋体" w:cs="Arial"/>
          <w:color w:val="000000"/>
          <w:sz w:val="24"/>
        </w:rPr>
        <w:t>；</w:t>
      </w:r>
    </w:p>
    <w:p w14:paraId="7E062304">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近3年内(20</w:t>
      </w:r>
      <w:r>
        <w:rPr>
          <w:rFonts w:ascii="宋体" w:hAnsi="宋体" w:cs="Arial"/>
          <w:color w:val="000000"/>
          <w:sz w:val="24"/>
        </w:rPr>
        <w:t>19</w:t>
      </w:r>
      <w:r>
        <w:rPr>
          <w:rFonts w:hint="eastAsia" w:ascii="宋体" w:hAnsi="宋体" w:cs="Arial"/>
          <w:color w:val="000000"/>
          <w:sz w:val="24"/>
        </w:rPr>
        <w:t>年1月1日至今) 至少1个</w:t>
      </w:r>
      <w:r>
        <w:rPr>
          <w:rFonts w:hint="eastAsia"/>
          <w:sz w:val="24"/>
        </w:rPr>
        <w:t>完成过类似的系统采集、数据监控、程序控制业绩（需提供合同和验收记录等相关证明材料复印件）</w:t>
      </w:r>
      <w:r>
        <w:rPr>
          <w:rFonts w:hint="eastAsia" w:ascii="宋体" w:hAnsi="宋体" w:cs="Arial"/>
          <w:color w:val="000000"/>
          <w:sz w:val="24"/>
        </w:rPr>
        <w:t>；</w:t>
      </w:r>
    </w:p>
    <w:p w14:paraId="1D4E8A75">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投标人应具备专职安全员，安全员具有有效的专职安全员资格证（</w:t>
      </w:r>
      <w:r>
        <w:rPr>
          <w:rFonts w:ascii="宋体" w:hAnsi="宋体" w:cs="Arial"/>
          <w:color w:val="000000"/>
          <w:sz w:val="24"/>
        </w:rPr>
        <w:t>C证）</w:t>
      </w:r>
      <w:r>
        <w:rPr>
          <w:rFonts w:hint="eastAsia" w:ascii="宋体" w:hAnsi="宋体" w:cs="Arial"/>
          <w:color w:val="000000"/>
          <w:sz w:val="24"/>
        </w:rPr>
        <w:t>；</w:t>
      </w:r>
    </w:p>
    <w:p w14:paraId="43D9899B">
      <w:pPr>
        <w:pStyle w:val="37"/>
        <w:numPr>
          <w:ilvl w:val="0"/>
          <w:numId w:val="17"/>
        </w:numPr>
        <w:spacing w:before="120" w:beforeLines="50" w:after="120" w:afterLines="50" w:line="360" w:lineRule="auto"/>
        <w:ind w:firstLineChars="0"/>
        <w:rPr>
          <w:sz w:val="28"/>
          <w:szCs w:val="28"/>
        </w:rPr>
      </w:pPr>
      <w:r>
        <w:rPr>
          <w:rFonts w:hint="eastAsia" w:ascii="宋体" w:hAnsi="宋体" w:cs="Arial"/>
          <w:color w:val="000000"/>
          <w:sz w:val="24"/>
        </w:rPr>
        <w:t>投标人认为有必要的其他材料复印件</w:t>
      </w:r>
      <w:bookmarkEnd w:id="4"/>
      <w:r>
        <w:rPr>
          <w:rFonts w:hint="eastAsia" w:ascii="宋体" w:hAnsi="宋体" w:cs="Arial"/>
          <w:color w:val="000000"/>
          <w:sz w:val="24"/>
        </w:rPr>
        <w:t>。</w:t>
      </w:r>
    </w:p>
    <w:p w14:paraId="4BEBAFE1">
      <w:pPr>
        <w:spacing w:before="120" w:beforeLines="50" w:after="120" w:afterLines="50" w:line="360" w:lineRule="auto"/>
        <w:ind w:left="960"/>
        <w:rPr>
          <w:sz w:val="24"/>
        </w:rPr>
      </w:pPr>
      <w:r>
        <w:rPr>
          <w:rFonts w:hint="eastAsia"/>
          <w:sz w:val="24"/>
        </w:rPr>
        <w:t>2、技术部分（格式自定，加盖公章）</w:t>
      </w:r>
    </w:p>
    <w:p w14:paraId="1D7BFD04">
      <w:pPr>
        <w:spacing w:before="120" w:beforeLines="50" w:after="120" w:afterLines="50" w:line="360" w:lineRule="auto"/>
        <w:ind w:firstLine="480" w:firstLineChars="200"/>
        <w:rPr>
          <w:sz w:val="24"/>
        </w:rPr>
      </w:pPr>
      <w:r>
        <w:rPr>
          <w:rFonts w:hint="eastAsia"/>
          <w:sz w:val="24"/>
        </w:rPr>
        <w:t>施工方案：投标人应充分了解现场条件，并针对本项目制定切实可行的施工方案，包括但不限于：</w:t>
      </w:r>
    </w:p>
    <w:p w14:paraId="7BF32F11">
      <w:pPr>
        <w:pStyle w:val="54"/>
        <w:numPr>
          <w:ilvl w:val="0"/>
          <w:numId w:val="18"/>
        </w:numPr>
        <w:spacing w:line="360" w:lineRule="auto"/>
        <w:ind w:firstLineChars="0"/>
        <w:rPr>
          <w:rFonts w:ascii="宋体" w:hAnsi="宋体"/>
          <w:sz w:val="24"/>
        </w:rPr>
      </w:pPr>
      <w:r>
        <w:rPr>
          <w:rFonts w:hint="eastAsia" w:ascii="宋体" w:hAnsi="宋体"/>
          <w:b/>
          <w:bCs/>
          <w:sz w:val="24"/>
        </w:rPr>
        <w:t>控制柜的设计图纸，包括柜内配置图，接线图和点表清单</w:t>
      </w:r>
      <w:r>
        <w:rPr>
          <w:rFonts w:hint="eastAsia" w:ascii="宋体" w:hAnsi="宋体"/>
          <w:sz w:val="24"/>
        </w:rPr>
        <w:t>；</w:t>
      </w:r>
    </w:p>
    <w:p w14:paraId="6189B35D">
      <w:pPr>
        <w:pStyle w:val="54"/>
        <w:numPr>
          <w:ilvl w:val="0"/>
          <w:numId w:val="18"/>
        </w:numPr>
        <w:spacing w:line="360" w:lineRule="auto"/>
        <w:ind w:firstLineChars="0"/>
        <w:rPr>
          <w:rFonts w:ascii="宋体" w:hAnsi="宋体"/>
          <w:sz w:val="24"/>
        </w:rPr>
      </w:pPr>
      <w:r>
        <w:rPr>
          <w:rFonts w:ascii="宋体" w:hAnsi="宋体"/>
          <w:sz w:val="24"/>
        </w:rPr>
        <w:t>总体实施方案</w:t>
      </w:r>
      <w:r>
        <w:rPr>
          <w:rFonts w:hint="eastAsia" w:ascii="宋体" w:hAnsi="宋体"/>
          <w:sz w:val="24"/>
        </w:rPr>
        <w:t>（如有，格式自定，加盖公章）</w:t>
      </w:r>
      <w:r>
        <w:rPr>
          <w:rFonts w:ascii="宋体" w:hAnsi="宋体"/>
          <w:sz w:val="24"/>
        </w:rPr>
        <w:t>；</w:t>
      </w:r>
    </w:p>
    <w:p w14:paraId="5FFAC949">
      <w:pPr>
        <w:pStyle w:val="54"/>
        <w:numPr>
          <w:ilvl w:val="0"/>
          <w:numId w:val="18"/>
        </w:numPr>
        <w:spacing w:line="360" w:lineRule="auto"/>
        <w:ind w:firstLineChars="0"/>
        <w:rPr>
          <w:rFonts w:ascii="宋体" w:hAnsi="宋体"/>
          <w:sz w:val="24"/>
        </w:rPr>
      </w:pPr>
      <w:r>
        <w:rPr>
          <w:rFonts w:ascii="宋体" w:hAnsi="宋体"/>
          <w:sz w:val="24"/>
        </w:rPr>
        <w:t>实施进度计划和工期承诺书</w:t>
      </w:r>
      <w:r>
        <w:rPr>
          <w:rFonts w:hint="eastAsia" w:ascii="宋体" w:hAnsi="宋体"/>
          <w:sz w:val="24"/>
        </w:rPr>
        <w:t>（如有，格式自定，加盖公章）</w:t>
      </w:r>
      <w:r>
        <w:rPr>
          <w:rFonts w:ascii="宋体" w:hAnsi="宋体"/>
          <w:sz w:val="24"/>
        </w:rPr>
        <w:t>；</w:t>
      </w:r>
    </w:p>
    <w:p w14:paraId="3EC7CFF8">
      <w:pPr>
        <w:pStyle w:val="54"/>
        <w:numPr>
          <w:ilvl w:val="0"/>
          <w:numId w:val="18"/>
        </w:numPr>
        <w:spacing w:line="360" w:lineRule="auto"/>
        <w:ind w:firstLineChars="0"/>
        <w:rPr>
          <w:rFonts w:ascii="宋体" w:hAnsi="宋体"/>
          <w:sz w:val="24"/>
        </w:rPr>
      </w:pPr>
      <w:r>
        <w:rPr>
          <w:rFonts w:ascii="宋体" w:hAnsi="宋体"/>
          <w:sz w:val="24"/>
        </w:rPr>
        <w:t>确保实施进度的技术和</w:t>
      </w:r>
      <w:r>
        <w:rPr>
          <w:rFonts w:hint="eastAsia" w:ascii="宋体" w:hAnsi="宋体"/>
          <w:sz w:val="24"/>
        </w:rPr>
        <w:t>组织措施（如有，格式自定，加盖公章）；</w:t>
      </w:r>
    </w:p>
    <w:p w14:paraId="72CC0F77">
      <w:pPr>
        <w:pStyle w:val="54"/>
        <w:numPr>
          <w:ilvl w:val="0"/>
          <w:numId w:val="18"/>
        </w:numPr>
        <w:spacing w:line="360" w:lineRule="auto"/>
        <w:ind w:firstLineChars="0"/>
        <w:rPr>
          <w:rFonts w:ascii="宋体" w:hAnsi="宋体"/>
          <w:sz w:val="24"/>
        </w:rPr>
      </w:pPr>
      <w:r>
        <w:rPr>
          <w:rFonts w:hint="eastAsia" w:ascii="宋体" w:hAnsi="宋体"/>
          <w:sz w:val="24"/>
        </w:rPr>
        <w:t>确保安全文明施工的技术和组织措施（如有，格式自定，加盖公章）；</w:t>
      </w:r>
    </w:p>
    <w:p w14:paraId="6CEACFDF">
      <w:pPr>
        <w:pStyle w:val="54"/>
        <w:numPr>
          <w:ilvl w:val="0"/>
          <w:numId w:val="18"/>
        </w:numPr>
        <w:spacing w:line="360" w:lineRule="auto"/>
        <w:ind w:firstLineChars="0"/>
        <w:rPr>
          <w:rFonts w:ascii="宋体" w:hAnsi="宋体"/>
          <w:sz w:val="24"/>
        </w:rPr>
      </w:pPr>
      <w:r>
        <w:rPr>
          <w:rFonts w:hint="eastAsia" w:ascii="宋体" w:hAnsi="宋体"/>
          <w:sz w:val="24"/>
        </w:rPr>
        <w:t>投入的人员配置情况（如有，格式自定，加盖公章）；</w:t>
      </w:r>
    </w:p>
    <w:p w14:paraId="497D1732">
      <w:pPr>
        <w:spacing w:before="120" w:beforeLines="50" w:after="120" w:afterLines="50" w:line="360" w:lineRule="auto"/>
        <w:ind w:left="200"/>
        <w:rPr>
          <w:sz w:val="24"/>
        </w:rPr>
      </w:pPr>
      <w:r>
        <w:rPr>
          <w:rFonts w:ascii="宋体" w:hAnsi="宋体"/>
          <w:sz w:val="24"/>
        </w:rPr>
        <w:t xml:space="preserve">(7) </w:t>
      </w:r>
      <w:r>
        <w:rPr>
          <w:rFonts w:hint="eastAsia" w:ascii="宋体" w:hAnsi="宋体"/>
          <w:sz w:val="24"/>
        </w:rPr>
        <w:t>投标人认为其它需要说明的文字（如有，格式自定，加盖公章）。</w:t>
      </w:r>
    </w:p>
    <w:p w14:paraId="5BF1DA70">
      <w:pPr>
        <w:spacing w:before="120" w:beforeLines="50" w:after="120" w:afterLines="50" w:line="360" w:lineRule="auto"/>
        <w:ind w:left="480"/>
        <w:rPr>
          <w:rFonts w:ascii="宋体" w:hAnsi="宋体" w:cs="Arial"/>
          <w:color w:val="000000"/>
          <w:sz w:val="24"/>
        </w:rPr>
      </w:pPr>
      <w:bookmarkStart w:id="5" w:name="_Hlk33472852"/>
      <w:r>
        <w:rPr>
          <w:rFonts w:hint="eastAsia" w:ascii="宋体" w:hAnsi="宋体" w:cs="Arial"/>
          <w:color w:val="000000"/>
          <w:sz w:val="24"/>
        </w:rPr>
        <w:t>3、报价</w:t>
      </w:r>
      <w:r>
        <w:rPr>
          <w:rFonts w:hint="eastAsia"/>
          <w:sz w:val="24"/>
        </w:rPr>
        <w:t>一览表</w:t>
      </w:r>
      <w:r>
        <w:rPr>
          <w:rFonts w:hint="eastAsia" w:ascii="宋体" w:hAnsi="宋体" w:cs="Arial"/>
          <w:color w:val="000000"/>
          <w:sz w:val="24"/>
        </w:rPr>
        <w:t>（格式见附件1）</w:t>
      </w:r>
    </w:p>
    <w:p w14:paraId="38FF8D2D">
      <w:pPr>
        <w:numPr>
          <w:ilvl w:val="0"/>
          <w:numId w:val="1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rPr>
        <w:t>。</w:t>
      </w:r>
    </w:p>
    <w:p w14:paraId="6D3ED3F9">
      <w:pPr>
        <w:spacing w:before="120" w:beforeLines="50" w:after="120" w:afterLines="50" w:line="360" w:lineRule="auto"/>
        <w:ind w:left="480"/>
        <w:rPr>
          <w:rFonts w:ascii="宋体" w:hAnsi="宋体" w:cs="Arial"/>
          <w:b/>
          <w:color w:val="000000"/>
          <w:sz w:val="24"/>
        </w:rPr>
      </w:pPr>
      <w:r>
        <w:rPr>
          <w:rFonts w:hint="eastAsia" w:ascii="宋体" w:hAnsi="宋体" w:cs="Arial"/>
          <w:b/>
          <w:color w:val="000000"/>
          <w:sz w:val="24"/>
        </w:rPr>
        <w:t>十一、</w:t>
      </w:r>
      <w:bookmarkStart w:id="6" w:name="_Hlk176529568"/>
      <w:r>
        <w:rPr>
          <w:rFonts w:hint="eastAsia" w:ascii="宋体" w:hAnsi="宋体" w:cs="Arial"/>
          <w:b/>
          <w:color w:val="000000"/>
          <w:sz w:val="24"/>
        </w:rPr>
        <w:t>特别注意</w:t>
      </w:r>
    </w:p>
    <w:p w14:paraId="7809D8E8">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1、本项目公告未明确事项，按采购文件执行。供应商响应报价即为认同本项目所有文件中的约定，本项目报价文件为采购方免费提供，无论成交与否，均默认授权由采购方自行处理，不作退回。</w:t>
      </w:r>
    </w:p>
    <w:p w14:paraId="48D8D268">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2、供应商之间不得与同一个第三人存在关联关系，如存在关联关系，则投标无效。如果发现供应商存在围标、串标等违法情形，将列入采购黑名单，不得参与采购人的采购项目。</w:t>
      </w:r>
    </w:p>
    <w:p w14:paraId="178B1336">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3、采购项目若存在项目调整或计划变动，采购人有权单方面终止采购。</w:t>
      </w:r>
      <w:bookmarkEnd w:id="6"/>
    </w:p>
    <w:p w14:paraId="4E87620B">
      <w:pPr>
        <w:spacing w:before="120" w:beforeLines="50" w:after="120" w:afterLines="50" w:line="360" w:lineRule="auto"/>
        <w:ind w:left="482"/>
        <w:rPr>
          <w:rFonts w:ascii="宋体" w:hAnsi="宋体"/>
          <w:b/>
          <w:sz w:val="24"/>
        </w:rPr>
      </w:pPr>
      <w:bookmarkStart w:id="7" w:name="_Hlk176529543"/>
      <w:r>
        <w:rPr>
          <w:rFonts w:hint="eastAsia" w:ascii="宋体" w:hAnsi="宋体"/>
          <w:b/>
          <w:sz w:val="24"/>
        </w:rPr>
        <w:t>十二、评标方法及成交确认</w:t>
      </w:r>
    </w:p>
    <w:p w14:paraId="30F378C5">
      <w:pPr>
        <w:pStyle w:val="37"/>
        <w:numPr>
          <w:ilvl w:val="2"/>
          <w:numId w:val="13"/>
        </w:numPr>
        <w:spacing w:before="120" w:beforeLines="50" w:after="120" w:afterLines="50" w:line="360" w:lineRule="auto"/>
        <w:ind w:firstLineChars="0"/>
        <w:rPr>
          <w:rFonts w:ascii="宋体" w:hAnsi="宋体"/>
          <w:sz w:val="24"/>
        </w:rPr>
      </w:pPr>
      <w:bookmarkStart w:id="8" w:name="_Hlk33472865"/>
      <w:r>
        <w:rPr>
          <w:rFonts w:hint="eastAsia" w:ascii="宋体" w:hAnsi="宋体"/>
          <w:sz w:val="24"/>
        </w:rPr>
        <w:t>本项目采用</w:t>
      </w:r>
      <w:bookmarkStart w:id="9" w:name="_Hlk163719534"/>
      <w:bookmarkStart w:id="10" w:name="_Hlk163719563"/>
      <w:r>
        <w:rPr>
          <w:rFonts w:hint="eastAsia" w:ascii="宋体" w:hAnsi="宋体"/>
          <w:sz w:val="24"/>
        </w:rPr>
        <w:t>最低评标价法</w:t>
      </w:r>
      <w:bookmarkEnd w:id="9"/>
      <w:r>
        <w:rPr>
          <w:rFonts w:hint="eastAsia" w:ascii="宋体" w:hAnsi="宋体"/>
          <w:sz w:val="24"/>
        </w:rPr>
        <w:t>，是指竞选文件满足本邀请书全部实质性要求且投标报价最低的供应单位为中选单位的评审方法。按照投标报价由低到高最终得到中标候选人排名，如有报价相同的，通过摇珠方式排名。</w:t>
      </w:r>
      <w:bookmarkEnd w:id="10"/>
      <w:r>
        <w:rPr>
          <w:rFonts w:hint="eastAsia" w:ascii="宋体" w:hAnsi="宋体"/>
          <w:sz w:val="24"/>
        </w:rPr>
        <w:t>采购人对中标人实行信用评价管理，中标后采购人将中标人纳入供应商管理系统，按项目对中标人的合同履约行为进行考核，具体按采购人供应商管理办法进行。</w:t>
      </w:r>
    </w:p>
    <w:p w14:paraId="26FA5E5B">
      <w:pPr>
        <w:pStyle w:val="37"/>
        <w:numPr>
          <w:ilvl w:val="2"/>
          <w:numId w:val="13"/>
        </w:numPr>
        <w:spacing w:before="120" w:beforeLines="50" w:after="120" w:afterLines="50" w:line="360" w:lineRule="auto"/>
        <w:ind w:firstLineChars="0"/>
        <w:rPr>
          <w:rFonts w:ascii="宋体" w:hAnsi="宋体"/>
          <w:sz w:val="24"/>
        </w:rPr>
      </w:pPr>
      <w:r>
        <w:rPr>
          <w:rFonts w:hint="eastAsia" w:ascii="宋体" w:hAnsi="宋体"/>
          <w:sz w:val="24"/>
        </w:rPr>
        <w:t>采购人不对未成交人就评标过程以及未能成交原因作出任何解释。未成交人不得向评标委员会组成人员或其他有关人员索问评标过程的情况和材料。</w:t>
      </w:r>
    </w:p>
    <w:p w14:paraId="77B78BB0">
      <w:pPr>
        <w:pStyle w:val="37"/>
        <w:numPr>
          <w:ilvl w:val="2"/>
          <w:numId w:val="13"/>
        </w:numPr>
        <w:spacing w:before="120" w:beforeLines="50" w:after="120" w:afterLines="50" w:line="360" w:lineRule="auto"/>
        <w:ind w:firstLineChars="0"/>
        <w:rPr>
          <w:sz w:val="24"/>
        </w:rPr>
      </w:pPr>
      <w:r>
        <w:rPr>
          <w:rFonts w:hint="eastAsia"/>
          <w:sz w:val="24"/>
        </w:rPr>
        <w:t>成交方式：收到我司通知单位为成交单位，无收到通知单位为未成交单位。</w:t>
      </w:r>
      <w:bookmarkEnd w:id="7"/>
    </w:p>
    <w:bookmarkEnd w:id="8"/>
    <w:p w14:paraId="3637B9F4">
      <w:pPr>
        <w:spacing w:before="120" w:beforeLines="50" w:after="120" w:afterLines="50" w:line="360" w:lineRule="auto"/>
        <w:ind w:left="482"/>
        <w:rPr>
          <w:rFonts w:ascii="宋体" w:hAnsi="宋体"/>
          <w:b/>
          <w:sz w:val="24"/>
        </w:rPr>
      </w:pPr>
      <w:r>
        <w:rPr>
          <w:rFonts w:hint="eastAsia" w:ascii="宋体" w:hAnsi="宋体"/>
          <w:b/>
          <w:sz w:val="24"/>
        </w:rPr>
        <w:t>十三、勘踏现场</w:t>
      </w:r>
    </w:p>
    <w:p w14:paraId="710AB4D8">
      <w:pPr>
        <w:spacing w:before="120" w:beforeLines="50" w:after="120" w:afterLines="50" w:line="360" w:lineRule="auto"/>
        <w:ind w:firstLine="480" w:firstLineChars="200"/>
        <w:rPr>
          <w:sz w:val="24"/>
        </w:rPr>
      </w:pPr>
      <w:bookmarkStart w:id="11"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w:t>
      </w:r>
      <w:r>
        <w:rPr>
          <w:rFonts w:hint="eastAsia" w:ascii="宋体" w:hAnsi="宋体"/>
          <w:sz w:val="24"/>
        </w:rPr>
        <w:t>场的费用由投标人自己承担，如因对现场不了解导致报价的失误，由投标人承担</w:t>
      </w:r>
      <w:bookmarkEnd w:id="11"/>
      <w:r>
        <w:rPr>
          <w:rFonts w:hint="eastAsia" w:ascii="宋体" w:hAnsi="宋体"/>
          <w:sz w:val="24"/>
        </w:rPr>
        <w:t>。勘踏现场时间：</w:t>
      </w:r>
      <w:r>
        <w:rPr>
          <w:rFonts w:ascii="宋体" w:hAnsi="宋体"/>
          <w:sz w:val="24"/>
          <w:highlight w:val="yellow"/>
        </w:rPr>
        <w:t>2024</w:t>
      </w:r>
      <w:r>
        <w:rPr>
          <w:rFonts w:hint="eastAsia" w:ascii="宋体" w:hAnsi="宋体"/>
          <w:sz w:val="24"/>
          <w:highlight w:val="yellow"/>
        </w:rPr>
        <w:t>年</w:t>
      </w:r>
      <w:r>
        <w:rPr>
          <w:rFonts w:hint="eastAsia" w:ascii="宋体" w:hAnsi="宋体"/>
          <w:sz w:val="24"/>
          <w:highlight w:val="yellow"/>
          <w:lang w:val="en-US" w:eastAsia="zh-CN"/>
        </w:rPr>
        <w:t>10</w:t>
      </w:r>
      <w:r>
        <w:rPr>
          <w:rFonts w:hint="eastAsia" w:ascii="宋体" w:hAnsi="宋体"/>
          <w:sz w:val="24"/>
          <w:highlight w:val="yellow"/>
        </w:rPr>
        <w:t>月</w:t>
      </w:r>
      <w:r>
        <w:rPr>
          <w:rFonts w:hint="eastAsia" w:ascii="宋体" w:hAnsi="宋体"/>
          <w:sz w:val="24"/>
          <w:highlight w:val="yellow"/>
          <w:lang w:val="en-US" w:eastAsia="zh-CN"/>
        </w:rPr>
        <w:t>30</w:t>
      </w:r>
      <w:r>
        <w:rPr>
          <w:rFonts w:hint="eastAsia" w:ascii="宋体" w:hAnsi="宋体"/>
          <w:sz w:val="24"/>
          <w:highlight w:val="yellow"/>
        </w:rPr>
        <w:t>日</w:t>
      </w:r>
      <w:r>
        <w:rPr>
          <w:rFonts w:ascii="宋体" w:hAnsi="宋体"/>
          <w:sz w:val="24"/>
          <w:highlight w:val="yellow"/>
        </w:rPr>
        <w:t>10</w:t>
      </w:r>
      <w:r>
        <w:rPr>
          <w:rFonts w:hint="eastAsia" w:ascii="宋体" w:hAnsi="宋体"/>
          <w:sz w:val="24"/>
          <w:highlight w:val="yellow"/>
        </w:rPr>
        <w:t>时</w:t>
      </w:r>
      <w:r>
        <w:rPr>
          <w:rFonts w:ascii="宋体" w:hAnsi="宋体"/>
          <w:sz w:val="24"/>
          <w:highlight w:val="yellow"/>
        </w:rPr>
        <w:t>00</w:t>
      </w:r>
      <w:r>
        <w:rPr>
          <w:rFonts w:hint="eastAsia" w:ascii="宋体" w:hAnsi="宋体"/>
          <w:sz w:val="24"/>
          <w:highlight w:val="yellow"/>
        </w:rPr>
        <w:t>分，集中地点：广州市番禺区大学城明志街1号信息枢纽楼一楼西门。勘踏现场联系人生产部梁工，联系电话：</w:t>
      </w:r>
      <w:r>
        <w:rPr>
          <w:rFonts w:ascii="宋体" w:hAnsi="宋体"/>
          <w:sz w:val="24"/>
          <w:highlight w:val="yellow"/>
        </w:rPr>
        <w:t>020-39302020</w:t>
      </w:r>
      <w:r>
        <w:rPr>
          <w:rFonts w:hint="eastAsia" w:ascii="宋体" w:hAnsi="宋体"/>
          <w:sz w:val="24"/>
          <w:highlight w:val="yellow"/>
        </w:rPr>
        <w:t>。</w:t>
      </w:r>
      <w:r>
        <w:rPr>
          <w:rFonts w:hint="eastAsia" w:ascii="宋体" w:hAnsi="宋体"/>
          <w:sz w:val="24"/>
        </w:rPr>
        <w:t>投标人未在规定时间勘踏现场的，</w:t>
      </w:r>
      <w:r>
        <w:rPr>
          <w:rFonts w:hint="eastAsia"/>
          <w:sz w:val="24"/>
        </w:rPr>
        <w:t>采购人不再另行组织，由投标人自行前往勘踏。</w:t>
      </w:r>
    </w:p>
    <w:p w14:paraId="19203FFC">
      <w:pPr>
        <w:spacing w:before="120" w:beforeLines="50" w:after="120" w:afterLines="50" w:line="360" w:lineRule="auto"/>
        <w:ind w:left="482"/>
        <w:rPr>
          <w:rFonts w:ascii="宋体" w:hAnsi="宋体"/>
          <w:b/>
          <w:sz w:val="24"/>
        </w:rPr>
      </w:pPr>
      <w:bookmarkStart w:id="12" w:name="_Hlk33473031"/>
      <w:r>
        <w:rPr>
          <w:rFonts w:hint="eastAsia" w:ascii="宋体" w:hAnsi="宋体"/>
          <w:b/>
          <w:sz w:val="24"/>
        </w:rPr>
        <w:t>十四、递交投标文件</w:t>
      </w:r>
    </w:p>
    <w:p w14:paraId="250F1070">
      <w:pPr>
        <w:pStyle w:val="37"/>
        <w:numPr>
          <w:ilvl w:val="1"/>
          <w:numId w:val="20"/>
        </w:numPr>
        <w:spacing w:before="120" w:beforeLines="50" w:after="120" w:afterLines="50" w:line="360" w:lineRule="auto"/>
        <w:ind w:firstLineChars="0"/>
        <w:rPr>
          <w:sz w:val="24"/>
        </w:rPr>
      </w:pPr>
      <w:bookmarkStart w:id="13" w:name="_Hlk33472917"/>
      <w:bookmarkStart w:id="14" w:name="_Hlk33473061"/>
      <w:r>
        <w:rPr>
          <w:rFonts w:hint="eastAsia"/>
          <w:sz w:val="24"/>
        </w:rPr>
        <w:t>投标文件递交截止时间：</w:t>
      </w:r>
      <w:r>
        <w:rPr>
          <w:rFonts w:ascii="宋体" w:hAnsi="宋体"/>
          <w:sz w:val="24"/>
        </w:rPr>
        <w:t>2024</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sz w:val="24"/>
        </w:rPr>
        <w:t>北京时间</w:t>
      </w:r>
      <w:r>
        <w:rPr>
          <w:sz w:val="24"/>
        </w:rPr>
        <w:t>15</w:t>
      </w:r>
      <w:r>
        <w:rPr>
          <w:rFonts w:hint="eastAsia"/>
          <w:sz w:val="24"/>
        </w:rPr>
        <w:t>时</w:t>
      </w:r>
      <w:r>
        <w:rPr>
          <w:sz w:val="24"/>
        </w:rPr>
        <w:t>00</w:t>
      </w:r>
      <w:r>
        <w:rPr>
          <w:rFonts w:hint="eastAsia"/>
          <w:sz w:val="24"/>
        </w:rPr>
        <w:t>分前。以密封的形式提供投标文件到：广州市番禺区大学城明志街</w:t>
      </w:r>
      <w:r>
        <w:rPr>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b/>
          <w:sz w:val="24"/>
        </w:rPr>
        <w:t>研发管沟</w:t>
      </w:r>
      <w:r>
        <w:rPr>
          <w:rFonts w:ascii="宋体" w:hAnsi="宋体"/>
          <w:b/>
          <w:sz w:val="24"/>
        </w:rPr>
        <w:t>B分支、E分支、中环21-23水电仓（共11个仓段）远程监控项目</w:t>
      </w:r>
      <w:r>
        <w:rPr>
          <w:rFonts w:hint="eastAsia" w:ascii="宋体" w:hAnsi="宋体"/>
          <w:b/>
          <w:sz w:val="24"/>
          <w:lang w:eastAsia="zh-CN"/>
        </w:rPr>
        <w:t>（</w:t>
      </w:r>
      <w:r>
        <w:rPr>
          <w:rFonts w:hint="eastAsia" w:ascii="宋体" w:hAnsi="宋体"/>
          <w:b/>
          <w:sz w:val="24"/>
          <w:lang w:val="en-US" w:eastAsia="zh-CN"/>
        </w:rPr>
        <w:t>第三次）</w:t>
      </w:r>
      <w:r>
        <w:rPr>
          <w:rFonts w:ascii="宋体" w:hAnsi="宋体"/>
          <w:b/>
          <w:sz w:val="24"/>
        </w:rPr>
        <w:t>投标文件</w:t>
      </w:r>
      <w:r>
        <w:rPr>
          <w:rFonts w:hint="eastAsia"/>
          <w:sz w:val="24"/>
        </w:rPr>
        <w:t>”字样。</w:t>
      </w:r>
      <w:r>
        <w:rPr>
          <w:rFonts w:hint="eastAsia" w:cs="宋体" w:asciiTheme="minorEastAsia" w:hAnsiTheme="minorEastAsia"/>
          <w:b/>
          <w:bCs/>
          <w:sz w:val="24"/>
          <w:szCs w:val="24"/>
        </w:rPr>
        <w:t>电子版可随纸质文件一同投递，</w:t>
      </w:r>
      <w:r>
        <w:rPr>
          <w:rFonts w:hint="eastAsia"/>
          <w:sz w:val="24"/>
        </w:rPr>
        <w:t>投标人递交投标文件后，请联系采购人确认。</w:t>
      </w:r>
    </w:p>
    <w:p w14:paraId="352B2F45">
      <w:pPr>
        <w:numPr>
          <w:ilvl w:val="1"/>
          <w:numId w:val="20"/>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13"/>
      <w:r>
        <w:rPr>
          <w:sz w:val="24"/>
        </w:rPr>
        <w:t>。</w:t>
      </w:r>
    </w:p>
    <w:bookmarkEnd w:id="14"/>
    <w:p w14:paraId="5ACD17AC">
      <w:pPr>
        <w:spacing w:before="120" w:beforeLines="50" w:after="120" w:afterLines="50" w:line="360" w:lineRule="auto"/>
        <w:ind w:left="482"/>
        <w:rPr>
          <w:rFonts w:ascii="宋体" w:hAnsi="宋体"/>
          <w:b/>
          <w:sz w:val="24"/>
        </w:rPr>
      </w:pPr>
      <w:bookmarkStart w:id="15" w:name="_Hlk33473147"/>
      <w:bookmarkStart w:id="16" w:name="_Hlk33472987"/>
      <w:r>
        <w:rPr>
          <w:rFonts w:hint="eastAsia" w:ascii="宋体" w:hAnsi="宋体"/>
          <w:b/>
          <w:sz w:val="24"/>
        </w:rPr>
        <w:t>十五、公开发布</w:t>
      </w:r>
    </w:p>
    <w:p w14:paraId="195D4518">
      <w:pPr>
        <w:spacing w:before="120" w:beforeLines="50" w:after="120" w:afterLines="50" w:line="360" w:lineRule="auto"/>
        <w:ind w:firstLine="480" w:firstLineChars="200"/>
        <w:rPr>
          <w:sz w:val="24"/>
        </w:rPr>
      </w:pPr>
      <w:r>
        <w:rPr>
          <w:rFonts w:hint="eastAsia"/>
          <w:sz w:val="24"/>
        </w:rPr>
        <w:t>本竞选文件在广州城投综合能源投资经营管理有限公司网站（网址：</w:t>
      </w:r>
      <w:r>
        <w:rPr>
          <w:sz w:val="24"/>
        </w:rPr>
        <w:t>https://www.gzuci.com/</w:t>
      </w:r>
      <w:r>
        <w:rPr>
          <w:rFonts w:hint="eastAsia"/>
          <w:sz w:val="24"/>
        </w:rPr>
        <w:t>）广州国企阳光采购信息发布平台（</w:t>
      </w:r>
      <w:r>
        <w:rPr>
          <w:sz w:val="24"/>
        </w:rPr>
        <w:t>http://ygcg.gzggzy.cn/</w:t>
      </w:r>
      <w:r>
        <w:rPr>
          <w:rFonts w:hint="eastAsia"/>
          <w:sz w:val="24"/>
        </w:rPr>
        <w:t>）同时发布。本竞选文件在各媒体发布的文本如有不同之处，以在广州城投综合能源投资经营管理有限公司网站发布的文本为准。</w:t>
      </w:r>
    </w:p>
    <w:bookmarkEnd w:id="15"/>
    <w:p w14:paraId="2AC27E2F">
      <w:pPr>
        <w:spacing w:before="120" w:beforeLines="50" w:after="120" w:afterLines="50" w:line="360" w:lineRule="auto"/>
        <w:ind w:firstLine="241" w:firstLineChars="100"/>
        <w:rPr>
          <w:rFonts w:ascii="宋体" w:hAnsi="宋体"/>
          <w:b/>
          <w:sz w:val="24"/>
        </w:rPr>
      </w:pPr>
      <w:r>
        <w:rPr>
          <w:rFonts w:hint="eastAsia" w:ascii="宋体" w:hAnsi="宋体"/>
          <w:b/>
          <w:sz w:val="24"/>
        </w:rPr>
        <w:t>十六、采购人地址和联系方式</w:t>
      </w:r>
    </w:p>
    <w:p w14:paraId="733340BF">
      <w:pPr>
        <w:spacing w:before="120" w:beforeLines="50" w:after="120" w:afterLines="50" w:line="360" w:lineRule="auto"/>
        <w:ind w:firstLine="480" w:firstLineChars="200"/>
        <w:rPr>
          <w:rFonts w:ascii="宋体" w:hAnsi="宋体"/>
          <w:sz w:val="24"/>
        </w:rPr>
      </w:pPr>
      <w:r>
        <w:rPr>
          <w:rFonts w:hint="eastAsia" w:ascii="宋体" w:hAnsi="宋体"/>
          <w:sz w:val="24"/>
        </w:rPr>
        <w:t>采购单位：广州城投综合能源投资经营管理有限公司</w:t>
      </w:r>
    </w:p>
    <w:p w14:paraId="7B63394C">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14:paraId="1B0763C1">
      <w:pPr>
        <w:spacing w:before="120" w:beforeLines="50" w:after="120" w:afterLines="50" w:line="360" w:lineRule="auto"/>
        <w:ind w:firstLine="480" w:firstLineChars="200"/>
        <w:rPr>
          <w:rFonts w:ascii="宋体" w:hAnsi="宋体"/>
          <w:sz w:val="24"/>
        </w:rPr>
      </w:pPr>
      <w:r>
        <w:rPr>
          <w:rFonts w:hint="eastAsia" w:ascii="宋体" w:hAnsi="宋体"/>
          <w:sz w:val="24"/>
        </w:rPr>
        <w:t>联系人：王小姐</w:t>
      </w:r>
    </w:p>
    <w:p w14:paraId="2B668A57">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39302078</w:t>
      </w:r>
    </w:p>
    <w:p w14:paraId="1AE9EA18">
      <w:pPr>
        <w:spacing w:before="120" w:beforeLines="50" w:after="120" w:afterLines="50" w:line="360" w:lineRule="auto"/>
        <w:ind w:firstLine="480" w:firstLineChars="200"/>
        <w:rPr>
          <w:rFonts w:ascii="宋体" w:hAnsi="宋体"/>
          <w:sz w:val="24"/>
        </w:rPr>
      </w:pPr>
      <w:bookmarkStart w:id="17" w:name="_Hlk33473223"/>
      <w:r>
        <w:rPr>
          <w:rFonts w:hint="eastAsia" w:ascii="宋体" w:hAnsi="宋体"/>
          <w:sz w:val="24"/>
        </w:rPr>
        <w:t>附件1：报价一览表</w:t>
      </w:r>
    </w:p>
    <w:p w14:paraId="2D0060A2">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14:paraId="541649DF">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14:paraId="41EE6B11">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14:paraId="45C2D76C">
      <w:pPr>
        <w:spacing w:before="120" w:beforeLines="50" w:after="120" w:afterLines="50" w:line="360" w:lineRule="auto"/>
        <w:ind w:firstLine="480" w:firstLineChars="200"/>
        <w:rPr>
          <w:rFonts w:ascii="宋体" w:hAnsi="宋体"/>
          <w:sz w:val="24"/>
        </w:rPr>
      </w:pPr>
      <w:r>
        <w:rPr>
          <w:rFonts w:hint="eastAsia" w:ascii="宋体" w:hAnsi="宋体"/>
          <w:sz w:val="24"/>
        </w:rPr>
        <w:t>附件5：投标声明函</w:t>
      </w:r>
    </w:p>
    <w:p w14:paraId="708E4BD9">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：投标人资格和文件有效性审查表</w:t>
      </w:r>
    </w:p>
    <w:p w14:paraId="25302B2A">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 xml:space="preserve">7: </w:t>
      </w:r>
      <w:r>
        <w:rPr>
          <w:rFonts w:hint="eastAsia" w:ascii="宋体" w:hAnsi="宋体"/>
          <w:sz w:val="24"/>
        </w:rPr>
        <w:t>需求书</w:t>
      </w:r>
    </w:p>
    <w:p w14:paraId="1ED47393">
      <w:pPr>
        <w:pStyle w:val="7"/>
        <w:spacing w:before="120" w:beforeLines="50" w:after="120" w:afterLines="50" w:line="360" w:lineRule="auto"/>
        <w:ind w:left="0" w:leftChars="0" w:right="560"/>
        <w:jc w:val="right"/>
      </w:pPr>
      <w:r>
        <w:rPr>
          <w:rFonts w:hint="eastAsia"/>
        </w:rPr>
        <w:t>采购人：广州城投综合能源投资经营管理有限公司</w:t>
      </w:r>
    </w:p>
    <w:p w14:paraId="246FCB77">
      <w:pPr>
        <w:pStyle w:val="7"/>
        <w:spacing w:before="120" w:beforeLines="50" w:after="120" w:afterLines="50" w:line="360" w:lineRule="auto"/>
        <w:ind w:left="0" w:leftChars="0" w:right="560"/>
        <w:jc w:val="right"/>
      </w:pPr>
      <w:r>
        <w:rPr>
          <w:rFonts w:hint="eastAsia"/>
        </w:rPr>
        <w:t>202</w:t>
      </w:r>
      <w:r>
        <w:t>4</w:t>
      </w:r>
      <w:r>
        <w:rPr>
          <w:rFonts w:hint="eastAsia"/>
        </w:rPr>
        <w:t>年</w:t>
      </w:r>
      <w:r>
        <w:rPr>
          <w:rFonts w:hint="eastAsia"/>
          <w:lang w:val="en-US" w:eastAsia="zh-CN"/>
        </w:rPr>
        <w:t>10</w:t>
      </w:r>
      <w:r>
        <w:rPr>
          <w:rFonts w:hint="eastAsia"/>
        </w:rPr>
        <w:t>月</w:t>
      </w:r>
      <w:r>
        <w:rPr>
          <w:rFonts w:hint="eastAsia"/>
          <w:lang w:val="en-US" w:eastAsia="zh-CN"/>
        </w:rPr>
        <w:t>24</w:t>
      </w:r>
      <w:bookmarkStart w:id="24" w:name="_GoBack"/>
      <w:bookmarkEnd w:id="24"/>
      <w:r>
        <w:rPr>
          <w:rFonts w:hint="eastAsia"/>
        </w:rPr>
        <w:t>日</w:t>
      </w:r>
      <w:bookmarkEnd w:id="12"/>
      <w:bookmarkEnd w:id="16"/>
      <w:bookmarkEnd w:id="17"/>
    </w:p>
    <w:p w14:paraId="77E953C7">
      <w:pPr>
        <w:pStyle w:val="7"/>
        <w:spacing w:before="120" w:beforeLines="50" w:after="120" w:afterLines="50" w:line="360" w:lineRule="auto"/>
        <w:ind w:left="0" w:leftChars="0" w:right="560"/>
        <w:jc w:val="left"/>
        <w:rPr>
          <w:rFonts w:hAnsi="宋体"/>
          <w:b/>
          <w:sz w:val="28"/>
          <w:szCs w:val="28"/>
        </w:rPr>
      </w:pPr>
      <w:r>
        <w:br w:type="page"/>
      </w:r>
      <w:r>
        <w:rPr>
          <w:rFonts w:hint="eastAsia" w:hAnsi="宋体" w:cs="Arial"/>
          <w:color w:val="000000"/>
          <w:sz w:val="30"/>
          <w:szCs w:val="30"/>
        </w:rPr>
        <w:t>附件1</w:t>
      </w:r>
    </w:p>
    <w:p w14:paraId="13643873">
      <w:pPr>
        <w:pStyle w:val="10"/>
        <w:ind w:firstLine="0" w:firstLineChars="0"/>
        <w:jc w:val="center"/>
        <w:rPr>
          <w:rFonts w:hAnsi="宋体"/>
          <w:b/>
          <w:sz w:val="28"/>
          <w:szCs w:val="28"/>
        </w:rPr>
      </w:pPr>
      <w:r>
        <w:rPr>
          <w:rFonts w:hAnsi="宋体"/>
          <w:b/>
          <w:sz w:val="28"/>
          <w:szCs w:val="28"/>
        </w:rPr>
        <w:t>报价一览表</w:t>
      </w:r>
    </w:p>
    <w:p w14:paraId="6AACB186">
      <w:pPr>
        <w:pStyle w:val="10"/>
        <w:ind w:firstLine="0" w:firstLineChars="0"/>
        <w:jc w:val="center"/>
        <w:rPr>
          <w:rFonts w:hAnsi="宋体"/>
          <w:b/>
          <w:sz w:val="28"/>
          <w:szCs w:val="28"/>
        </w:rPr>
      </w:pPr>
    </w:p>
    <w:p w14:paraId="3249D63D">
      <w:pPr>
        <w:jc w:val="left"/>
        <w:rPr>
          <w:rFonts w:hint="default" w:ascii="宋体" w:hAnsi="宋体" w:eastAsia="宋体"/>
          <w:b/>
          <w:sz w:val="28"/>
          <w:szCs w:val="28"/>
          <w:lang w:val="en-US" w:eastAsia="zh-CN"/>
        </w:rPr>
      </w:pPr>
      <w:r>
        <w:rPr>
          <w:rFonts w:hint="eastAsia" w:hAnsi="宋体"/>
          <w:sz w:val="24"/>
        </w:rPr>
        <w:t>项目名称：</w:t>
      </w:r>
      <w:r>
        <w:rPr>
          <w:rFonts w:hint="eastAsia" w:ascii="宋体" w:hAnsi="宋体"/>
          <w:b/>
          <w:sz w:val="24"/>
        </w:rPr>
        <w:t>研发管沟B分支、E分支、中环21-23水电仓（共11个仓段）远程监控</w:t>
      </w:r>
      <w:r>
        <w:rPr>
          <w:rFonts w:hint="eastAsia" w:ascii="宋体" w:hAnsi="宋体"/>
          <w:b/>
          <w:sz w:val="24"/>
          <w:lang w:eastAsia="zh-CN"/>
        </w:rPr>
        <w:t>（</w:t>
      </w:r>
      <w:r>
        <w:rPr>
          <w:rFonts w:hint="eastAsia" w:ascii="宋体" w:hAnsi="宋体"/>
          <w:b/>
          <w:sz w:val="24"/>
          <w:lang w:val="en-US" w:eastAsia="zh-CN"/>
        </w:rPr>
        <w:t>第三次）</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211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37115059">
            <w:pPr>
              <w:rPr>
                <w:rFonts w:hAnsi="宋体"/>
                <w:bCs/>
                <w:sz w:val="24"/>
              </w:rPr>
            </w:pPr>
            <w:bookmarkStart w:id="18" w:name="_Hlk33473274"/>
            <w:r>
              <w:rPr>
                <w:rFonts w:hint="eastAsia" w:hAnsi="宋体"/>
                <w:bCs/>
                <w:sz w:val="24"/>
              </w:rPr>
              <w:t>序号</w:t>
            </w:r>
          </w:p>
        </w:tc>
        <w:tc>
          <w:tcPr>
            <w:tcW w:w="1853" w:type="dxa"/>
            <w:vAlign w:val="center"/>
          </w:tcPr>
          <w:p w14:paraId="5206D615">
            <w:pPr>
              <w:jc w:val="center"/>
              <w:rPr>
                <w:rFonts w:hAnsi="宋体"/>
                <w:bCs/>
                <w:sz w:val="24"/>
              </w:rPr>
            </w:pPr>
            <w:r>
              <w:rPr>
                <w:rFonts w:hint="eastAsia" w:hAnsi="宋体"/>
                <w:bCs/>
                <w:sz w:val="24"/>
              </w:rPr>
              <w:t>项目名称</w:t>
            </w:r>
          </w:p>
        </w:tc>
        <w:tc>
          <w:tcPr>
            <w:tcW w:w="6197" w:type="dxa"/>
            <w:gridSpan w:val="2"/>
            <w:vAlign w:val="center"/>
          </w:tcPr>
          <w:p w14:paraId="392F8619">
            <w:pPr>
              <w:rPr>
                <w:rFonts w:hAnsi="宋体"/>
                <w:bCs/>
                <w:sz w:val="24"/>
              </w:rPr>
            </w:pPr>
            <w:r>
              <w:rPr>
                <w:rFonts w:hint="eastAsia" w:hAnsi="宋体"/>
                <w:bCs/>
                <w:sz w:val="24"/>
              </w:rPr>
              <w:t>投标价（单位：人民币元）</w:t>
            </w:r>
          </w:p>
        </w:tc>
      </w:tr>
      <w:tr w14:paraId="1D7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7A622CA">
            <w:pPr>
              <w:jc w:val="center"/>
              <w:rPr>
                <w:rFonts w:hAnsi="宋体"/>
                <w:sz w:val="24"/>
              </w:rPr>
            </w:pPr>
            <w:r>
              <w:rPr>
                <w:rFonts w:hint="eastAsia" w:hAnsi="宋体"/>
                <w:sz w:val="24"/>
              </w:rPr>
              <w:t>1</w:t>
            </w:r>
          </w:p>
        </w:tc>
        <w:tc>
          <w:tcPr>
            <w:tcW w:w="1853" w:type="dxa"/>
            <w:vAlign w:val="center"/>
          </w:tcPr>
          <w:p w14:paraId="77AA110E">
            <w:pPr>
              <w:jc w:val="center"/>
              <w:rPr>
                <w:rFonts w:hAnsi="宋体"/>
                <w:sz w:val="24"/>
              </w:rPr>
            </w:pPr>
            <w:r>
              <w:rPr>
                <w:rFonts w:hint="eastAsia" w:hAnsi="宋体"/>
                <w:sz w:val="24"/>
              </w:rPr>
              <w:t>投标总价</w:t>
            </w:r>
          </w:p>
        </w:tc>
        <w:tc>
          <w:tcPr>
            <w:tcW w:w="6197" w:type="dxa"/>
            <w:gridSpan w:val="2"/>
            <w:vAlign w:val="center"/>
          </w:tcPr>
          <w:p w14:paraId="335B4D92">
            <w:pPr>
              <w:rPr>
                <w:rFonts w:hAnsi="宋体"/>
                <w:sz w:val="24"/>
              </w:rPr>
            </w:pPr>
            <w:r>
              <w:rPr>
                <w:rFonts w:hint="eastAsia" w:ascii="宋体" w:hAnsi="宋体"/>
                <w:sz w:val="24"/>
              </w:rPr>
              <w:t>大写</w:t>
            </w:r>
            <w:r>
              <w:rPr>
                <w:rFonts w:hint="eastAsia" w:hAnsi="宋体"/>
                <w:sz w:val="24"/>
              </w:rPr>
              <w:t>：</w:t>
            </w:r>
          </w:p>
          <w:p w14:paraId="0B837F45">
            <w:pPr>
              <w:rPr>
                <w:rFonts w:hAnsi="宋体"/>
                <w:sz w:val="24"/>
              </w:rPr>
            </w:pPr>
            <w:r>
              <w:rPr>
                <w:rFonts w:hint="eastAsia" w:hAnsi="宋体"/>
                <w:sz w:val="24"/>
              </w:rPr>
              <w:t>小写：</w:t>
            </w:r>
          </w:p>
        </w:tc>
      </w:tr>
      <w:tr w14:paraId="16C0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026555C">
            <w:pPr>
              <w:jc w:val="center"/>
              <w:rPr>
                <w:rFonts w:hAnsi="宋体"/>
                <w:sz w:val="24"/>
              </w:rPr>
            </w:pPr>
            <w:r>
              <w:rPr>
                <w:rFonts w:hint="eastAsia" w:hAnsi="宋体"/>
                <w:sz w:val="24"/>
              </w:rPr>
              <w:t>其中</w:t>
            </w:r>
          </w:p>
        </w:tc>
        <w:tc>
          <w:tcPr>
            <w:tcW w:w="1853" w:type="dxa"/>
            <w:vAlign w:val="center"/>
          </w:tcPr>
          <w:p w14:paraId="78F6745C">
            <w:pPr>
              <w:jc w:val="center"/>
              <w:rPr>
                <w:rFonts w:hAnsi="宋体"/>
                <w:sz w:val="24"/>
              </w:rPr>
            </w:pPr>
            <w:r>
              <w:rPr>
                <w:rFonts w:hint="eastAsia" w:hAnsi="宋体"/>
                <w:sz w:val="24"/>
              </w:rPr>
              <w:t>不含税总价</w:t>
            </w:r>
          </w:p>
        </w:tc>
        <w:tc>
          <w:tcPr>
            <w:tcW w:w="6197" w:type="dxa"/>
            <w:gridSpan w:val="2"/>
            <w:vAlign w:val="center"/>
          </w:tcPr>
          <w:p w14:paraId="1BCFD348">
            <w:pPr>
              <w:rPr>
                <w:rFonts w:hAnsi="宋体"/>
                <w:sz w:val="24"/>
              </w:rPr>
            </w:pPr>
            <w:r>
              <w:rPr>
                <w:rFonts w:hint="eastAsia" w:ascii="宋体" w:hAnsi="宋体"/>
                <w:sz w:val="24"/>
              </w:rPr>
              <w:t>大写</w:t>
            </w:r>
            <w:r>
              <w:rPr>
                <w:rFonts w:hint="eastAsia" w:hAnsi="宋体"/>
                <w:sz w:val="24"/>
              </w:rPr>
              <w:t>：</w:t>
            </w:r>
          </w:p>
          <w:p w14:paraId="35A753B7">
            <w:pPr>
              <w:rPr>
                <w:rFonts w:ascii="宋体" w:hAnsi="宋体"/>
                <w:sz w:val="24"/>
              </w:rPr>
            </w:pPr>
            <w:r>
              <w:rPr>
                <w:rFonts w:hint="eastAsia" w:hAnsi="宋体"/>
                <w:sz w:val="24"/>
              </w:rPr>
              <w:t>小写：</w:t>
            </w:r>
          </w:p>
        </w:tc>
      </w:tr>
      <w:tr w14:paraId="3616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22153A1C">
            <w:pPr>
              <w:jc w:val="center"/>
              <w:rPr>
                <w:rFonts w:hAnsi="宋体"/>
                <w:sz w:val="24"/>
              </w:rPr>
            </w:pPr>
            <w:r>
              <w:rPr>
                <w:rFonts w:hint="eastAsia" w:hAnsi="宋体"/>
                <w:sz w:val="24"/>
              </w:rPr>
              <w:t>2</w:t>
            </w:r>
          </w:p>
        </w:tc>
        <w:tc>
          <w:tcPr>
            <w:tcW w:w="1853" w:type="dxa"/>
            <w:vAlign w:val="center"/>
          </w:tcPr>
          <w:p w14:paraId="3A6A7D84">
            <w:pPr>
              <w:jc w:val="center"/>
              <w:rPr>
                <w:rFonts w:hAnsi="宋体"/>
                <w:sz w:val="24"/>
              </w:rPr>
            </w:pPr>
            <w:r>
              <w:rPr>
                <w:rFonts w:hint="eastAsia" w:hAnsi="宋体"/>
                <w:sz w:val="24"/>
              </w:rPr>
              <w:t>投标工期</w:t>
            </w:r>
          </w:p>
        </w:tc>
        <w:tc>
          <w:tcPr>
            <w:tcW w:w="6197" w:type="dxa"/>
            <w:gridSpan w:val="2"/>
            <w:vAlign w:val="center"/>
          </w:tcPr>
          <w:p w14:paraId="6D35661C">
            <w:pPr>
              <w:rPr>
                <w:rFonts w:hAnsi="宋体"/>
                <w:sz w:val="24"/>
              </w:rPr>
            </w:pPr>
          </w:p>
        </w:tc>
      </w:tr>
      <w:tr w14:paraId="1ECD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08A07C20">
            <w:pPr>
              <w:jc w:val="center"/>
              <w:rPr>
                <w:rFonts w:hAnsi="宋体"/>
                <w:sz w:val="24"/>
              </w:rPr>
            </w:pPr>
            <w:r>
              <w:rPr>
                <w:rFonts w:hint="eastAsia" w:hAnsi="宋体"/>
                <w:sz w:val="24"/>
              </w:rPr>
              <w:t>3</w:t>
            </w:r>
          </w:p>
        </w:tc>
        <w:tc>
          <w:tcPr>
            <w:tcW w:w="1853" w:type="dxa"/>
            <w:vAlign w:val="center"/>
          </w:tcPr>
          <w:p w14:paraId="5A0805B0">
            <w:pPr>
              <w:jc w:val="center"/>
              <w:rPr>
                <w:rFonts w:hAnsi="宋体"/>
                <w:sz w:val="24"/>
              </w:rPr>
            </w:pPr>
            <w:r>
              <w:rPr>
                <w:rFonts w:hint="eastAsia" w:hAnsi="宋体"/>
                <w:sz w:val="24"/>
              </w:rPr>
              <w:t>工程质量标准</w:t>
            </w:r>
          </w:p>
        </w:tc>
        <w:tc>
          <w:tcPr>
            <w:tcW w:w="6197" w:type="dxa"/>
            <w:gridSpan w:val="2"/>
            <w:vAlign w:val="center"/>
          </w:tcPr>
          <w:p w14:paraId="5BDACEB9">
            <w:pPr>
              <w:rPr>
                <w:rFonts w:hAnsi="宋体"/>
                <w:sz w:val="24"/>
              </w:rPr>
            </w:pPr>
          </w:p>
        </w:tc>
      </w:tr>
      <w:tr w14:paraId="1AB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354C285">
            <w:pPr>
              <w:jc w:val="center"/>
              <w:rPr>
                <w:rFonts w:hAnsi="宋体"/>
                <w:sz w:val="24"/>
              </w:rPr>
            </w:pPr>
            <w:r>
              <w:rPr>
                <w:rFonts w:hint="eastAsia" w:hAnsi="宋体"/>
                <w:sz w:val="24"/>
              </w:rPr>
              <w:t>4</w:t>
            </w:r>
          </w:p>
        </w:tc>
        <w:tc>
          <w:tcPr>
            <w:tcW w:w="1853" w:type="dxa"/>
            <w:vAlign w:val="center"/>
          </w:tcPr>
          <w:p w14:paraId="7E3CA037">
            <w:pPr>
              <w:jc w:val="center"/>
              <w:rPr>
                <w:rFonts w:hAnsi="宋体"/>
                <w:sz w:val="24"/>
              </w:rPr>
            </w:pPr>
            <w:r>
              <w:rPr>
                <w:rFonts w:hint="eastAsia" w:hAnsi="宋体"/>
                <w:sz w:val="24"/>
              </w:rPr>
              <w:t>保修期限</w:t>
            </w:r>
          </w:p>
        </w:tc>
        <w:tc>
          <w:tcPr>
            <w:tcW w:w="6197" w:type="dxa"/>
            <w:gridSpan w:val="2"/>
            <w:vAlign w:val="center"/>
          </w:tcPr>
          <w:p w14:paraId="7CF429B5">
            <w:pPr>
              <w:rPr>
                <w:rFonts w:hAnsi="宋体"/>
                <w:sz w:val="24"/>
              </w:rPr>
            </w:pPr>
          </w:p>
        </w:tc>
      </w:tr>
      <w:tr w14:paraId="0458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F34F346">
            <w:pPr>
              <w:jc w:val="center"/>
              <w:rPr>
                <w:rFonts w:hAnsi="宋体"/>
                <w:sz w:val="24"/>
              </w:rPr>
            </w:pPr>
            <w:r>
              <w:rPr>
                <w:rFonts w:hint="eastAsia" w:hAnsi="宋体"/>
                <w:sz w:val="24"/>
              </w:rPr>
              <w:t>5</w:t>
            </w:r>
          </w:p>
        </w:tc>
        <w:tc>
          <w:tcPr>
            <w:tcW w:w="1853" w:type="dxa"/>
            <w:vMerge w:val="restart"/>
            <w:vAlign w:val="center"/>
          </w:tcPr>
          <w:p w14:paraId="2FDFFB3E">
            <w:pPr>
              <w:jc w:val="center"/>
              <w:rPr>
                <w:rFonts w:hAnsi="宋体"/>
                <w:sz w:val="24"/>
              </w:rPr>
            </w:pPr>
            <w:r>
              <w:rPr>
                <w:rFonts w:hint="eastAsia" w:hAnsi="宋体"/>
                <w:sz w:val="24"/>
              </w:rPr>
              <w:t>拟委派的项目负责人</w:t>
            </w:r>
          </w:p>
        </w:tc>
        <w:tc>
          <w:tcPr>
            <w:tcW w:w="1671" w:type="dxa"/>
            <w:vAlign w:val="center"/>
          </w:tcPr>
          <w:p w14:paraId="75EC1ACA">
            <w:pPr>
              <w:rPr>
                <w:rFonts w:hAnsi="宋体"/>
                <w:sz w:val="24"/>
              </w:rPr>
            </w:pPr>
            <w:r>
              <w:rPr>
                <w:rFonts w:hint="eastAsia" w:hAnsi="宋体"/>
                <w:sz w:val="24"/>
              </w:rPr>
              <w:t>姓名</w:t>
            </w:r>
          </w:p>
        </w:tc>
        <w:tc>
          <w:tcPr>
            <w:tcW w:w="4526" w:type="dxa"/>
            <w:vAlign w:val="center"/>
          </w:tcPr>
          <w:p w14:paraId="0248A708">
            <w:pPr>
              <w:rPr>
                <w:rFonts w:hAnsi="宋体"/>
                <w:sz w:val="24"/>
              </w:rPr>
            </w:pPr>
          </w:p>
        </w:tc>
      </w:tr>
      <w:tr w14:paraId="0A28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B1468C4">
            <w:pPr>
              <w:rPr>
                <w:rFonts w:hAnsi="宋体"/>
                <w:sz w:val="24"/>
              </w:rPr>
            </w:pPr>
          </w:p>
        </w:tc>
        <w:tc>
          <w:tcPr>
            <w:tcW w:w="1853" w:type="dxa"/>
            <w:vMerge w:val="continue"/>
            <w:vAlign w:val="center"/>
          </w:tcPr>
          <w:p w14:paraId="4A45189F">
            <w:pPr>
              <w:rPr>
                <w:rFonts w:hAnsi="宋体"/>
                <w:sz w:val="24"/>
              </w:rPr>
            </w:pPr>
          </w:p>
        </w:tc>
        <w:tc>
          <w:tcPr>
            <w:tcW w:w="1671" w:type="dxa"/>
            <w:vAlign w:val="center"/>
          </w:tcPr>
          <w:p w14:paraId="524D039C">
            <w:pPr>
              <w:rPr>
                <w:rFonts w:hAnsi="宋体"/>
                <w:sz w:val="24"/>
              </w:rPr>
            </w:pPr>
            <w:r>
              <w:rPr>
                <w:rFonts w:hint="eastAsia" w:hAnsi="宋体"/>
                <w:sz w:val="24"/>
              </w:rPr>
              <w:t>技术职称</w:t>
            </w:r>
          </w:p>
        </w:tc>
        <w:tc>
          <w:tcPr>
            <w:tcW w:w="4526" w:type="dxa"/>
            <w:vAlign w:val="center"/>
          </w:tcPr>
          <w:p w14:paraId="73FCCD57">
            <w:pPr>
              <w:rPr>
                <w:rFonts w:hAnsi="宋体"/>
                <w:sz w:val="24"/>
              </w:rPr>
            </w:pPr>
          </w:p>
        </w:tc>
      </w:tr>
      <w:tr w14:paraId="6EE0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5D0F011">
            <w:pPr>
              <w:rPr>
                <w:rFonts w:hAnsi="宋体"/>
                <w:sz w:val="24"/>
              </w:rPr>
            </w:pPr>
          </w:p>
        </w:tc>
        <w:tc>
          <w:tcPr>
            <w:tcW w:w="1853" w:type="dxa"/>
            <w:vMerge w:val="continue"/>
            <w:vAlign w:val="center"/>
          </w:tcPr>
          <w:p w14:paraId="48219AF3">
            <w:pPr>
              <w:rPr>
                <w:rFonts w:hAnsi="宋体"/>
                <w:sz w:val="24"/>
              </w:rPr>
            </w:pPr>
          </w:p>
        </w:tc>
        <w:tc>
          <w:tcPr>
            <w:tcW w:w="1671" w:type="dxa"/>
            <w:vAlign w:val="center"/>
          </w:tcPr>
          <w:p w14:paraId="19FC2D99">
            <w:pPr>
              <w:rPr>
                <w:rFonts w:hAnsi="宋体"/>
                <w:sz w:val="24"/>
              </w:rPr>
            </w:pPr>
            <w:r>
              <w:rPr>
                <w:rFonts w:hint="eastAsia" w:hAnsi="宋体"/>
                <w:sz w:val="24"/>
              </w:rPr>
              <w:t>联系电话</w:t>
            </w:r>
          </w:p>
        </w:tc>
        <w:tc>
          <w:tcPr>
            <w:tcW w:w="4526" w:type="dxa"/>
            <w:vAlign w:val="center"/>
          </w:tcPr>
          <w:p w14:paraId="15EFAD6C">
            <w:pPr>
              <w:rPr>
                <w:rFonts w:hAnsi="宋体"/>
                <w:sz w:val="24"/>
              </w:rPr>
            </w:pPr>
          </w:p>
        </w:tc>
      </w:tr>
      <w:bookmarkEnd w:id="18"/>
    </w:tbl>
    <w:p w14:paraId="14B97811">
      <w:pPr>
        <w:rPr>
          <w:rFonts w:hAnsi="宋体"/>
        </w:rPr>
      </w:pPr>
    </w:p>
    <w:p w14:paraId="73299F1D">
      <w:pPr>
        <w:spacing w:before="120" w:beforeLines="50" w:after="120" w:afterLines="50" w:line="360" w:lineRule="auto"/>
        <w:rPr>
          <w:rFonts w:ascii="宋体" w:hAnsi="宋体"/>
          <w:sz w:val="24"/>
        </w:rPr>
      </w:pPr>
      <w:r>
        <w:rPr>
          <w:rFonts w:hint="eastAsia" w:ascii="宋体" w:hAnsi="宋体"/>
          <w:sz w:val="24"/>
        </w:rPr>
        <w:t>注：（1）投标总价为人民币报价。</w:t>
      </w:r>
    </w:p>
    <w:p w14:paraId="2A1D58F3">
      <w:pPr>
        <w:tabs>
          <w:tab w:val="left" w:pos="8364"/>
        </w:tabs>
        <w:spacing w:before="120" w:beforeLines="50" w:after="120" w:afterLines="50" w:line="360" w:lineRule="auto"/>
        <w:ind w:firstLine="480" w:firstLineChars="200"/>
        <w:rPr>
          <w:rFonts w:ascii="宋体" w:hAnsi="宋体"/>
          <w:sz w:val="24"/>
        </w:rPr>
      </w:pPr>
      <w:r>
        <w:rPr>
          <w:rFonts w:hint="eastAsia" w:ascii="宋体" w:hAnsi="宋体"/>
          <w:sz w:val="24"/>
        </w:rPr>
        <w:t>（2）投标总价是所有需采购人支付的本次项目采购的金额总数，应包括竞选文件要求的全部内容，投标人完成本项目（如果中标）所必须的</w:t>
      </w:r>
      <w:r>
        <w:rPr>
          <w:rFonts w:hint="eastAsia" w:ascii="宋体" w:hAnsi="宋体"/>
          <w:bCs/>
          <w:sz w:val="24"/>
        </w:rPr>
        <w:t>所有成本费用和投标人应承担的一切税费</w:t>
      </w:r>
      <w:r>
        <w:rPr>
          <w:rFonts w:hint="eastAsia" w:ascii="宋体" w:hAnsi="宋体"/>
          <w:sz w:val="24"/>
        </w:rPr>
        <w:t>，包括但不限于全部人工费、材料、设备、工具、机具、安装运输、规费、措施费、合理利润、管理费、税费等及清理现场的费用、合同实施过程中应预见和不可预见的费用等等。</w:t>
      </w:r>
    </w:p>
    <w:p w14:paraId="130909B4">
      <w:pPr>
        <w:tabs>
          <w:tab w:val="left" w:pos="8364"/>
        </w:tabs>
        <w:spacing w:before="120" w:beforeLines="50" w:after="120" w:afterLines="50" w:line="360" w:lineRule="auto"/>
        <w:rPr>
          <w:rFonts w:ascii="宋体" w:hAnsi="宋体"/>
          <w:sz w:val="24"/>
        </w:rPr>
      </w:pPr>
      <w:r>
        <w:rPr>
          <w:rFonts w:hint="eastAsia" w:ascii="宋体" w:hAnsi="宋体"/>
          <w:sz w:val="24"/>
        </w:rPr>
        <w:t>（3）若用小写表示的金额和用大写表示的金额不一致，以大写表示的金额为准。</w:t>
      </w:r>
    </w:p>
    <w:p w14:paraId="7466AAF3">
      <w:pPr>
        <w:tabs>
          <w:tab w:val="left" w:pos="8364"/>
        </w:tabs>
        <w:spacing w:before="120" w:beforeLines="50" w:after="120" w:afterLines="50" w:line="360" w:lineRule="auto"/>
        <w:rPr>
          <w:rFonts w:ascii="宋体" w:hAnsi="宋体"/>
          <w:sz w:val="24"/>
        </w:rPr>
      </w:pPr>
    </w:p>
    <w:p w14:paraId="73F87127">
      <w:pPr>
        <w:spacing w:before="120" w:beforeLines="50" w:after="120" w:afterLines="50" w:line="360" w:lineRule="auto"/>
        <w:rPr>
          <w:rFonts w:ascii="宋体" w:hAnsi="宋体"/>
          <w:sz w:val="24"/>
        </w:rPr>
      </w:pPr>
      <w:r>
        <w:rPr>
          <w:rFonts w:hint="eastAsia" w:ascii="宋体" w:hAnsi="宋体"/>
          <w:sz w:val="24"/>
        </w:rPr>
        <w:t xml:space="preserve">投标人名称（盖章） </w:t>
      </w:r>
      <w:r>
        <w:rPr>
          <w:rFonts w:ascii="宋体" w:hAnsi="宋体"/>
          <w:sz w:val="24"/>
        </w:rPr>
        <w:t xml:space="preserve">                              </w:t>
      </w: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14:paraId="73DA2E1E">
      <w:pPr>
        <w:spacing w:before="120" w:beforeLines="50" w:after="120" w:afterLines="50" w:line="360" w:lineRule="auto"/>
        <w:rPr>
          <w:rFonts w:ascii="宋体" w:hAnsi="宋体" w:cs="Arial"/>
          <w:color w:val="000000"/>
          <w:sz w:val="30"/>
          <w:szCs w:val="30"/>
        </w:rPr>
      </w:pPr>
    </w:p>
    <w:p w14:paraId="0E3352CC">
      <w:pPr>
        <w:spacing w:before="120" w:beforeLines="50" w:after="120" w:afterLines="50" w:line="360" w:lineRule="auto"/>
        <w:rPr>
          <w:rFonts w:ascii="宋体" w:hAnsi="宋体" w:cs="Arial"/>
          <w:color w:val="000000"/>
          <w:sz w:val="30"/>
          <w:szCs w:val="30"/>
        </w:rPr>
      </w:pPr>
      <w:r>
        <w:rPr>
          <w:rFonts w:hint="eastAsia" w:ascii="宋体" w:hAnsi="宋体" w:cs="Arial"/>
          <w:color w:val="000000"/>
          <w:sz w:val="30"/>
          <w:szCs w:val="30"/>
        </w:rPr>
        <w:t>附件1</w:t>
      </w:r>
      <w:r>
        <w:rPr>
          <w:rFonts w:ascii="宋体" w:hAnsi="宋体" w:cs="Arial"/>
          <w:color w:val="000000"/>
          <w:sz w:val="30"/>
          <w:szCs w:val="30"/>
        </w:rPr>
        <w:t xml:space="preserve">.1  </w:t>
      </w:r>
      <w:r>
        <w:rPr>
          <w:rFonts w:hint="eastAsia" w:ascii="宋体" w:hAnsi="宋体" w:cs="Arial"/>
          <w:color w:val="000000"/>
          <w:sz w:val="30"/>
          <w:szCs w:val="30"/>
        </w:rPr>
        <w:t>报价明细表</w:t>
      </w:r>
    </w:p>
    <w:p w14:paraId="78C1670D">
      <w:pPr>
        <w:spacing w:before="120" w:beforeLines="50" w:after="120" w:afterLines="50" w:line="360" w:lineRule="auto"/>
        <w:rPr>
          <w:rFonts w:ascii="宋体" w:hAnsi="宋体" w:cs="Arial"/>
          <w:color w:val="000000"/>
          <w:sz w:val="30"/>
          <w:szCs w:val="30"/>
        </w:rPr>
      </w:pPr>
    </w:p>
    <w:p w14:paraId="50240FAD">
      <w:pPr>
        <w:spacing w:before="120" w:beforeLines="50" w:after="120" w:afterLines="50" w:line="360" w:lineRule="auto"/>
        <w:rPr>
          <w:rFonts w:ascii="宋体" w:hAnsi="宋体" w:cs="Arial"/>
          <w:color w:val="000000"/>
          <w:sz w:val="30"/>
          <w:szCs w:val="30"/>
        </w:rPr>
      </w:pPr>
    </w:p>
    <w:p w14:paraId="0984108D">
      <w:pPr>
        <w:spacing w:before="120" w:beforeLines="50" w:after="120" w:afterLines="50" w:line="360" w:lineRule="auto"/>
        <w:rPr>
          <w:rFonts w:ascii="宋体" w:hAnsi="宋体" w:cs="Arial"/>
          <w:color w:val="000000"/>
          <w:sz w:val="30"/>
          <w:szCs w:val="30"/>
        </w:rPr>
      </w:pPr>
    </w:p>
    <w:p w14:paraId="76E0D12F">
      <w:pPr>
        <w:spacing w:before="120" w:beforeLines="50" w:after="120" w:afterLines="50" w:line="360" w:lineRule="auto"/>
        <w:rPr>
          <w:rFonts w:ascii="宋体" w:hAnsi="宋体" w:cs="Arial"/>
          <w:color w:val="000000"/>
          <w:sz w:val="30"/>
          <w:szCs w:val="30"/>
        </w:rPr>
      </w:pPr>
    </w:p>
    <w:p w14:paraId="09C57997">
      <w:pPr>
        <w:spacing w:before="120" w:beforeLines="50" w:after="120" w:afterLines="50" w:line="360" w:lineRule="auto"/>
        <w:rPr>
          <w:rFonts w:ascii="宋体" w:hAnsi="宋体" w:cs="Arial"/>
          <w:color w:val="000000"/>
          <w:sz w:val="30"/>
          <w:szCs w:val="30"/>
        </w:rPr>
      </w:pPr>
    </w:p>
    <w:p w14:paraId="11E161C1">
      <w:pPr>
        <w:spacing w:before="120" w:beforeLines="50" w:after="120" w:afterLines="50" w:line="360" w:lineRule="auto"/>
        <w:rPr>
          <w:rFonts w:ascii="宋体" w:hAnsi="宋体" w:cs="Arial"/>
          <w:color w:val="000000"/>
          <w:sz w:val="30"/>
          <w:szCs w:val="30"/>
        </w:rPr>
      </w:pPr>
    </w:p>
    <w:p w14:paraId="146E26B7">
      <w:pPr>
        <w:spacing w:before="120" w:beforeLines="50" w:after="120" w:afterLines="50" w:line="360" w:lineRule="auto"/>
        <w:rPr>
          <w:rFonts w:ascii="宋体" w:hAnsi="宋体" w:cs="Arial"/>
          <w:color w:val="000000"/>
          <w:sz w:val="30"/>
          <w:szCs w:val="30"/>
        </w:rPr>
      </w:pPr>
    </w:p>
    <w:p w14:paraId="21DBE25A">
      <w:pPr>
        <w:spacing w:before="120" w:beforeLines="50" w:after="120" w:afterLines="50" w:line="360" w:lineRule="auto"/>
        <w:rPr>
          <w:rFonts w:ascii="宋体" w:hAnsi="宋体" w:cs="Arial"/>
          <w:color w:val="000000"/>
          <w:sz w:val="30"/>
          <w:szCs w:val="30"/>
        </w:rPr>
      </w:pPr>
    </w:p>
    <w:p w14:paraId="21D9F549">
      <w:pPr>
        <w:spacing w:before="120" w:beforeLines="50" w:after="120" w:afterLines="50" w:line="360" w:lineRule="auto"/>
        <w:rPr>
          <w:rFonts w:ascii="宋体" w:hAnsi="宋体" w:cs="Arial"/>
          <w:color w:val="000000"/>
          <w:sz w:val="30"/>
          <w:szCs w:val="30"/>
        </w:rPr>
      </w:pPr>
    </w:p>
    <w:p w14:paraId="11E29BAA">
      <w:pPr>
        <w:spacing w:before="120" w:beforeLines="50" w:after="120" w:afterLines="50" w:line="360" w:lineRule="auto"/>
        <w:rPr>
          <w:rFonts w:ascii="宋体" w:hAnsi="宋体" w:cs="Arial"/>
          <w:color w:val="000000"/>
          <w:sz w:val="30"/>
          <w:szCs w:val="30"/>
        </w:rPr>
      </w:pPr>
    </w:p>
    <w:p w14:paraId="2F09EC5D">
      <w:pPr>
        <w:spacing w:before="120" w:beforeLines="50" w:after="120" w:afterLines="50" w:line="360" w:lineRule="auto"/>
        <w:rPr>
          <w:rFonts w:ascii="宋体" w:hAnsi="宋体" w:cs="Arial"/>
          <w:color w:val="000000"/>
          <w:sz w:val="30"/>
          <w:szCs w:val="30"/>
        </w:rPr>
      </w:pPr>
    </w:p>
    <w:p w14:paraId="3B328D59">
      <w:pPr>
        <w:spacing w:before="120" w:beforeLines="50" w:after="120" w:afterLines="50" w:line="360" w:lineRule="auto"/>
        <w:rPr>
          <w:rFonts w:ascii="宋体" w:hAnsi="宋体" w:cs="Arial"/>
          <w:color w:val="000000"/>
          <w:sz w:val="30"/>
          <w:szCs w:val="30"/>
        </w:rPr>
      </w:pPr>
    </w:p>
    <w:p w14:paraId="036F377F">
      <w:pPr>
        <w:spacing w:before="120" w:beforeLines="50" w:after="120" w:afterLines="50" w:line="360" w:lineRule="auto"/>
        <w:rPr>
          <w:rFonts w:ascii="宋体" w:hAnsi="宋体" w:cs="Arial"/>
          <w:color w:val="000000"/>
          <w:sz w:val="30"/>
          <w:szCs w:val="30"/>
        </w:rPr>
      </w:pPr>
    </w:p>
    <w:p w14:paraId="45A35B82">
      <w:pPr>
        <w:spacing w:before="120" w:beforeLines="50" w:after="120" w:afterLines="50" w:line="360" w:lineRule="auto"/>
        <w:rPr>
          <w:rFonts w:ascii="宋体" w:hAnsi="宋体" w:cs="Arial"/>
          <w:color w:val="000000"/>
          <w:sz w:val="30"/>
          <w:szCs w:val="30"/>
        </w:rPr>
      </w:pPr>
    </w:p>
    <w:p w14:paraId="60D28F7E">
      <w:pPr>
        <w:spacing w:before="120" w:beforeLines="50" w:after="120" w:afterLines="50" w:line="360" w:lineRule="auto"/>
        <w:rPr>
          <w:rFonts w:ascii="宋体" w:hAnsi="宋体" w:cs="Arial"/>
          <w:color w:val="000000"/>
          <w:sz w:val="30"/>
          <w:szCs w:val="30"/>
        </w:rPr>
      </w:pPr>
    </w:p>
    <w:p w14:paraId="0E684CEF">
      <w:pPr>
        <w:spacing w:before="120" w:beforeLines="50" w:after="120" w:afterLines="50" w:line="360" w:lineRule="auto"/>
        <w:rPr>
          <w:rFonts w:ascii="宋体" w:hAnsi="宋体" w:cs="Arial"/>
          <w:color w:val="000000"/>
          <w:sz w:val="30"/>
          <w:szCs w:val="30"/>
        </w:rPr>
      </w:pPr>
    </w:p>
    <w:p w14:paraId="13DAAF1F">
      <w:pPr>
        <w:spacing w:before="120" w:beforeLines="50" w:after="120" w:afterLines="50" w:line="360" w:lineRule="auto"/>
        <w:rPr>
          <w:rFonts w:ascii="宋体" w:hAnsi="宋体" w:cs="Arial"/>
          <w:color w:val="000000"/>
          <w:sz w:val="30"/>
          <w:szCs w:val="30"/>
        </w:rPr>
      </w:pPr>
    </w:p>
    <w:p w14:paraId="6977B451">
      <w:pPr>
        <w:spacing w:before="120" w:beforeLines="50" w:after="120" w:afterLines="50" w:line="360" w:lineRule="auto"/>
        <w:rPr>
          <w:rFonts w:ascii="宋体" w:hAnsi="宋体" w:cs="Arial"/>
          <w:color w:val="000000"/>
          <w:sz w:val="30"/>
          <w:szCs w:val="30"/>
        </w:rPr>
      </w:pPr>
    </w:p>
    <w:p w14:paraId="5047BC64">
      <w:pPr>
        <w:spacing w:before="120" w:beforeLines="50" w:after="120" w:afterLines="50" w:line="360" w:lineRule="auto"/>
        <w:rPr>
          <w:rFonts w:ascii="宋体" w:hAnsi="宋体" w:cs="Arial"/>
          <w:color w:val="000000"/>
          <w:sz w:val="30"/>
          <w:szCs w:val="30"/>
        </w:rPr>
      </w:pPr>
    </w:p>
    <w:p w14:paraId="7D719D70">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19"/>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14:paraId="4E2B697F">
        <w:tblPrEx>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14:paraId="0EFD40BA">
            <w:pPr>
              <w:widowControl/>
              <w:ind w:firstLine="3080" w:firstLineChars="700"/>
              <w:rPr>
                <w:rFonts w:ascii="黑体" w:hAnsi="黑体" w:eastAsia="黑体" w:cs="宋体"/>
                <w:kern w:val="0"/>
                <w:sz w:val="44"/>
                <w:szCs w:val="44"/>
              </w:rPr>
            </w:pPr>
            <w:bookmarkStart w:id="19" w:name="_Hlk33473319"/>
            <w:r>
              <w:rPr>
                <w:rFonts w:hint="eastAsia" w:ascii="黑体" w:hAnsi="黑体" w:eastAsia="黑体" w:cs="宋体"/>
                <w:kern w:val="0"/>
                <w:sz w:val="44"/>
                <w:szCs w:val="44"/>
              </w:rPr>
              <w:t>供应商调查表</w:t>
            </w:r>
          </w:p>
        </w:tc>
      </w:tr>
      <w:tr w14:paraId="1D54D5B4">
        <w:tblPrEx>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14:paraId="05EA882E">
            <w:pPr>
              <w:jc w:val="left"/>
              <w:rPr>
                <w:rFonts w:hint="default" w:ascii="宋体" w:hAnsi="宋体" w:eastAsia="宋体" w:cs="宋体"/>
                <w:kern w:val="0"/>
                <w:sz w:val="28"/>
                <w:szCs w:val="28"/>
                <w:lang w:val="en-US" w:eastAsia="zh-CN"/>
              </w:rPr>
            </w:pPr>
            <w:r>
              <w:rPr>
                <w:rFonts w:hint="eastAsia" w:ascii="宋体" w:hAnsi="宋体" w:cs="宋体"/>
                <w:kern w:val="0"/>
                <w:sz w:val="28"/>
                <w:szCs w:val="28"/>
              </w:rPr>
              <w:t>项目名称：</w:t>
            </w:r>
            <w:r>
              <w:rPr>
                <w:rFonts w:hint="eastAsia" w:ascii="宋体" w:hAnsi="宋体"/>
                <w:sz w:val="24"/>
                <w:szCs w:val="28"/>
              </w:rPr>
              <w:t>研发管沟B分支、E分支、中环21-23水电仓（共11个仓段）远程监控</w:t>
            </w:r>
            <w:r>
              <w:rPr>
                <w:rFonts w:hint="eastAsia" w:ascii="宋体" w:hAnsi="宋体"/>
                <w:sz w:val="24"/>
                <w:szCs w:val="28"/>
                <w:lang w:eastAsia="zh-CN"/>
              </w:rPr>
              <w:t>（</w:t>
            </w:r>
            <w:r>
              <w:rPr>
                <w:rFonts w:hint="eastAsia" w:ascii="宋体" w:hAnsi="宋体"/>
                <w:sz w:val="24"/>
                <w:szCs w:val="28"/>
                <w:lang w:val="en-US" w:eastAsia="zh-CN"/>
              </w:rPr>
              <w:t>第三次）</w:t>
            </w:r>
          </w:p>
        </w:tc>
      </w:tr>
      <w:tr w14:paraId="61598AF1">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E4BC6A1">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7B80691">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9984E8E">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3F12E264">
            <w:pPr>
              <w:widowControl/>
              <w:ind w:firstLine="200"/>
              <w:jc w:val="center"/>
              <w:rPr>
                <w:rFonts w:ascii="宋体" w:hAnsi="宋体" w:cs="宋体"/>
                <w:kern w:val="0"/>
                <w:sz w:val="24"/>
              </w:rPr>
            </w:pPr>
          </w:p>
        </w:tc>
      </w:tr>
      <w:tr w14:paraId="4B480147">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E0F1203">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1484609D">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A1723D4">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64E2B8C3">
            <w:pPr>
              <w:widowControl/>
              <w:ind w:firstLine="200"/>
              <w:jc w:val="center"/>
              <w:rPr>
                <w:rFonts w:ascii="宋体" w:hAnsi="宋体" w:cs="宋体"/>
                <w:kern w:val="0"/>
                <w:sz w:val="24"/>
              </w:rPr>
            </w:pPr>
          </w:p>
        </w:tc>
      </w:tr>
      <w:tr w14:paraId="28C5EA08">
        <w:tblPrEx>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5BAE8B">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CF656C9">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59536C8B">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B42E1B">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88E0C51">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5296E07D">
            <w:pPr>
              <w:widowControl/>
              <w:ind w:firstLine="200"/>
              <w:jc w:val="center"/>
              <w:rPr>
                <w:rFonts w:ascii="宋体" w:hAnsi="宋体" w:cs="宋体"/>
                <w:kern w:val="0"/>
                <w:sz w:val="24"/>
              </w:rPr>
            </w:pPr>
          </w:p>
        </w:tc>
      </w:tr>
      <w:tr w14:paraId="34CAF2BE">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AF8228A">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2496D3">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74556A04">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2F62A60">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AEA8F7D">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1ABF716">
            <w:pPr>
              <w:widowControl/>
              <w:ind w:firstLine="200"/>
              <w:jc w:val="center"/>
              <w:rPr>
                <w:rFonts w:ascii="宋体" w:hAnsi="宋体" w:cs="宋体"/>
                <w:kern w:val="0"/>
                <w:sz w:val="24"/>
              </w:rPr>
            </w:pPr>
          </w:p>
        </w:tc>
      </w:tr>
      <w:tr w14:paraId="727BDCF1">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210FA3C5">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63DA30A">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74D502E">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23CB948">
            <w:pPr>
              <w:widowControl/>
              <w:jc w:val="left"/>
              <w:rPr>
                <w:rFonts w:ascii="宋体" w:hAnsi="宋体" w:cs="宋体"/>
                <w:b/>
                <w:bCs/>
                <w:kern w:val="0"/>
                <w:sz w:val="24"/>
              </w:rPr>
            </w:pPr>
          </w:p>
        </w:tc>
      </w:tr>
      <w:tr w14:paraId="281915EC">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265E112">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6C708A8">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F2367AE">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E13192B">
            <w:pPr>
              <w:widowControl/>
              <w:jc w:val="left"/>
              <w:rPr>
                <w:rFonts w:ascii="宋体" w:hAnsi="宋体" w:cs="宋体"/>
                <w:b/>
                <w:bCs/>
                <w:kern w:val="0"/>
                <w:sz w:val="24"/>
              </w:rPr>
            </w:pPr>
          </w:p>
        </w:tc>
      </w:tr>
      <w:tr w14:paraId="4E92B6A5">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8BC58A9">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14:paraId="08D6FD3F">
            <w:pPr>
              <w:widowControl/>
              <w:rPr>
                <w:rFonts w:ascii="宋体" w:hAnsi="宋体" w:cs="宋体"/>
                <w:b/>
                <w:bCs/>
                <w:kern w:val="0"/>
                <w:sz w:val="24"/>
              </w:rPr>
            </w:pPr>
          </w:p>
          <w:p w14:paraId="066A3216">
            <w:pPr>
              <w:widowControl/>
              <w:rPr>
                <w:rFonts w:ascii="宋体" w:hAnsi="宋体" w:cs="宋体"/>
                <w:b/>
                <w:bCs/>
                <w:kern w:val="0"/>
                <w:sz w:val="24"/>
              </w:rPr>
            </w:pPr>
          </w:p>
          <w:p w14:paraId="7FE2F31A">
            <w:pPr>
              <w:widowControl/>
              <w:rPr>
                <w:rFonts w:ascii="宋体" w:hAnsi="宋体" w:cs="宋体"/>
                <w:b/>
                <w:bCs/>
                <w:kern w:val="0"/>
                <w:sz w:val="24"/>
              </w:rPr>
            </w:pPr>
          </w:p>
          <w:p w14:paraId="655A7348">
            <w:pPr>
              <w:widowControl/>
              <w:rPr>
                <w:rFonts w:ascii="宋体" w:hAnsi="宋体" w:cs="宋体"/>
                <w:b/>
                <w:bCs/>
                <w:kern w:val="0"/>
                <w:sz w:val="24"/>
              </w:rPr>
            </w:pPr>
          </w:p>
        </w:tc>
      </w:tr>
      <w:tr w14:paraId="35AB0549">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3EF377F">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5B9657F5">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D9B2ECB">
            <w:pPr>
              <w:widowControl/>
              <w:jc w:val="center"/>
              <w:rPr>
                <w:rFonts w:ascii="宋体" w:hAnsi="宋体" w:cs="宋体"/>
                <w:kern w:val="0"/>
                <w:sz w:val="24"/>
              </w:rPr>
            </w:pPr>
            <w:r>
              <w:rPr>
                <w:rFonts w:hint="eastAsia" w:ascii="宋体" w:hAnsi="宋体" w:cs="宋体"/>
                <w:kern w:val="0"/>
                <w:sz w:val="24"/>
              </w:rPr>
              <w:t>发证机关</w:t>
            </w:r>
          </w:p>
        </w:tc>
      </w:tr>
      <w:tr w14:paraId="3BE00BC3">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78787C34">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330690BF">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00AA859">
            <w:pPr>
              <w:widowControl/>
              <w:jc w:val="center"/>
              <w:rPr>
                <w:rFonts w:ascii="宋体" w:hAnsi="宋体" w:cs="宋体"/>
                <w:b/>
                <w:bCs/>
                <w:kern w:val="0"/>
                <w:sz w:val="24"/>
              </w:rPr>
            </w:pPr>
          </w:p>
        </w:tc>
      </w:tr>
      <w:tr w14:paraId="6128B1E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1D1EC10D">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43929CB7">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49FE21E">
            <w:pPr>
              <w:widowControl/>
              <w:jc w:val="center"/>
              <w:rPr>
                <w:rFonts w:ascii="宋体" w:hAnsi="宋体" w:cs="宋体"/>
                <w:b/>
                <w:bCs/>
                <w:kern w:val="0"/>
                <w:sz w:val="24"/>
              </w:rPr>
            </w:pPr>
          </w:p>
        </w:tc>
      </w:tr>
      <w:tr w14:paraId="0653945E">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2A1BC80C">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1F01CCB">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F573212">
            <w:pPr>
              <w:widowControl/>
              <w:jc w:val="center"/>
              <w:rPr>
                <w:rFonts w:ascii="宋体" w:hAnsi="宋体" w:cs="宋体"/>
                <w:b/>
                <w:bCs/>
                <w:kern w:val="0"/>
                <w:sz w:val="24"/>
              </w:rPr>
            </w:pPr>
          </w:p>
        </w:tc>
      </w:tr>
      <w:tr w14:paraId="2FA2C2BB">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9294FE1">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29146775">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5A2554C">
            <w:pPr>
              <w:widowControl/>
              <w:jc w:val="center"/>
              <w:rPr>
                <w:rFonts w:ascii="宋体" w:hAnsi="宋体" w:cs="宋体"/>
                <w:b/>
                <w:bCs/>
                <w:kern w:val="0"/>
                <w:sz w:val="24"/>
              </w:rPr>
            </w:pPr>
          </w:p>
        </w:tc>
      </w:tr>
      <w:tr w14:paraId="28AB9B1F">
        <w:tblPrEx>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D417700">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94B6648">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D8BB654">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9F96B91">
            <w:pPr>
              <w:widowControl/>
              <w:jc w:val="center"/>
              <w:rPr>
                <w:rFonts w:ascii="宋体" w:hAnsi="宋体" w:cs="宋体"/>
                <w:b/>
                <w:bCs/>
                <w:kern w:val="0"/>
                <w:sz w:val="24"/>
              </w:rPr>
            </w:pPr>
          </w:p>
        </w:tc>
      </w:tr>
      <w:tr w14:paraId="5424F144">
        <w:tblPrEx>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14:paraId="49A3887F">
            <w:pPr>
              <w:widowControl/>
              <w:jc w:val="center"/>
              <w:rPr>
                <w:rFonts w:ascii="宋体" w:hAnsi="宋体" w:cs="宋体"/>
                <w:kern w:val="0"/>
                <w:sz w:val="24"/>
              </w:rPr>
            </w:pPr>
            <w:r>
              <w:rPr>
                <w:rFonts w:hint="eastAsia" w:ascii="宋体" w:hAnsi="宋体" w:cs="宋体"/>
                <w:kern w:val="0"/>
                <w:sz w:val="24"/>
              </w:rPr>
              <w:t>近三年类似业绩</w:t>
            </w:r>
          </w:p>
        </w:tc>
      </w:tr>
      <w:tr w14:paraId="7A601FB2">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E2D318B">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27D3B9E">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B08C631">
            <w:pPr>
              <w:widowControl/>
              <w:jc w:val="center"/>
              <w:rPr>
                <w:rFonts w:ascii="宋体" w:hAnsi="宋体" w:cs="宋体"/>
                <w:kern w:val="0"/>
                <w:sz w:val="24"/>
              </w:rPr>
            </w:pPr>
            <w:r>
              <w:rPr>
                <w:rFonts w:hint="eastAsia" w:ascii="宋体" w:hAnsi="宋体" w:cs="宋体"/>
                <w:kern w:val="0"/>
                <w:sz w:val="24"/>
              </w:rPr>
              <w:t>项目内容</w:t>
            </w:r>
          </w:p>
        </w:tc>
      </w:tr>
      <w:tr w14:paraId="312C308E">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70078D97">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A473EFF">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0E7FAB5">
            <w:pPr>
              <w:widowControl/>
              <w:jc w:val="center"/>
              <w:rPr>
                <w:rFonts w:ascii="宋体" w:hAnsi="宋体" w:cs="宋体"/>
                <w:b/>
                <w:bCs/>
                <w:kern w:val="0"/>
                <w:sz w:val="24"/>
              </w:rPr>
            </w:pPr>
          </w:p>
        </w:tc>
      </w:tr>
      <w:tr w14:paraId="0A4D643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038097F5">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7D1428B">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A87C136">
            <w:pPr>
              <w:widowControl/>
              <w:jc w:val="center"/>
              <w:rPr>
                <w:rFonts w:ascii="宋体" w:hAnsi="宋体" w:cs="宋体"/>
                <w:b/>
                <w:bCs/>
                <w:kern w:val="0"/>
                <w:sz w:val="24"/>
              </w:rPr>
            </w:pPr>
          </w:p>
        </w:tc>
      </w:tr>
      <w:tr w14:paraId="795657CF">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B4BABBC">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13D7ECC8">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14:paraId="68788AD4">
            <w:pPr>
              <w:widowControl/>
              <w:jc w:val="center"/>
              <w:rPr>
                <w:b/>
                <w:bCs/>
                <w:kern w:val="0"/>
                <w:sz w:val="24"/>
              </w:rPr>
            </w:pPr>
          </w:p>
        </w:tc>
      </w:tr>
      <w:tr w14:paraId="452A819A">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14:paraId="0DF07213">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14:paraId="7B818FCC">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14:paraId="36477EEF">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14:paraId="6874B735">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14:paraId="5A51EF11">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14:paraId="61D6DD20">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14:paraId="6B98C498">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14:paraId="5B897B2B">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14:paraId="0785B7A5">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14:paraId="18FAFBFE">
            <w:pPr>
              <w:widowControl/>
              <w:ind w:firstLine="200"/>
              <w:jc w:val="left"/>
              <w:rPr>
                <w:rFonts w:ascii="Calibri" w:hAnsi="Calibri" w:cs="宋体"/>
                <w:kern w:val="0"/>
                <w:szCs w:val="21"/>
              </w:rPr>
            </w:pPr>
          </w:p>
        </w:tc>
      </w:tr>
      <w:tr w14:paraId="7E2B90B8">
        <w:tblPrEx>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14:paraId="7D4FCCE6">
            <w:pPr>
              <w:spacing w:line="400" w:lineRule="exact"/>
              <w:rPr>
                <w:sz w:val="28"/>
                <w:szCs w:val="28"/>
              </w:rPr>
            </w:pPr>
          </w:p>
          <w:p w14:paraId="30956A6F">
            <w:pPr>
              <w:spacing w:line="400" w:lineRule="exact"/>
              <w:rPr>
                <w:sz w:val="28"/>
                <w:szCs w:val="28"/>
              </w:rPr>
            </w:pPr>
            <w:r>
              <w:rPr>
                <w:rFonts w:hint="eastAsia"/>
                <w:sz w:val="28"/>
                <w:szCs w:val="28"/>
              </w:rPr>
              <w:t>报名单位（盖章）：</w:t>
            </w:r>
          </w:p>
        </w:tc>
      </w:tr>
    </w:tbl>
    <w:p w14:paraId="26AA670E">
      <w:pPr>
        <w:spacing w:line="400" w:lineRule="exact"/>
        <w:ind w:left="560" w:hanging="560" w:hangingChars="200"/>
        <w:rPr>
          <w:sz w:val="28"/>
          <w:szCs w:val="28"/>
        </w:rPr>
      </w:pPr>
    </w:p>
    <w:p w14:paraId="4D4DD254">
      <w:pPr>
        <w:spacing w:line="400" w:lineRule="exact"/>
        <w:ind w:left="560" w:hanging="560" w:hangingChars="200"/>
        <w:rPr>
          <w:sz w:val="28"/>
          <w:szCs w:val="28"/>
        </w:rPr>
      </w:pPr>
      <w:r>
        <w:rPr>
          <w:rFonts w:hint="eastAsia"/>
          <w:sz w:val="28"/>
          <w:szCs w:val="28"/>
        </w:rPr>
        <w:t>日期：202</w:t>
      </w:r>
      <w:r>
        <w:rPr>
          <w:sz w:val="28"/>
          <w:szCs w:val="28"/>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9"/>
    <w:p w14:paraId="5A27C4B3">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14:paraId="5C7F6832">
      <w:pPr>
        <w:spacing w:line="500" w:lineRule="exact"/>
        <w:jc w:val="center"/>
        <w:rPr>
          <w:rFonts w:eastAsia="黑体"/>
          <w:b/>
          <w:bCs/>
          <w:sz w:val="36"/>
        </w:rPr>
      </w:pPr>
      <w:r>
        <w:rPr>
          <w:rFonts w:hint="eastAsia" w:eastAsia="黑体"/>
          <w:b/>
          <w:bCs/>
          <w:sz w:val="36"/>
        </w:rPr>
        <w:t>法定代表人身份证明书</w:t>
      </w:r>
    </w:p>
    <w:p w14:paraId="14654122">
      <w:pPr>
        <w:spacing w:line="500" w:lineRule="exact"/>
        <w:rPr>
          <w:b/>
          <w:bCs/>
          <w:szCs w:val="21"/>
        </w:rPr>
      </w:pPr>
    </w:p>
    <w:p w14:paraId="67E4D76E">
      <w:pPr>
        <w:spacing w:line="500" w:lineRule="exact"/>
        <w:ind w:firstLine="1120" w:firstLineChars="400"/>
        <w:rPr>
          <w:rFonts w:ascii="宋体" w:hAnsi="宋体" w:cs="宋体"/>
          <w:sz w:val="28"/>
        </w:rPr>
      </w:pPr>
      <w:bookmarkStart w:id="20"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14:paraId="2ECBAF1F">
      <w:pPr>
        <w:spacing w:line="500" w:lineRule="exact"/>
        <w:ind w:firstLine="627" w:firstLineChars="224"/>
        <w:rPr>
          <w:rFonts w:ascii="宋体" w:hAnsi="宋体" w:cs="宋体"/>
          <w:sz w:val="28"/>
        </w:rPr>
      </w:pPr>
    </w:p>
    <w:p w14:paraId="133373E6">
      <w:pPr>
        <w:spacing w:line="500" w:lineRule="exact"/>
        <w:jc w:val="left"/>
        <w:rPr>
          <w:rFonts w:ascii="宋体" w:hAnsi="宋体" w:cs="宋体"/>
          <w:sz w:val="28"/>
        </w:rPr>
      </w:pPr>
      <w:r>
        <w:rPr>
          <w:rFonts w:hint="eastAsia" w:ascii="宋体" w:hAnsi="宋体" w:cs="宋体"/>
          <w:sz w:val="28"/>
        </w:rPr>
        <w:t>（单位盖章）</w:t>
      </w:r>
    </w:p>
    <w:p w14:paraId="6F89B81F">
      <w:pPr>
        <w:spacing w:line="500" w:lineRule="exact"/>
        <w:ind w:firstLine="627" w:firstLineChars="224"/>
        <w:rPr>
          <w:rFonts w:hAnsi="宋体" w:cs="宋体"/>
          <w:sz w:val="28"/>
          <w:szCs w:val="28"/>
        </w:rPr>
      </w:pPr>
    </w:p>
    <w:p w14:paraId="5998B943">
      <w:pPr>
        <w:spacing w:line="500" w:lineRule="exact"/>
        <w:rPr>
          <w:rFonts w:ascii="宋体" w:hAnsi="宋体" w:cs="宋体"/>
          <w:sz w:val="28"/>
        </w:rPr>
      </w:pPr>
      <w:r>
        <w:rPr>
          <w:rFonts w:hint="eastAsia" w:hAnsi="宋体" w:cs="宋体"/>
          <w:sz w:val="28"/>
          <w:szCs w:val="28"/>
        </w:rPr>
        <w:t>日期：202</w:t>
      </w:r>
      <w:r>
        <w:rPr>
          <w:rFonts w:hAnsi="宋体" w:cs="宋体"/>
          <w:sz w:val="28"/>
          <w:szCs w:val="28"/>
        </w:rPr>
        <w:t>4</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14:paraId="1C0A4246">
      <w:pPr>
        <w:spacing w:line="500" w:lineRule="exact"/>
        <w:rPr>
          <w:rFonts w:ascii="宋体" w:hAnsi="宋体" w:cs="宋体"/>
          <w:sz w:val="28"/>
        </w:rPr>
      </w:pPr>
      <w:r>
        <w:rPr>
          <w:rFonts w:hint="eastAsia" w:ascii="宋体" w:hAnsi="宋体" w:cs="宋体"/>
          <w:sz w:val="28"/>
        </w:rPr>
        <w:t xml:space="preserve">单位通信地址：                                </w:t>
      </w:r>
    </w:p>
    <w:p w14:paraId="3BD27560">
      <w:pPr>
        <w:spacing w:line="500" w:lineRule="exact"/>
        <w:rPr>
          <w:rFonts w:ascii="宋体" w:hAnsi="宋体" w:cs="宋体"/>
          <w:sz w:val="28"/>
        </w:rPr>
      </w:pPr>
    </w:p>
    <w:p w14:paraId="3601C358">
      <w:pPr>
        <w:spacing w:line="500" w:lineRule="exact"/>
        <w:rPr>
          <w:rFonts w:ascii="宋体" w:hAnsi="宋体" w:cs="宋体"/>
          <w:sz w:val="28"/>
        </w:rPr>
      </w:pPr>
      <w:r>
        <w:rPr>
          <w:rFonts w:hint="eastAsia" w:ascii="宋体" w:hAnsi="宋体" w:cs="宋体"/>
          <w:sz w:val="28"/>
        </w:rPr>
        <w:t xml:space="preserve">邮政编码：                 单位联系电话：   </w:t>
      </w:r>
    </w:p>
    <w:p w14:paraId="2E29A820"/>
    <w:p w14:paraId="1AFAFFB0">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20"/>
    <w:p w14:paraId="270328DA">
      <w:pPr>
        <w:spacing w:line="360" w:lineRule="auto"/>
        <w:rPr>
          <w:rFonts w:ascii="宋体" w:hAnsi="宋体" w:cs="Arial"/>
          <w:color w:val="000000"/>
          <w:sz w:val="28"/>
          <w:szCs w:val="28"/>
        </w:rPr>
      </w:pPr>
    </w:p>
    <w:p w14:paraId="671EBBF8">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14:paraId="6AFFDB9F">
      <w:pPr>
        <w:spacing w:line="500" w:lineRule="exact"/>
        <w:ind w:firstLine="2168" w:firstLineChars="600"/>
        <w:rPr>
          <w:rFonts w:eastAsia="黑体"/>
          <w:b/>
          <w:bCs/>
          <w:sz w:val="36"/>
        </w:rPr>
      </w:pPr>
      <w:r>
        <w:rPr>
          <w:rFonts w:hint="eastAsia" w:eastAsia="黑体"/>
          <w:b/>
          <w:bCs/>
          <w:sz w:val="36"/>
        </w:rPr>
        <w:t>法定代表人授权委托证明书</w:t>
      </w:r>
    </w:p>
    <w:p w14:paraId="0CC534D3">
      <w:pPr>
        <w:pStyle w:val="28"/>
        <w:spacing w:line="360" w:lineRule="auto"/>
        <w:ind w:firstLine="424" w:firstLineChars="177"/>
        <w:rPr>
          <w:rFonts w:hAnsi="宋体"/>
          <w:bCs/>
          <w:sz w:val="24"/>
          <w:szCs w:val="24"/>
        </w:rPr>
      </w:pPr>
    </w:p>
    <w:p w14:paraId="753894B2">
      <w:pPr>
        <w:pStyle w:val="28"/>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1A9DA751">
      <w:pPr>
        <w:pStyle w:val="2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14:paraId="4631A88C">
      <w:pPr>
        <w:pStyle w:val="28"/>
        <w:spacing w:line="360" w:lineRule="auto"/>
        <w:ind w:firstLine="480" w:firstLineChars="200"/>
        <w:rPr>
          <w:rFonts w:hAnsi="宋体"/>
          <w:sz w:val="24"/>
          <w:szCs w:val="24"/>
          <w:u w:val="single"/>
        </w:rPr>
      </w:pPr>
      <w:r>
        <w:rPr>
          <w:rFonts w:hint="eastAsia" w:hAnsi="宋体"/>
          <w:sz w:val="24"/>
          <w:szCs w:val="24"/>
        </w:rPr>
        <w:t>附：代理人性别：   年龄：   职务：</w:t>
      </w:r>
    </w:p>
    <w:p w14:paraId="68DC5FA3">
      <w:pPr>
        <w:pStyle w:val="28"/>
        <w:spacing w:line="360" w:lineRule="auto"/>
        <w:ind w:firstLine="480" w:firstLineChars="200"/>
        <w:rPr>
          <w:rFonts w:hAnsi="宋体"/>
          <w:sz w:val="24"/>
          <w:szCs w:val="24"/>
          <w:u w:val="single"/>
        </w:rPr>
      </w:pPr>
      <w:r>
        <w:rPr>
          <w:rFonts w:hint="eastAsia" w:hAnsi="宋体"/>
          <w:sz w:val="24"/>
          <w:szCs w:val="24"/>
        </w:rPr>
        <w:t>　　身份证号码：</w:t>
      </w:r>
    </w:p>
    <w:p w14:paraId="6C54CD2B">
      <w:pPr>
        <w:pStyle w:val="28"/>
        <w:spacing w:line="360" w:lineRule="auto"/>
        <w:ind w:firstLine="480" w:firstLineChars="200"/>
        <w:rPr>
          <w:rFonts w:hAnsi="宋体"/>
          <w:sz w:val="24"/>
          <w:szCs w:val="24"/>
          <w:u w:val="single"/>
        </w:rPr>
      </w:pPr>
      <w:r>
        <w:rPr>
          <w:rFonts w:hint="eastAsia" w:hAnsi="宋体"/>
          <w:sz w:val="24"/>
          <w:szCs w:val="24"/>
        </w:rPr>
        <w:t>　　（营业执照等）注册号码：</w:t>
      </w:r>
    </w:p>
    <w:p w14:paraId="06F38F00">
      <w:pPr>
        <w:pStyle w:val="28"/>
        <w:spacing w:line="360" w:lineRule="auto"/>
        <w:ind w:firstLine="480" w:firstLineChars="200"/>
        <w:rPr>
          <w:rFonts w:hAnsi="宋体"/>
          <w:sz w:val="24"/>
          <w:szCs w:val="24"/>
          <w:u w:val="single"/>
        </w:rPr>
      </w:pPr>
      <w:r>
        <w:rPr>
          <w:rFonts w:hint="eastAsia" w:hAnsi="宋体"/>
          <w:sz w:val="24"/>
          <w:szCs w:val="24"/>
        </w:rPr>
        <w:t>　　企业类型：</w:t>
      </w:r>
    </w:p>
    <w:p w14:paraId="3C6D1D67">
      <w:pPr>
        <w:pStyle w:val="28"/>
        <w:spacing w:line="360" w:lineRule="auto"/>
        <w:ind w:firstLine="480" w:firstLineChars="200"/>
        <w:rPr>
          <w:rFonts w:hAnsi="宋体"/>
          <w:sz w:val="24"/>
          <w:szCs w:val="24"/>
          <w:u w:val="single"/>
        </w:rPr>
      </w:pPr>
      <w:r>
        <w:rPr>
          <w:rFonts w:hint="eastAsia" w:hAnsi="宋体"/>
          <w:sz w:val="24"/>
          <w:szCs w:val="24"/>
        </w:rPr>
        <w:t>　　经营范围：</w:t>
      </w:r>
    </w:p>
    <w:p w14:paraId="492FEC7A">
      <w:pPr>
        <w:pStyle w:val="28"/>
        <w:spacing w:line="360" w:lineRule="auto"/>
        <w:rPr>
          <w:rFonts w:hAnsi="宋体"/>
          <w:sz w:val="24"/>
          <w:szCs w:val="24"/>
        </w:rPr>
      </w:pPr>
      <w:r>
        <w:rPr>
          <w:rFonts w:hint="eastAsia" w:hAnsi="宋体"/>
          <w:sz w:val="24"/>
          <w:szCs w:val="24"/>
        </w:rPr>
        <w:t>附：被授权人有效身份证正反面或其他身份证明材料复印　　　　　　　</w:t>
      </w:r>
    </w:p>
    <w:p w14:paraId="015606C1">
      <w:pPr>
        <w:pStyle w:val="27"/>
        <w:spacing w:line="360" w:lineRule="auto"/>
        <w:jc w:val="both"/>
        <w:rPr>
          <w:rFonts w:hAnsi="宋体"/>
          <w:sz w:val="24"/>
          <w:szCs w:val="24"/>
        </w:rPr>
      </w:pPr>
    </w:p>
    <w:p w14:paraId="1B3A7FB6">
      <w:pPr>
        <w:pStyle w:val="27"/>
        <w:spacing w:line="360" w:lineRule="auto"/>
        <w:jc w:val="both"/>
        <w:rPr>
          <w:rFonts w:hAnsi="宋体" w:eastAsia="宋体" w:cs="宋体"/>
          <w:sz w:val="28"/>
        </w:rPr>
      </w:pPr>
    </w:p>
    <w:p w14:paraId="1C0DB3BA">
      <w:pPr>
        <w:pStyle w:val="27"/>
        <w:spacing w:line="360" w:lineRule="auto"/>
        <w:jc w:val="both"/>
        <w:rPr>
          <w:rFonts w:hAnsi="宋体" w:eastAsia="宋体" w:cs="宋体"/>
          <w:sz w:val="28"/>
        </w:rPr>
      </w:pPr>
    </w:p>
    <w:p w14:paraId="485199F9">
      <w:pPr>
        <w:pStyle w:val="27"/>
        <w:spacing w:line="360" w:lineRule="auto"/>
        <w:jc w:val="both"/>
        <w:rPr>
          <w:rFonts w:hAnsi="宋体" w:eastAsia="宋体" w:cs="宋体"/>
          <w:sz w:val="28"/>
        </w:rPr>
      </w:pPr>
    </w:p>
    <w:p w14:paraId="17FA6CEB">
      <w:pPr>
        <w:pStyle w:val="27"/>
        <w:spacing w:line="360" w:lineRule="auto"/>
        <w:jc w:val="both"/>
        <w:rPr>
          <w:rFonts w:hAnsi="宋体" w:eastAsia="宋体" w:cs="宋体"/>
          <w:sz w:val="28"/>
        </w:rPr>
      </w:pPr>
    </w:p>
    <w:p w14:paraId="54F252C6">
      <w:pPr>
        <w:pStyle w:val="27"/>
        <w:spacing w:line="360" w:lineRule="auto"/>
        <w:jc w:val="both"/>
        <w:rPr>
          <w:rFonts w:hAnsi="宋体" w:eastAsia="宋体" w:cs="宋体"/>
          <w:sz w:val="28"/>
        </w:rPr>
      </w:pPr>
    </w:p>
    <w:p w14:paraId="166BC49C">
      <w:pPr>
        <w:pStyle w:val="27"/>
        <w:spacing w:line="360" w:lineRule="auto"/>
        <w:jc w:val="both"/>
        <w:rPr>
          <w:rFonts w:hAnsi="宋体" w:eastAsia="宋体" w:cs="宋体"/>
          <w:sz w:val="24"/>
          <w:szCs w:val="24"/>
        </w:rPr>
      </w:pPr>
      <w:r>
        <w:rPr>
          <w:rFonts w:hint="eastAsia" w:hAnsi="宋体" w:eastAsia="宋体" w:cs="宋体"/>
          <w:sz w:val="24"/>
          <w:szCs w:val="24"/>
        </w:rPr>
        <w:t>（单位盖章）：</w:t>
      </w:r>
    </w:p>
    <w:p w14:paraId="79BEB82B">
      <w:pPr>
        <w:pStyle w:val="27"/>
        <w:spacing w:line="360" w:lineRule="auto"/>
        <w:jc w:val="both"/>
        <w:rPr>
          <w:rFonts w:hAnsi="宋体" w:eastAsia="宋体" w:cs="宋体"/>
          <w:sz w:val="24"/>
          <w:szCs w:val="24"/>
        </w:rPr>
      </w:pPr>
    </w:p>
    <w:p w14:paraId="3D6CFC69">
      <w:pPr>
        <w:pStyle w:val="27"/>
        <w:spacing w:line="360" w:lineRule="auto"/>
        <w:jc w:val="both"/>
        <w:rPr>
          <w:rFonts w:hAnsi="宋体" w:eastAsia="宋体" w:cs="宋体"/>
          <w:sz w:val="24"/>
          <w:szCs w:val="24"/>
        </w:rPr>
      </w:pPr>
      <w:bookmarkStart w:id="21" w:name="_Hlk33473384"/>
      <w:r>
        <w:rPr>
          <w:rFonts w:hint="eastAsia" w:hAnsi="宋体" w:eastAsia="宋体" w:cs="宋体"/>
          <w:sz w:val="24"/>
          <w:szCs w:val="24"/>
        </w:rPr>
        <w:t>法定代表人（签字或盖章）：</w:t>
      </w:r>
    </w:p>
    <w:p w14:paraId="0DDFED4C">
      <w:pPr>
        <w:pStyle w:val="27"/>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51F1BFE4">
      <w:pPr>
        <w:pStyle w:val="2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15B9D017">
      <w:pPr>
        <w:rPr>
          <w:sz w:val="24"/>
        </w:rPr>
      </w:pPr>
      <w:r>
        <w:rPr>
          <w:rFonts w:hint="eastAsia" w:hAnsi="宋体" w:cs="宋体"/>
          <w:sz w:val="24"/>
          <w:lang w:val="zh-CN"/>
        </w:rPr>
        <w:t>说明：法定代表人亲自办理投标事宜的，无需提交本证明书。</w:t>
      </w:r>
    </w:p>
    <w:bookmarkEnd w:id="21"/>
    <w:p w14:paraId="3A141D48">
      <w:pPr>
        <w:spacing w:line="360" w:lineRule="auto"/>
        <w:rPr>
          <w:sz w:val="28"/>
          <w:szCs w:val="28"/>
        </w:rPr>
      </w:pPr>
    </w:p>
    <w:p w14:paraId="73BE56BF">
      <w:pPr>
        <w:rPr>
          <w:rFonts w:ascii="仿宋" w:hAnsi="仿宋" w:eastAsia="仿宋" w:cs="仿宋"/>
          <w:szCs w:val="21"/>
        </w:rPr>
      </w:pPr>
      <w:r>
        <w:rPr>
          <w:rFonts w:ascii="仿宋" w:hAnsi="仿宋" w:eastAsia="仿宋" w:cs="仿宋"/>
          <w:szCs w:val="21"/>
        </w:rPr>
        <w:br w:type="page"/>
      </w:r>
    </w:p>
    <w:p w14:paraId="53358D09">
      <w:pPr>
        <w:rPr>
          <w:rFonts w:ascii="仿宋" w:hAnsi="仿宋" w:eastAsia="仿宋" w:cs="仿宋"/>
          <w:szCs w:val="21"/>
        </w:rPr>
      </w:pPr>
      <w:r>
        <w:rPr>
          <w:rFonts w:hint="eastAsia" w:ascii="宋体" w:hAnsi="宋体" w:cs="Arial"/>
          <w:color w:val="000000"/>
          <w:sz w:val="30"/>
          <w:szCs w:val="30"/>
        </w:rPr>
        <w:t>附件5</w:t>
      </w:r>
    </w:p>
    <w:p w14:paraId="7E02C1C5">
      <w:pPr>
        <w:pStyle w:val="5"/>
        <w:ind w:firstLine="643"/>
        <w:jc w:val="center"/>
        <w:rPr>
          <w:rFonts w:ascii="宋体" w:hAnsi="宋体" w:cs="仿宋"/>
          <w:b/>
          <w:sz w:val="32"/>
          <w:szCs w:val="28"/>
        </w:rPr>
      </w:pPr>
      <w:r>
        <w:rPr>
          <w:rFonts w:hint="eastAsia" w:ascii="宋体" w:hAnsi="宋体" w:cs="仿宋"/>
          <w:b/>
          <w:sz w:val="32"/>
          <w:szCs w:val="28"/>
        </w:rPr>
        <w:t>报价人声明函</w:t>
      </w:r>
    </w:p>
    <w:p w14:paraId="20BED4B7">
      <w:pPr>
        <w:rPr>
          <w:rFonts w:ascii="宋体" w:hAnsi="宋体" w:cs="仿宋"/>
          <w:b/>
          <w:sz w:val="22"/>
          <w:szCs w:val="21"/>
        </w:rPr>
      </w:pPr>
    </w:p>
    <w:p w14:paraId="056C2F2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4DFCBF07">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0BEE6E3F">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1362C91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0737E05">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544E0B7B">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260F0527">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0C6EC2E2">
      <w:pPr>
        <w:spacing w:line="360" w:lineRule="auto"/>
        <w:ind w:firstLine="420"/>
        <w:rPr>
          <w:rFonts w:ascii="宋体" w:hAnsi="宋体" w:cs="仿宋"/>
          <w:sz w:val="24"/>
        </w:rPr>
      </w:pPr>
    </w:p>
    <w:p w14:paraId="0CF64615">
      <w:pPr>
        <w:spacing w:line="360" w:lineRule="auto"/>
        <w:ind w:firstLine="420"/>
        <w:rPr>
          <w:rFonts w:ascii="宋体" w:hAnsi="宋体" w:cs="仿宋"/>
          <w:sz w:val="24"/>
        </w:rPr>
      </w:pPr>
    </w:p>
    <w:p w14:paraId="5779E643">
      <w:pPr>
        <w:spacing w:line="360" w:lineRule="auto"/>
        <w:ind w:firstLine="420"/>
        <w:rPr>
          <w:rFonts w:ascii="宋体" w:hAnsi="宋体" w:cs="仿宋"/>
          <w:sz w:val="24"/>
        </w:rPr>
      </w:pPr>
    </w:p>
    <w:p w14:paraId="62B8EA7D">
      <w:pPr>
        <w:spacing w:line="360" w:lineRule="auto"/>
        <w:ind w:firstLine="420"/>
        <w:rPr>
          <w:rFonts w:ascii="宋体" w:hAnsi="宋体" w:cs="仿宋"/>
          <w:sz w:val="24"/>
        </w:rPr>
      </w:pPr>
    </w:p>
    <w:p w14:paraId="58E3EFDC">
      <w:pPr>
        <w:spacing w:line="360" w:lineRule="auto"/>
        <w:rPr>
          <w:rFonts w:ascii="宋体" w:hAnsi="宋体" w:cs="仿宋"/>
          <w:color w:val="000000"/>
          <w:sz w:val="24"/>
        </w:rPr>
      </w:pPr>
      <w:r>
        <w:rPr>
          <w:rFonts w:hint="eastAsia" w:ascii="宋体" w:hAnsi="宋体" w:cs="仿宋"/>
          <w:color w:val="000000"/>
          <w:sz w:val="24"/>
        </w:rPr>
        <w:t>投标人名称（盖公章）：</w:t>
      </w:r>
    </w:p>
    <w:p w14:paraId="2820B915">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42F437FD">
      <w:pPr>
        <w:rPr>
          <w:rFonts w:ascii="宋体" w:hAnsi="宋体" w:cs="仿宋"/>
          <w:color w:val="000000"/>
          <w:sz w:val="24"/>
        </w:rPr>
      </w:pPr>
      <w:r>
        <w:rPr>
          <w:rFonts w:hint="eastAsia" w:ascii="宋体" w:hAnsi="宋体" w:cs="仿宋"/>
          <w:color w:val="000000"/>
          <w:sz w:val="24"/>
        </w:rPr>
        <w:t>日期：</w:t>
      </w:r>
    </w:p>
    <w:p w14:paraId="4E437CB3">
      <w:pPr>
        <w:rPr>
          <w:rFonts w:ascii="宋体" w:hAnsi="宋体" w:cs="仿宋"/>
          <w:color w:val="000000"/>
          <w:sz w:val="24"/>
        </w:rPr>
      </w:pPr>
    </w:p>
    <w:p w14:paraId="2A803B6A">
      <w:pPr>
        <w:rPr>
          <w:rFonts w:ascii="宋体" w:hAnsi="宋体" w:cs="仿宋"/>
          <w:color w:val="000000"/>
          <w:sz w:val="22"/>
        </w:rPr>
      </w:pPr>
    </w:p>
    <w:p w14:paraId="71FC744D">
      <w:pPr>
        <w:ind w:firstLine="2891" w:firstLineChars="800"/>
        <w:rPr>
          <w:rFonts w:ascii="宋体" w:hAnsi="宋体" w:cs="宋体"/>
          <w:b/>
          <w:bCs/>
          <w:sz w:val="36"/>
          <w:szCs w:val="36"/>
        </w:rPr>
      </w:pPr>
    </w:p>
    <w:p w14:paraId="282EB763">
      <w:pPr>
        <w:ind w:firstLine="2891" w:firstLineChars="800"/>
        <w:rPr>
          <w:rFonts w:ascii="宋体" w:hAnsi="宋体" w:cs="宋体"/>
          <w:b/>
          <w:bCs/>
          <w:sz w:val="36"/>
          <w:szCs w:val="36"/>
        </w:rPr>
      </w:pPr>
    </w:p>
    <w:p w14:paraId="7E4AA307">
      <w:pPr>
        <w:ind w:firstLine="2891" w:firstLineChars="800"/>
        <w:rPr>
          <w:rFonts w:ascii="宋体" w:hAnsi="宋体" w:cs="宋体"/>
          <w:b/>
          <w:bCs/>
          <w:sz w:val="36"/>
          <w:szCs w:val="36"/>
        </w:rPr>
      </w:pPr>
    </w:p>
    <w:p w14:paraId="1B96B9C7">
      <w:pPr>
        <w:rPr>
          <w:rFonts w:ascii="宋体" w:hAnsi="宋体" w:cs="Arial"/>
          <w:color w:val="000000"/>
          <w:sz w:val="30"/>
          <w:szCs w:val="30"/>
        </w:rPr>
      </w:pPr>
    </w:p>
    <w:p w14:paraId="1B172747">
      <w:pPr>
        <w:rPr>
          <w:rFonts w:ascii="宋体" w:hAnsi="宋体" w:cs="Arial"/>
          <w:color w:val="000000"/>
          <w:sz w:val="30"/>
          <w:szCs w:val="30"/>
        </w:rPr>
      </w:pPr>
    </w:p>
    <w:p w14:paraId="2253ABA7">
      <w:pPr>
        <w:rPr>
          <w:rFonts w:ascii="宋体" w:hAnsi="宋体" w:cs="Arial"/>
          <w:color w:val="000000"/>
          <w:sz w:val="30"/>
          <w:szCs w:val="30"/>
        </w:rPr>
      </w:pPr>
    </w:p>
    <w:p w14:paraId="0FAD4D39">
      <w:pPr>
        <w:rPr>
          <w:rFonts w:ascii="宋体" w:hAnsi="宋体" w:cs="Arial"/>
          <w:color w:val="000000"/>
          <w:sz w:val="30"/>
          <w:szCs w:val="30"/>
        </w:rPr>
      </w:pPr>
    </w:p>
    <w:p w14:paraId="6B1E9D67">
      <w:pPr>
        <w:rPr>
          <w:rFonts w:ascii="宋体" w:hAnsi="宋体" w:cs="Arial"/>
          <w:color w:val="000000"/>
          <w:sz w:val="30"/>
          <w:szCs w:val="30"/>
        </w:rPr>
      </w:pPr>
    </w:p>
    <w:p w14:paraId="0E55BEE7">
      <w:pPr>
        <w:rPr>
          <w:rFonts w:ascii="宋体" w:hAnsi="宋体" w:cs="Arial"/>
          <w:color w:val="000000"/>
          <w:sz w:val="30"/>
          <w:szCs w:val="30"/>
        </w:rPr>
      </w:pPr>
    </w:p>
    <w:p w14:paraId="39F3853E">
      <w:pPr>
        <w:rPr>
          <w:rFonts w:ascii="宋体" w:hAnsi="宋体" w:cs="Arial"/>
          <w:color w:val="000000"/>
          <w:sz w:val="30"/>
          <w:szCs w:val="30"/>
        </w:rPr>
      </w:pPr>
    </w:p>
    <w:p w14:paraId="3AA759D8">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6</w:t>
      </w:r>
    </w:p>
    <w:p w14:paraId="06418ABD">
      <w:pPr>
        <w:ind w:firstLine="2891" w:firstLineChars="800"/>
        <w:rPr>
          <w:rFonts w:ascii="宋体" w:hAnsi="宋体" w:cs="宋体"/>
          <w:b/>
          <w:bCs/>
          <w:sz w:val="36"/>
          <w:szCs w:val="36"/>
        </w:rPr>
      </w:pPr>
      <w:r>
        <w:rPr>
          <w:rFonts w:hint="eastAsia" w:ascii="宋体" w:hAnsi="宋体" w:cs="宋体"/>
          <w:b/>
          <w:bCs/>
          <w:sz w:val="36"/>
          <w:szCs w:val="36"/>
        </w:rPr>
        <w:t>投标人资格和文件有效性审查表</w:t>
      </w:r>
    </w:p>
    <w:p w14:paraId="2744D90D">
      <w:pPr>
        <w:ind w:firstLine="2891" w:firstLineChars="800"/>
        <w:rPr>
          <w:rFonts w:ascii="宋体" w:hAnsi="宋体" w:cs="宋体"/>
          <w:b/>
          <w:bCs/>
          <w:sz w:val="36"/>
          <w:szCs w:val="36"/>
        </w:rPr>
      </w:pPr>
    </w:p>
    <w:p w14:paraId="37B8A35C">
      <w:pPr>
        <w:spacing w:line="360" w:lineRule="auto"/>
        <w:rPr>
          <w:rFonts w:hint="default" w:ascii="宋体" w:hAnsi="宋体" w:eastAsia="宋体"/>
          <w:bCs/>
          <w:szCs w:val="21"/>
          <w:lang w:val="en-US" w:eastAsia="zh-CN"/>
        </w:rPr>
      </w:pPr>
      <w:r>
        <w:rPr>
          <w:rFonts w:hint="eastAsia" w:ascii="宋体" w:hAnsi="宋体"/>
          <w:bCs/>
          <w:szCs w:val="21"/>
        </w:rPr>
        <w:t>项目名称：研发管沟B分支、E分支、中环21-23水电仓（共11个仓段）远程监控</w:t>
      </w:r>
      <w:r>
        <w:rPr>
          <w:rFonts w:hint="eastAsia" w:ascii="宋体" w:hAnsi="宋体"/>
          <w:bCs/>
          <w:szCs w:val="21"/>
          <w:lang w:eastAsia="zh-CN"/>
        </w:rPr>
        <w:t>（</w:t>
      </w:r>
      <w:r>
        <w:rPr>
          <w:rFonts w:hint="eastAsia" w:ascii="宋体" w:hAnsi="宋体"/>
          <w:bCs/>
          <w:szCs w:val="21"/>
          <w:lang w:val="en-US" w:eastAsia="zh-CN"/>
        </w:rPr>
        <w:t>第三次）</w:t>
      </w:r>
    </w:p>
    <w:tbl>
      <w:tblPr>
        <w:tblStyle w:val="19"/>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1"/>
        <w:gridCol w:w="7272"/>
        <w:gridCol w:w="1134"/>
      </w:tblGrid>
      <w:tr w14:paraId="2E3F6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12" w:space="0"/>
              <w:left w:val="single" w:color="auto" w:sz="12" w:space="0"/>
              <w:bottom w:val="single" w:color="auto" w:sz="6" w:space="0"/>
              <w:right w:val="single" w:color="auto" w:sz="6" w:space="0"/>
            </w:tcBorders>
            <w:shd w:val="clear" w:color="auto" w:fill="auto"/>
            <w:vAlign w:val="center"/>
          </w:tcPr>
          <w:p w14:paraId="3234CB91">
            <w:pPr>
              <w:rPr>
                <w:rFonts w:ascii="宋体" w:hAnsi="宋体" w:cs="宋体"/>
                <w:bCs/>
                <w:szCs w:val="21"/>
              </w:rPr>
            </w:pPr>
            <w:r>
              <w:rPr>
                <w:rFonts w:hint="eastAsia" w:ascii="宋体" w:hAnsi="宋体" w:cs="宋体"/>
                <w:bCs/>
                <w:szCs w:val="21"/>
              </w:rPr>
              <w:t>序号</w:t>
            </w:r>
          </w:p>
        </w:tc>
        <w:tc>
          <w:tcPr>
            <w:tcW w:w="7272" w:type="dxa"/>
            <w:tcBorders>
              <w:top w:val="single" w:color="auto" w:sz="12" w:space="0"/>
              <w:left w:val="single" w:color="auto" w:sz="6" w:space="0"/>
              <w:bottom w:val="single" w:color="auto" w:sz="6" w:space="0"/>
              <w:right w:val="single" w:color="auto" w:sz="6" w:space="0"/>
            </w:tcBorders>
            <w:shd w:val="clear" w:color="auto" w:fill="auto"/>
            <w:vAlign w:val="center"/>
          </w:tcPr>
          <w:p w14:paraId="0AFED308">
            <w:pPr>
              <w:ind w:firstLine="422"/>
              <w:jc w:val="center"/>
              <w:rPr>
                <w:rFonts w:ascii="宋体" w:hAnsi="宋体" w:cs="宋体"/>
                <w:bCs/>
                <w:szCs w:val="21"/>
              </w:rPr>
            </w:pPr>
            <w:r>
              <w:rPr>
                <w:rFonts w:hint="eastAsia" w:ascii="宋体" w:hAnsi="宋体" w:cs="宋体"/>
                <w:bCs/>
                <w:szCs w:val="21"/>
              </w:rPr>
              <w:t>评审内容</w:t>
            </w:r>
          </w:p>
        </w:tc>
        <w:tc>
          <w:tcPr>
            <w:tcW w:w="1134" w:type="dxa"/>
            <w:tcBorders>
              <w:top w:val="single" w:color="auto" w:sz="12" w:space="0"/>
              <w:left w:val="single" w:color="auto" w:sz="6" w:space="0"/>
              <w:bottom w:val="single" w:color="auto" w:sz="6" w:space="0"/>
              <w:right w:val="single" w:color="auto" w:sz="12" w:space="0"/>
            </w:tcBorders>
            <w:shd w:val="clear" w:color="auto" w:fill="auto"/>
            <w:vAlign w:val="center"/>
          </w:tcPr>
          <w:p w14:paraId="0B2571D9">
            <w:pPr>
              <w:rPr>
                <w:rFonts w:ascii="宋体" w:hAnsi="宋体" w:cs="宋体"/>
                <w:bCs/>
                <w:szCs w:val="21"/>
              </w:rPr>
            </w:pPr>
            <w:r>
              <w:rPr>
                <w:rFonts w:hint="eastAsia" w:ascii="宋体" w:hAnsi="宋体" w:cs="宋体"/>
                <w:bCs/>
                <w:szCs w:val="21"/>
              </w:rPr>
              <w:t>备注</w:t>
            </w:r>
          </w:p>
        </w:tc>
      </w:tr>
      <w:tr w14:paraId="092F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57625AB1">
            <w:pPr>
              <w:rPr>
                <w:rFonts w:ascii="宋体" w:hAnsi="宋体" w:cs="宋体"/>
                <w:bCs/>
                <w:szCs w:val="21"/>
              </w:rPr>
            </w:pPr>
            <w:r>
              <w:rPr>
                <w:rFonts w:hint="eastAsia" w:ascii="宋体" w:hAnsi="宋体" w:cs="宋体"/>
                <w:bCs/>
                <w:szCs w:val="21"/>
              </w:rPr>
              <w:t>1</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F3525B5">
            <w:pPr>
              <w:jc w:val="left"/>
              <w:rPr>
                <w:rFonts w:ascii="宋体" w:hAnsi="宋体" w:cs="宋体"/>
                <w:bCs/>
                <w:szCs w:val="21"/>
              </w:rPr>
            </w:pPr>
            <w:r>
              <w:rPr>
                <w:rFonts w:hint="eastAsia" w:ascii="宋体" w:hAnsi="宋体" w:cs="宋体"/>
                <w:bCs/>
                <w:szCs w:val="21"/>
              </w:rPr>
              <w:t>必须是在中华人民共和国境内注册的法人或其他组织，具有独立法人资格，持有事业单位登记管理部门核发的事业单位法人证书或工商行政管理部门核发的企业法人营业执照，且在有效期内。</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7088513F">
            <w:pPr>
              <w:rPr>
                <w:rFonts w:ascii="宋体" w:hAnsi="宋体" w:cs="宋体"/>
                <w:bCs/>
                <w:szCs w:val="21"/>
              </w:rPr>
            </w:pPr>
            <w:r>
              <w:rPr>
                <w:rFonts w:hint="eastAsia" w:ascii="宋体" w:hAnsi="宋体" w:cs="宋体"/>
                <w:bCs/>
                <w:szCs w:val="21"/>
              </w:rPr>
              <w:t>　</w:t>
            </w:r>
          </w:p>
        </w:tc>
      </w:tr>
      <w:tr w14:paraId="5B1D3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460D091">
            <w:pPr>
              <w:rPr>
                <w:rFonts w:ascii="宋体" w:hAnsi="宋体" w:cs="宋体"/>
                <w:bCs/>
                <w:szCs w:val="21"/>
              </w:rPr>
            </w:pPr>
            <w:r>
              <w:rPr>
                <w:rFonts w:hint="eastAsia" w:ascii="宋体" w:hAnsi="宋体" w:cs="宋体"/>
                <w:bCs/>
                <w:szCs w:val="21"/>
              </w:rPr>
              <w:t>2</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785703D">
            <w:pPr>
              <w:jc w:val="left"/>
              <w:rPr>
                <w:rFonts w:ascii="宋体" w:hAnsi="宋体" w:cs="宋体"/>
                <w:bCs/>
                <w:szCs w:val="21"/>
              </w:rPr>
            </w:pPr>
            <w:r>
              <w:rPr>
                <w:rFonts w:hint="eastAsia" w:ascii="宋体" w:hAnsi="宋体" w:cs="Arial"/>
                <w:color w:val="000000"/>
                <w:szCs w:val="21"/>
              </w:rPr>
              <w:t>投标人未被列入国家企业信用信息公示系统（www.gsxt.gov.cn)中严重违法失信企业名单，且未被列入“信用中国”网站（www.creditchina.gov.cn）失信被执行人名单（附查询结果截图并打印页面加盖公章）。</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16327EA3">
            <w:pPr>
              <w:rPr>
                <w:rFonts w:ascii="宋体" w:hAnsi="宋体" w:cs="宋体"/>
                <w:bCs/>
                <w:szCs w:val="21"/>
              </w:rPr>
            </w:pPr>
            <w:r>
              <w:rPr>
                <w:rFonts w:hint="eastAsia" w:ascii="宋体" w:hAnsi="宋体" w:cs="宋体"/>
                <w:bCs/>
                <w:szCs w:val="21"/>
              </w:rPr>
              <w:t>　</w:t>
            </w:r>
          </w:p>
        </w:tc>
      </w:tr>
      <w:tr w14:paraId="08B0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A88D5DF">
            <w:pPr>
              <w:rPr>
                <w:rFonts w:ascii="宋体" w:hAnsi="宋体" w:cs="宋体"/>
                <w:bCs/>
                <w:szCs w:val="21"/>
              </w:rPr>
            </w:pPr>
            <w:r>
              <w:rPr>
                <w:rFonts w:hint="eastAsia" w:ascii="宋体" w:hAnsi="宋体" w:cs="宋体"/>
                <w:bCs/>
                <w:szCs w:val="21"/>
              </w:rPr>
              <w:t>3</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2BAA8586">
            <w:pPr>
              <w:jc w:val="left"/>
              <w:rPr>
                <w:rFonts w:ascii="宋体" w:hAnsi="宋体" w:cs="宋体"/>
                <w:bCs/>
                <w:szCs w:val="21"/>
              </w:rPr>
            </w:pPr>
            <w:r>
              <w:rPr>
                <w:rFonts w:hint="eastAsia" w:ascii="宋体" w:hAnsi="宋体" w:cs="Arial"/>
                <w:color w:val="000000"/>
                <w:szCs w:val="21"/>
              </w:rPr>
              <w:t>投标人没有处于被责令停业或破产状态，且资产未被重组、接管和冻结，声明在投标活动中</w:t>
            </w:r>
            <w:r>
              <w:rPr>
                <w:rFonts w:ascii="宋体" w:hAnsi="宋体" w:cs="Arial"/>
                <w:color w:val="000000"/>
                <w:szCs w:val="21"/>
              </w:rPr>
              <w:t>3年内没有重大违法活动和涉嫌违规行为（</w:t>
            </w:r>
            <w:r>
              <w:rPr>
                <w:rFonts w:hint="eastAsia" w:ascii="宋体" w:hAnsi="宋体" w:cs="Arial"/>
                <w:color w:val="000000"/>
                <w:szCs w:val="21"/>
              </w:rPr>
              <w:t>附投标声明函</w:t>
            </w:r>
            <w:r>
              <w:rPr>
                <w:rFonts w:ascii="宋体" w:hAnsi="宋体" w:cs="Arial"/>
                <w:color w:val="000000"/>
                <w:szCs w:val="21"/>
              </w:rPr>
              <w:t>）</w:t>
            </w:r>
            <w:r>
              <w:rPr>
                <w:rFonts w:hint="eastAsia" w:ascii="宋体" w:hAnsi="宋体" w:cs="Arial"/>
                <w:color w:val="000000"/>
                <w:szCs w:val="21"/>
              </w:rPr>
              <w:t>。</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4F24F9B2">
            <w:pPr>
              <w:rPr>
                <w:rFonts w:ascii="宋体" w:hAnsi="宋体" w:cs="宋体"/>
                <w:bCs/>
                <w:szCs w:val="21"/>
              </w:rPr>
            </w:pPr>
            <w:r>
              <w:rPr>
                <w:rFonts w:hint="eastAsia" w:ascii="宋体" w:hAnsi="宋体" w:cs="宋体"/>
                <w:bCs/>
                <w:szCs w:val="21"/>
              </w:rPr>
              <w:t>　</w:t>
            </w:r>
          </w:p>
        </w:tc>
      </w:tr>
      <w:tr w14:paraId="133FA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A71177D">
            <w:pPr>
              <w:rPr>
                <w:rFonts w:ascii="宋体" w:hAnsi="宋体" w:cs="宋体"/>
                <w:bCs/>
                <w:szCs w:val="21"/>
              </w:rPr>
            </w:pPr>
            <w:r>
              <w:rPr>
                <w:rFonts w:hint="eastAsia" w:ascii="宋体" w:hAnsi="宋体" w:cs="宋体"/>
                <w:bCs/>
                <w:szCs w:val="21"/>
              </w:rPr>
              <w:t>4</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433EAAF0">
            <w:pPr>
              <w:jc w:val="left"/>
              <w:rPr>
                <w:rFonts w:ascii="宋体" w:hAnsi="宋体" w:cs="宋体"/>
                <w:bCs/>
                <w:szCs w:val="21"/>
              </w:rPr>
            </w:pPr>
            <w:r>
              <w:rPr>
                <w:rFonts w:hint="eastAsia" w:ascii="宋体" w:hAnsi="宋体"/>
                <w:szCs w:val="21"/>
              </w:rPr>
              <w:t>投标人具备电子与智能化工程专业承包二级资质或以上资质。</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0C20180F">
            <w:pPr>
              <w:rPr>
                <w:rFonts w:ascii="宋体" w:hAnsi="宋体" w:cs="宋体"/>
                <w:bCs/>
                <w:szCs w:val="21"/>
              </w:rPr>
            </w:pPr>
            <w:r>
              <w:rPr>
                <w:rFonts w:hint="eastAsia" w:ascii="宋体" w:hAnsi="宋体" w:cs="宋体"/>
                <w:bCs/>
                <w:szCs w:val="21"/>
              </w:rPr>
              <w:t>　</w:t>
            </w:r>
          </w:p>
        </w:tc>
      </w:tr>
      <w:tr w14:paraId="76608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7D68CBD">
            <w:pPr>
              <w:rPr>
                <w:rFonts w:ascii="宋体" w:hAnsi="宋体" w:cs="宋体"/>
                <w:bCs/>
                <w:szCs w:val="21"/>
              </w:rPr>
            </w:pPr>
            <w:r>
              <w:rPr>
                <w:rFonts w:hint="eastAsia" w:ascii="宋体" w:hAnsi="宋体" w:cs="宋体"/>
                <w:bCs/>
                <w:szCs w:val="21"/>
              </w:rPr>
              <w:t>5</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4E057850">
            <w:pPr>
              <w:jc w:val="left"/>
              <w:rPr>
                <w:rFonts w:ascii="宋体" w:hAnsi="宋体" w:cs="宋体"/>
                <w:bCs/>
                <w:szCs w:val="21"/>
              </w:rPr>
            </w:pPr>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年1月1日至今) 完成过类似的系统采集、数据监控、程序控制业绩（需提供合同和验收记录等相关证明材料复印件）。</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6A48716">
            <w:pPr>
              <w:rPr>
                <w:rFonts w:ascii="宋体" w:hAnsi="宋体" w:cs="宋体"/>
                <w:bCs/>
                <w:szCs w:val="21"/>
              </w:rPr>
            </w:pPr>
            <w:r>
              <w:rPr>
                <w:rFonts w:hint="eastAsia" w:ascii="宋体" w:hAnsi="宋体" w:cs="宋体"/>
                <w:bCs/>
                <w:szCs w:val="21"/>
              </w:rPr>
              <w:t>　</w:t>
            </w:r>
          </w:p>
        </w:tc>
      </w:tr>
      <w:tr w14:paraId="56B01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EA02D53">
            <w:pPr>
              <w:rPr>
                <w:rFonts w:ascii="宋体" w:hAnsi="宋体" w:cs="宋体"/>
                <w:bCs/>
                <w:szCs w:val="21"/>
              </w:rPr>
            </w:pPr>
            <w:r>
              <w:rPr>
                <w:rFonts w:ascii="宋体" w:hAnsi="宋体" w:cs="宋体"/>
                <w:bCs/>
                <w:szCs w:val="21"/>
              </w:rPr>
              <w:t>6</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1FB0280D">
            <w:pPr>
              <w:jc w:val="left"/>
              <w:rPr>
                <w:rFonts w:ascii="宋体" w:hAnsi="宋体" w:cs="宋体"/>
                <w:bCs/>
                <w:szCs w:val="21"/>
              </w:rPr>
            </w:pPr>
            <w:r>
              <w:rPr>
                <w:rFonts w:hint="eastAsia" w:ascii="宋体" w:hAnsi="宋体" w:cs="宋体"/>
                <w:bCs/>
                <w:szCs w:val="21"/>
              </w:rPr>
              <w:t>投标文件按竞选文件的规定密封、盖章和签署；</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2CEF8183">
            <w:pPr>
              <w:rPr>
                <w:rFonts w:ascii="宋体" w:hAnsi="宋体" w:cs="宋体"/>
                <w:bCs/>
                <w:szCs w:val="21"/>
              </w:rPr>
            </w:pPr>
            <w:r>
              <w:rPr>
                <w:rFonts w:hint="eastAsia" w:ascii="宋体" w:hAnsi="宋体" w:cs="宋体"/>
                <w:bCs/>
                <w:szCs w:val="21"/>
              </w:rPr>
              <w:t>　</w:t>
            </w:r>
          </w:p>
        </w:tc>
      </w:tr>
      <w:tr w14:paraId="198BE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A7E998B">
            <w:pPr>
              <w:rPr>
                <w:rFonts w:ascii="宋体" w:hAnsi="宋体" w:cs="宋体"/>
                <w:bCs/>
                <w:szCs w:val="21"/>
              </w:rPr>
            </w:pPr>
            <w:r>
              <w:rPr>
                <w:rFonts w:ascii="宋体" w:hAnsi="宋体" w:cs="宋体"/>
                <w:bCs/>
                <w:szCs w:val="21"/>
              </w:rPr>
              <w:t>7</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0E2F3A9">
            <w:pPr>
              <w:jc w:val="left"/>
              <w:rPr>
                <w:rFonts w:ascii="宋体" w:hAnsi="宋体" w:cs="宋体"/>
                <w:bCs/>
                <w:szCs w:val="21"/>
              </w:rPr>
            </w:pPr>
            <w:r>
              <w:rPr>
                <w:rFonts w:hint="eastAsia" w:ascii="宋体" w:hAnsi="宋体" w:cs="宋体"/>
                <w:bCs/>
                <w:szCs w:val="21"/>
              </w:rPr>
              <w:t>投标文件按竞选文件规定的格式填写，内容无不全或关键字迹模糊、无法辩认情形；</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0A6C05FA">
            <w:pPr>
              <w:rPr>
                <w:rFonts w:ascii="宋体" w:hAnsi="宋体" w:cs="宋体"/>
                <w:bCs/>
                <w:szCs w:val="21"/>
              </w:rPr>
            </w:pPr>
            <w:r>
              <w:rPr>
                <w:rFonts w:hint="eastAsia" w:ascii="宋体" w:hAnsi="宋体" w:cs="宋体"/>
                <w:bCs/>
                <w:szCs w:val="21"/>
              </w:rPr>
              <w:t>　</w:t>
            </w:r>
          </w:p>
        </w:tc>
      </w:tr>
      <w:tr w14:paraId="4162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9739148">
            <w:pPr>
              <w:rPr>
                <w:rFonts w:ascii="宋体" w:hAnsi="宋体" w:cs="宋体"/>
                <w:bCs/>
                <w:szCs w:val="21"/>
              </w:rPr>
            </w:pPr>
            <w:r>
              <w:rPr>
                <w:rFonts w:ascii="宋体" w:hAnsi="宋体" w:cs="宋体"/>
                <w:bCs/>
                <w:szCs w:val="21"/>
              </w:rPr>
              <w:t>8</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13204E1">
            <w:pPr>
              <w:jc w:val="left"/>
              <w:rPr>
                <w:rFonts w:ascii="宋体" w:hAnsi="宋体" w:cs="宋体"/>
                <w:bCs/>
                <w:szCs w:val="21"/>
              </w:rPr>
            </w:pPr>
            <w:r>
              <w:rPr>
                <w:rFonts w:hint="eastAsia" w:ascii="宋体" w:hAnsi="宋体" w:cs="宋体"/>
                <w:bCs/>
                <w:szCs w:val="21"/>
              </w:rPr>
              <w:t>对同一竞选项目未出现两个或以上的投标报价，且没声明哪个有效；</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1D48C7E">
            <w:pPr>
              <w:rPr>
                <w:rFonts w:ascii="宋体" w:hAnsi="宋体" w:cs="宋体"/>
                <w:bCs/>
                <w:szCs w:val="21"/>
              </w:rPr>
            </w:pPr>
            <w:r>
              <w:rPr>
                <w:rFonts w:hint="eastAsia" w:ascii="宋体" w:hAnsi="宋体" w:cs="宋体"/>
                <w:bCs/>
                <w:szCs w:val="21"/>
              </w:rPr>
              <w:t>　</w:t>
            </w:r>
          </w:p>
        </w:tc>
      </w:tr>
      <w:tr w14:paraId="434B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6D53F814">
            <w:pPr>
              <w:rPr>
                <w:rFonts w:ascii="宋体" w:hAnsi="宋体" w:cs="宋体"/>
                <w:bCs/>
                <w:szCs w:val="21"/>
              </w:rPr>
            </w:pPr>
            <w:r>
              <w:rPr>
                <w:rFonts w:ascii="宋体" w:hAnsi="宋体" w:cs="宋体"/>
                <w:bCs/>
                <w:szCs w:val="21"/>
              </w:rPr>
              <w:t>9</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5850F79">
            <w:pPr>
              <w:jc w:val="left"/>
              <w:rPr>
                <w:rFonts w:ascii="宋体" w:hAnsi="宋体" w:cs="宋体"/>
                <w:bCs/>
                <w:szCs w:val="21"/>
              </w:rPr>
            </w:pPr>
            <w:r>
              <w:rPr>
                <w:rFonts w:hint="eastAsia" w:ascii="宋体" w:hAnsi="宋体" w:cs="宋体"/>
                <w:bCs/>
                <w:szCs w:val="21"/>
              </w:rPr>
              <w:t>投标总报价不高于采购限价；</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5766194">
            <w:pPr>
              <w:rPr>
                <w:rFonts w:ascii="宋体" w:hAnsi="宋体" w:cs="宋体"/>
                <w:bCs/>
                <w:szCs w:val="21"/>
              </w:rPr>
            </w:pPr>
            <w:r>
              <w:rPr>
                <w:rFonts w:hint="eastAsia" w:ascii="宋体" w:hAnsi="宋体" w:cs="宋体"/>
                <w:bCs/>
                <w:szCs w:val="21"/>
              </w:rPr>
              <w:t>　</w:t>
            </w:r>
          </w:p>
        </w:tc>
      </w:tr>
      <w:tr w14:paraId="443D1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9ED2C08">
            <w:pPr>
              <w:rPr>
                <w:rFonts w:ascii="宋体" w:hAnsi="宋体" w:cs="宋体"/>
                <w:bCs/>
                <w:szCs w:val="21"/>
              </w:rPr>
            </w:pPr>
            <w:r>
              <w:rPr>
                <w:rFonts w:hint="eastAsia" w:ascii="宋体" w:hAnsi="宋体" w:cs="宋体"/>
                <w:bCs/>
                <w:szCs w:val="21"/>
              </w:rPr>
              <w:t>1</w:t>
            </w:r>
            <w:r>
              <w:rPr>
                <w:rFonts w:ascii="宋体" w:hAnsi="宋体" w:cs="宋体"/>
                <w:bCs/>
                <w:szCs w:val="21"/>
              </w:rPr>
              <w:t>0</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228C3D2C">
            <w:pPr>
              <w:jc w:val="left"/>
              <w:rPr>
                <w:rFonts w:ascii="宋体" w:hAnsi="宋体" w:cs="宋体"/>
                <w:bCs/>
                <w:szCs w:val="21"/>
              </w:rPr>
            </w:pPr>
            <w:r>
              <w:rPr>
                <w:rFonts w:hint="eastAsia" w:ascii="宋体" w:hAnsi="宋体" w:cs="宋体"/>
                <w:bCs/>
                <w:szCs w:val="21"/>
              </w:rPr>
              <w:t>投标总报价不低于企业自身成本；</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846991C">
            <w:pPr>
              <w:rPr>
                <w:rFonts w:ascii="宋体" w:hAnsi="宋体" w:cs="宋体"/>
                <w:bCs/>
                <w:szCs w:val="21"/>
              </w:rPr>
            </w:pPr>
            <w:r>
              <w:rPr>
                <w:rFonts w:hint="eastAsia" w:ascii="宋体" w:hAnsi="宋体" w:cs="宋体"/>
                <w:bCs/>
                <w:szCs w:val="21"/>
              </w:rPr>
              <w:t>　</w:t>
            </w:r>
          </w:p>
        </w:tc>
      </w:tr>
      <w:tr w14:paraId="4A09B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2E3021D8">
            <w:pPr>
              <w:rPr>
                <w:rFonts w:ascii="宋体" w:hAnsi="宋体" w:cs="宋体"/>
                <w:bCs/>
                <w:szCs w:val="21"/>
              </w:rPr>
            </w:pPr>
            <w:r>
              <w:rPr>
                <w:rFonts w:hint="eastAsia" w:ascii="宋体" w:hAnsi="宋体" w:cs="宋体"/>
                <w:bCs/>
                <w:szCs w:val="21"/>
              </w:rPr>
              <w:t>1</w:t>
            </w:r>
            <w:r>
              <w:rPr>
                <w:rFonts w:ascii="宋体" w:hAnsi="宋体" w:cs="宋体"/>
                <w:bCs/>
                <w:szCs w:val="21"/>
              </w:rPr>
              <w:t>1</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30756BA6">
            <w:pPr>
              <w:jc w:val="left"/>
              <w:rPr>
                <w:rFonts w:ascii="宋体" w:hAnsi="宋体" w:cs="宋体"/>
                <w:bCs/>
                <w:szCs w:val="21"/>
              </w:rPr>
            </w:pPr>
            <w:r>
              <w:rPr>
                <w:rFonts w:hint="eastAsia" w:ascii="宋体" w:hAnsi="宋体" w:cs="宋体"/>
                <w:bCs/>
                <w:szCs w:val="21"/>
              </w:rPr>
              <w:t>工期满足竞选文件要求的；</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48236F11">
            <w:pPr>
              <w:rPr>
                <w:rFonts w:ascii="宋体" w:hAnsi="宋体" w:cs="宋体"/>
                <w:bCs/>
                <w:szCs w:val="21"/>
              </w:rPr>
            </w:pPr>
            <w:r>
              <w:rPr>
                <w:rFonts w:hint="eastAsia" w:ascii="宋体" w:hAnsi="宋体" w:cs="宋体"/>
                <w:bCs/>
                <w:szCs w:val="21"/>
              </w:rPr>
              <w:t>　</w:t>
            </w:r>
          </w:p>
        </w:tc>
      </w:tr>
      <w:tr w14:paraId="6B13E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279328A">
            <w:pPr>
              <w:rPr>
                <w:rFonts w:ascii="宋体" w:hAnsi="宋体" w:cs="宋体"/>
                <w:bCs/>
                <w:szCs w:val="21"/>
              </w:rPr>
            </w:pPr>
            <w:r>
              <w:rPr>
                <w:rFonts w:hint="eastAsia" w:ascii="宋体" w:hAnsi="宋体" w:cs="宋体"/>
                <w:bCs/>
                <w:szCs w:val="21"/>
              </w:rPr>
              <w:t>1</w:t>
            </w:r>
            <w:r>
              <w:rPr>
                <w:rFonts w:ascii="宋体" w:hAnsi="宋体" w:cs="宋体"/>
                <w:bCs/>
                <w:szCs w:val="21"/>
              </w:rPr>
              <w:t>2</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11C248AE">
            <w:pPr>
              <w:jc w:val="left"/>
              <w:rPr>
                <w:rFonts w:ascii="宋体" w:hAnsi="宋体" w:cs="宋体"/>
                <w:bCs/>
                <w:szCs w:val="21"/>
              </w:rPr>
            </w:pPr>
            <w:r>
              <w:rPr>
                <w:rFonts w:hint="eastAsia" w:ascii="宋体" w:hAnsi="宋体" w:cs="宋体"/>
                <w:bCs/>
                <w:szCs w:val="21"/>
              </w:rPr>
              <w:t>投标文件未附有采购人不能接受的条件；</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F8DDA07">
            <w:pPr>
              <w:rPr>
                <w:rFonts w:ascii="宋体" w:hAnsi="宋体" w:cs="宋体"/>
                <w:bCs/>
                <w:szCs w:val="21"/>
              </w:rPr>
            </w:pPr>
            <w:r>
              <w:rPr>
                <w:rFonts w:hint="eastAsia" w:ascii="宋体" w:hAnsi="宋体" w:cs="宋体"/>
                <w:bCs/>
                <w:szCs w:val="21"/>
              </w:rPr>
              <w:t>　</w:t>
            </w:r>
          </w:p>
        </w:tc>
      </w:tr>
      <w:tr w14:paraId="697F7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1069653C">
            <w:pPr>
              <w:rPr>
                <w:rFonts w:ascii="宋体" w:hAnsi="宋体" w:cs="宋体"/>
                <w:bCs/>
                <w:szCs w:val="21"/>
              </w:rPr>
            </w:pPr>
            <w:r>
              <w:rPr>
                <w:rFonts w:hint="eastAsia" w:ascii="宋体" w:hAnsi="宋体" w:cs="宋体"/>
                <w:bCs/>
                <w:szCs w:val="21"/>
              </w:rPr>
              <w:t>1</w:t>
            </w:r>
            <w:r>
              <w:rPr>
                <w:rFonts w:ascii="宋体" w:hAnsi="宋体" w:cs="宋体"/>
                <w:bCs/>
                <w:szCs w:val="21"/>
              </w:rPr>
              <w:t>3</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6585CFD1">
            <w:pPr>
              <w:jc w:val="left"/>
              <w:rPr>
                <w:rFonts w:ascii="宋体" w:hAnsi="宋体" w:cs="宋体"/>
                <w:bCs/>
                <w:szCs w:val="21"/>
              </w:rPr>
            </w:pPr>
            <w:r>
              <w:rPr>
                <w:rFonts w:hint="eastAsia" w:ascii="宋体" w:hAnsi="宋体" w:cs="宋体"/>
                <w:bCs/>
                <w:szCs w:val="21"/>
              </w:rPr>
              <w:t>投标文件未附有不符合竞选文件中规定的其他实质性要求。</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1B15DE8">
            <w:pPr>
              <w:rPr>
                <w:rFonts w:ascii="宋体" w:hAnsi="宋体" w:cs="宋体"/>
                <w:bCs/>
                <w:szCs w:val="21"/>
              </w:rPr>
            </w:pPr>
            <w:r>
              <w:rPr>
                <w:rFonts w:hint="eastAsia" w:ascii="宋体" w:hAnsi="宋体" w:cs="宋体"/>
                <w:bCs/>
                <w:szCs w:val="21"/>
              </w:rPr>
              <w:t>　</w:t>
            </w:r>
          </w:p>
        </w:tc>
      </w:tr>
      <w:tr w14:paraId="5E4DA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B9EBA39">
            <w:pPr>
              <w:rPr>
                <w:rFonts w:ascii="宋体" w:hAnsi="宋体" w:cs="宋体"/>
                <w:bCs/>
                <w:szCs w:val="21"/>
              </w:rPr>
            </w:pPr>
            <w:r>
              <w:rPr>
                <w:rFonts w:ascii="宋体" w:hAnsi="宋体" w:cs="宋体"/>
                <w:bCs/>
                <w:szCs w:val="21"/>
              </w:rPr>
              <w:t>14</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89598EB">
            <w:pPr>
              <w:jc w:val="left"/>
              <w:rPr>
                <w:rFonts w:ascii="宋体" w:hAnsi="宋体" w:cs="宋体"/>
                <w:bCs/>
                <w:szCs w:val="21"/>
              </w:rPr>
            </w:pPr>
            <w:r>
              <w:rPr>
                <w:rFonts w:hint="eastAsia" w:ascii="宋体" w:hAnsi="宋体" w:cs="宋体"/>
                <w:bCs/>
                <w:sz w:val="21"/>
                <w:szCs w:val="21"/>
              </w:rPr>
              <w:t>投标人应具备专职安全员，安全员具有有效的专职安全员资格证</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5A042337">
            <w:pPr>
              <w:rPr>
                <w:rFonts w:ascii="宋体" w:hAnsi="宋体" w:cs="宋体"/>
                <w:bCs/>
                <w:szCs w:val="21"/>
              </w:rPr>
            </w:pPr>
            <w:r>
              <w:rPr>
                <w:rFonts w:hint="eastAsia" w:ascii="宋体" w:hAnsi="宋体" w:cs="宋体"/>
                <w:bCs/>
                <w:szCs w:val="21"/>
              </w:rPr>
              <w:t>　</w:t>
            </w:r>
          </w:p>
        </w:tc>
      </w:tr>
      <w:tr w14:paraId="0212B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51" w:type="dxa"/>
            <w:tcBorders>
              <w:top w:val="single" w:color="auto" w:sz="6" w:space="0"/>
              <w:left w:val="single" w:color="auto" w:sz="12" w:space="0"/>
              <w:bottom w:val="single" w:color="auto" w:sz="12" w:space="0"/>
              <w:right w:val="single" w:color="auto" w:sz="6" w:space="0"/>
            </w:tcBorders>
            <w:shd w:val="clear" w:color="auto" w:fill="auto"/>
            <w:vAlign w:val="center"/>
          </w:tcPr>
          <w:p w14:paraId="4B6AC1D0">
            <w:pPr>
              <w:rPr>
                <w:rFonts w:ascii="宋体" w:hAnsi="宋体" w:cs="宋体"/>
                <w:bCs/>
                <w:szCs w:val="21"/>
              </w:rPr>
            </w:pPr>
            <w:r>
              <w:rPr>
                <w:rFonts w:hint="eastAsia" w:ascii="宋体" w:hAnsi="宋体" w:cs="宋体"/>
                <w:bCs/>
                <w:szCs w:val="21"/>
              </w:rPr>
              <w:t>　</w:t>
            </w:r>
          </w:p>
        </w:tc>
        <w:tc>
          <w:tcPr>
            <w:tcW w:w="7272" w:type="dxa"/>
            <w:tcBorders>
              <w:top w:val="single" w:color="auto" w:sz="6" w:space="0"/>
              <w:left w:val="single" w:color="auto" w:sz="6" w:space="0"/>
              <w:bottom w:val="single" w:color="auto" w:sz="12" w:space="0"/>
              <w:right w:val="single" w:color="auto" w:sz="6" w:space="0"/>
            </w:tcBorders>
            <w:shd w:val="clear" w:color="auto" w:fill="auto"/>
            <w:vAlign w:val="center"/>
          </w:tcPr>
          <w:p w14:paraId="2B999904">
            <w:pPr>
              <w:jc w:val="left"/>
              <w:rPr>
                <w:rFonts w:ascii="宋体" w:hAnsi="宋体" w:cs="宋体"/>
                <w:bCs/>
                <w:szCs w:val="21"/>
              </w:rPr>
            </w:pPr>
            <w:r>
              <w:rPr>
                <w:rFonts w:hint="eastAsia" w:ascii="宋体" w:hAnsi="宋体" w:cs="宋体"/>
                <w:bCs/>
                <w:szCs w:val="21"/>
              </w:rPr>
              <w:t>评审结论（通过/不通过）</w:t>
            </w:r>
          </w:p>
        </w:tc>
        <w:tc>
          <w:tcPr>
            <w:tcW w:w="1134" w:type="dxa"/>
            <w:tcBorders>
              <w:top w:val="single" w:color="auto" w:sz="6" w:space="0"/>
              <w:left w:val="single" w:color="auto" w:sz="6" w:space="0"/>
              <w:bottom w:val="single" w:color="auto" w:sz="12" w:space="0"/>
              <w:right w:val="single" w:color="auto" w:sz="12" w:space="0"/>
            </w:tcBorders>
            <w:shd w:val="clear" w:color="auto" w:fill="auto"/>
            <w:vAlign w:val="center"/>
          </w:tcPr>
          <w:p w14:paraId="0DF85B3A">
            <w:pPr>
              <w:rPr>
                <w:rFonts w:ascii="宋体" w:hAnsi="宋体" w:cs="宋体"/>
                <w:bCs/>
                <w:szCs w:val="21"/>
              </w:rPr>
            </w:pPr>
            <w:r>
              <w:rPr>
                <w:rFonts w:hint="eastAsia" w:ascii="宋体" w:hAnsi="宋体" w:cs="宋体"/>
                <w:bCs/>
                <w:szCs w:val="21"/>
              </w:rPr>
              <w:t>　</w:t>
            </w:r>
          </w:p>
        </w:tc>
      </w:tr>
    </w:tbl>
    <w:p w14:paraId="4636B6F3">
      <w:pPr>
        <w:spacing w:before="120" w:beforeLines="50" w:after="120" w:afterLines="50" w:line="360" w:lineRule="auto"/>
        <w:ind w:firstLine="480" w:firstLineChars="200"/>
        <w:rPr>
          <w:rFonts w:ascii="宋体" w:hAnsi="宋体"/>
          <w:sz w:val="24"/>
        </w:rPr>
      </w:pPr>
      <w:r>
        <w:rPr>
          <w:rFonts w:hint="eastAsia" w:ascii="宋体" w:hAnsi="宋体"/>
          <w:sz w:val="24"/>
        </w:rPr>
        <w:t>注：</w:t>
      </w:r>
    </w:p>
    <w:p w14:paraId="688D9EDD">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14:paraId="06D5DD9C">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14:paraId="14249466">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14:paraId="3AEFDB3E">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14:paraId="2E354C3B">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14:paraId="735AB018">
      <w:pPr>
        <w:spacing w:before="120" w:beforeLines="50" w:after="120" w:afterLines="50" w:line="360" w:lineRule="auto"/>
        <w:ind w:firstLine="480" w:firstLineChars="200"/>
        <w:rPr>
          <w:rFonts w:ascii="宋体" w:hAnsi="宋体"/>
          <w:b/>
          <w:sz w:val="24"/>
        </w:rPr>
      </w:pPr>
      <w:r>
        <w:rPr>
          <w:rFonts w:hint="eastAsia" w:ascii="宋体" w:hAnsi="宋体"/>
          <w:bCs/>
          <w:sz w:val="24"/>
        </w:rPr>
        <w:t>日 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r>
        <w:rPr>
          <w:rFonts w:ascii="仿宋" w:hAnsi="仿宋" w:eastAsia="仿宋" w:cs="仿宋"/>
          <w:szCs w:val="21"/>
        </w:rPr>
        <w:br w:type="page"/>
      </w:r>
    </w:p>
    <w:p w14:paraId="048DF618">
      <w:pPr>
        <w:spacing w:line="360" w:lineRule="auto"/>
        <w:ind w:firstLine="480" w:firstLineChars="200"/>
        <w:jc w:val="center"/>
        <w:rPr>
          <w:rFonts w:ascii="仿宋_GB2312" w:hAnsi="宋体" w:eastAsia="仿宋_GB2312"/>
          <w:b/>
          <w:bCs/>
          <w:sz w:val="36"/>
          <w:szCs w:val="36"/>
        </w:rPr>
      </w:pPr>
      <w:r>
        <w:rPr>
          <w:rFonts w:hint="eastAsia" w:ascii="宋体" w:hAnsi="宋体"/>
          <w:bCs/>
          <w:sz w:val="24"/>
        </w:rPr>
        <w:t>附件</w:t>
      </w:r>
      <w:bookmarkStart w:id="22" w:name="_Toc357690617"/>
      <w:r>
        <w:rPr>
          <w:rFonts w:ascii="宋体" w:hAnsi="宋体"/>
          <w:bCs/>
          <w:sz w:val="24"/>
        </w:rPr>
        <w:t>7</w:t>
      </w:r>
      <w:r>
        <w:rPr>
          <w:rFonts w:hint="eastAsia" w:ascii="仿宋_GB2312" w:hAnsi="宋体" w:eastAsia="仿宋_GB2312"/>
          <w:b/>
          <w:sz w:val="24"/>
          <w:szCs w:val="36"/>
        </w:rPr>
        <w:t>研发管沟</w:t>
      </w:r>
      <w:r>
        <w:rPr>
          <w:rFonts w:ascii="仿宋_GB2312" w:hAnsi="宋体" w:eastAsia="仿宋_GB2312"/>
          <w:b/>
          <w:sz w:val="24"/>
          <w:szCs w:val="36"/>
        </w:rPr>
        <w:t>B分支、E分支、中环21-23水电仓（共11个仓段）远程监控采购需求书</w:t>
      </w:r>
    </w:p>
    <w:p w14:paraId="0F2E27E8">
      <w:pPr>
        <w:numPr>
          <w:ilvl w:val="0"/>
          <w:numId w:val="22"/>
        </w:numPr>
        <w:spacing w:line="120" w:lineRule="atLeast"/>
        <w:outlineLvl w:val="1"/>
        <w:rPr>
          <w:rFonts w:ascii="宋体" w:hAnsi="宋体"/>
          <w:b/>
          <w:szCs w:val="21"/>
        </w:rPr>
      </w:pPr>
      <w:r>
        <w:rPr>
          <w:rFonts w:hint="eastAsia" w:ascii="宋体" w:hAnsi="宋体"/>
          <w:b/>
          <w:szCs w:val="21"/>
        </w:rPr>
        <w:t>工程概况</w:t>
      </w:r>
      <w:bookmarkEnd w:id="22"/>
    </w:p>
    <w:p w14:paraId="4F196EB5">
      <w:pPr>
        <w:numPr>
          <w:ilvl w:val="1"/>
          <w:numId w:val="23"/>
        </w:numPr>
        <w:spacing w:line="360" w:lineRule="auto"/>
        <w:rPr>
          <w:rFonts w:ascii="宋体" w:hAnsi="宋体"/>
          <w:bCs/>
          <w:szCs w:val="21"/>
        </w:rPr>
      </w:pPr>
      <w:r>
        <w:rPr>
          <w:rFonts w:hint="eastAsia" w:ascii="宋体" w:hAnsi="宋体"/>
          <w:szCs w:val="21"/>
        </w:rPr>
        <w:t>工程名称：研发管沟</w:t>
      </w:r>
      <w:r>
        <w:rPr>
          <w:rFonts w:ascii="宋体" w:hAnsi="宋体"/>
          <w:szCs w:val="21"/>
        </w:rPr>
        <w:t>B分支、E分支、中环21-23水电仓（共11个仓段）远程监控</w:t>
      </w:r>
    </w:p>
    <w:p w14:paraId="6F099ADB">
      <w:pPr>
        <w:numPr>
          <w:ilvl w:val="1"/>
          <w:numId w:val="23"/>
        </w:numPr>
        <w:spacing w:line="360" w:lineRule="auto"/>
        <w:rPr>
          <w:rFonts w:ascii="宋体" w:hAnsi="宋体"/>
          <w:szCs w:val="21"/>
        </w:rPr>
      </w:pPr>
      <w:r>
        <w:rPr>
          <w:rFonts w:hint="eastAsia" w:ascii="宋体" w:hAnsi="宋体"/>
          <w:szCs w:val="21"/>
        </w:rPr>
        <w:t>工程地点：广州大学城综合管沟</w:t>
      </w:r>
    </w:p>
    <w:p w14:paraId="5770B124">
      <w:pPr>
        <w:numPr>
          <w:ilvl w:val="1"/>
          <w:numId w:val="23"/>
        </w:numPr>
        <w:spacing w:line="360" w:lineRule="auto"/>
        <w:rPr>
          <w:rFonts w:ascii="宋体" w:hAnsi="宋体"/>
          <w:szCs w:val="21"/>
        </w:rPr>
      </w:pPr>
      <w:r>
        <w:rPr>
          <w:rFonts w:hint="eastAsia" w:ascii="宋体" w:hAnsi="宋体"/>
          <w:szCs w:val="21"/>
        </w:rPr>
        <w:t>工程项目简介：</w:t>
      </w:r>
    </w:p>
    <w:p w14:paraId="2077A8E8">
      <w:pPr>
        <w:pStyle w:val="16"/>
        <w:shd w:val="clear" w:color="auto" w:fill="FFFFFF"/>
        <w:wordWrap w:val="0"/>
        <w:ind w:firstLine="420" w:firstLineChars="200"/>
        <w:rPr>
          <w:color w:val="000000"/>
          <w:sz w:val="21"/>
          <w:szCs w:val="21"/>
        </w:rPr>
      </w:pPr>
      <w:r>
        <w:rPr>
          <w:rFonts w:hint="eastAsia"/>
          <w:color w:val="000000"/>
          <w:sz w:val="21"/>
          <w:szCs w:val="21"/>
        </w:rPr>
        <w:t>管沟</w:t>
      </w:r>
      <w:r>
        <w:rPr>
          <w:color w:val="000000"/>
          <w:sz w:val="21"/>
          <w:szCs w:val="21"/>
        </w:rPr>
        <w:t>B分支、E分支、中环21-23水电仓（共11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14:paraId="2455648C">
      <w:pPr>
        <w:pStyle w:val="57"/>
        <w:numPr>
          <w:ilvl w:val="0"/>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7E353CF3">
      <w:pPr>
        <w:pStyle w:val="57"/>
        <w:numPr>
          <w:ilvl w:val="1"/>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53307E07">
      <w:pPr>
        <w:pStyle w:val="57"/>
        <w:numPr>
          <w:ilvl w:val="1"/>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34BBDD9C">
      <w:pPr>
        <w:pStyle w:val="57"/>
        <w:numPr>
          <w:ilvl w:val="1"/>
          <w:numId w:val="25"/>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449D6C8">
      <w:pPr>
        <w:pStyle w:val="16"/>
        <w:numPr>
          <w:ilvl w:val="2"/>
          <w:numId w:val="25"/>
        </w:numPr>
        <w:shd w:val="clear" w:color="auto" w:fill="FFFFFF"/>
        <w:tabs>
          <w:tab w:val="left" w:pos="312"/>
        </w:tabs>
        <w:wordWrap w:val="0"/>
        <w:rPr>
          <w:kern w:val="2"/>
          <w:sz w:val="21"/>
          <w:szCs w:val="21"/>
        </w:rPr>
      </w:pPr>
      <w:r>
        <w:rPr>
          <w:rFonts w:hint="eastAsia"/>
          <w:kern w:val="2"/>
          <w:sz w:val="21"/>
          <w:szCs w:val="21"/>
        </w:rPr>
        <w:t>由于无法提前通风，</w:t>
      </w:r>
      <w:r>
        <w:rPr>
          <w:kern w:val="2"/>
          <w:sz w:val="21"/>
          <w:szCs w:val="21"/>
        </w:rPr>
        <w:t>B分支、E分支、中环21-23水电</w:t>
      </w:r>
      <w:r>
        <w:rPr>
          <w:rFonts w:hint="eastAsia"/>
          <w:kern w:val="2"/>
          <w:sz w:val="21"/>
          <w:szCs w:val="21"/>
        </w:rPr>
        <w:t>仓段比其它仓段更潮湿，容易造成电气设备故障。</w:t>
      </w:r>
    </w:p>
    <w:p w14:paraId="54208C55">
      <w:pPr>
        <w:pStyle w:val="16"/>
        <w:numPr>
          <w:ilvl w:val="2"/>
          <w:numId w:val="25"/>
        </w:numPr>
        <w:shd w:val="clear" w:color="auto" w:fill="FFFFFF"/>
        <w:tabs>
          <w:tab w:val="left" w:pos="312"/>
        </w:tabs>
        <w:wordWrap w:val="0"/>
        <w:rPr>
          <w:kern w:val="2"/>
          <w:sz w:val="21"/>
          <w:szCs w:val="21"/>
        </w:rPr>
      </w:pPr>
      <w:r>
        <w:rPr>
          <w:rFonts w:hint="eastAsia"/>
          <w:kern w:val="2"/>
          <w:sz w:val="21"/>
          <w:szCs w:val="21"/>
        </w:rPr>
        <w:t>水泵运行状态不能在线监控，遇故障不能及时发现处理，造成烧坏水泵。</w:t>
      </w:r>
    </w:p>
    <w:p w14:paraId="56DD7C71">
      <w:pPr>
        <w:pStyle w:val="16"/>
        <w:numPr>
          <w:ilvl w:val="2"/>
          <w:numId w:val="25"/>
        </w:numPr>
        <w:shd w:val="clear" w:color="auto" w:fill="FFFFFF"/>
        <w:tabs>
          <w:tab w:val="left" w:pos="312"/>
        </w:tabs>
        <w:wordWrap w:val="0"/>
        <w:rPr>
          <w:kern w:val="2"/>
          <w:sz w:val="21"/>
          <w:szCs w:val="21"/>
        </w:rPr>
      </w:pPr>
      <w:r>
        <w:rPr>
          <w:rFonts w:hint="eastAsia"/>
          <w:kern w:val="2"/>
          <w:sz w:val="21"/>
          <w:szCs w:val="21"/>
        </w:rPr>
        <w:t>值班人员无法及时知道</w:t>
      </w:r>
      <w:r>
        <w:rPr>
          <w:kern w:val="2"/>
          <w:sz w:val="21"/>
          <w:szCs w:val="21"/>
        </w:rPr>
        <w:t>B分支、E分支、中环21-23水电仓仓段水浸情况，不能及时采取有效应急措施。</w:t>
      </w:r>
    </w:p>
    <w:p w14:paraId="15373F5A">
      <w:pPr>
        <w:pStyle w:val="16"/>
        <w:numPr>
          <w:ilvl w:val="2"/>
          <w:numId w:val="25"/>
        </w:numPr>
        <w:shd w:val="clear" w:color="auto" w:fill="FFFFFF"/>
        <w:tabs>
          <w:tab w:val="left" w:pos="312"/>
        </w:tabs>
        <w:wordWrap w:val="0"/>
        <w:rPr>
          <w:kern w:val="2"/>
          <w:sz w:val="21"/>
          <w:szCs w:val="21"/>
        </w:rPr>
      </w:pPr>
      <w:r>
        <w:rPr>
          <w:rFonts w:hint="eastAsia"/>
          <w:kern w:val="2"/>
          <w:sz w:val="21"/>
          <w:szCs w:val="21"/>
        </w:rPr>
        <w:t>环境监测设备停用、设备线路老化造成自控系统误报警增多，存在安全隐患。</w:t>
      </w:r>
    </w:p>
    <w:p w14:paraId="215C7A62">
      <w:pPr>
        <w:pStyle w:val="16"/>
        <w:numPr>
          <w:ilvl w:val="2"/>
          <w:numId w:val="25"/>
        </w:numPr>
        <w:shd w:val="clear" w:color="auto" w:fill="FFFFFF"/>
        <w:tabs>
          <w:tab w:val="left" w:pos="312"/>
        </w:tabs>
        <w:wordWrap w:val="0"/>
        <w:rPr>
          <w:kern w:val="2"/>
          <w:sz w:val="21"/>
          <w:szCs w:val="21"/>
        </w:rPr>
      </w:pPr>
      <w:r>
        <w:rPr>
          <w:rFonts w:hint="eastAsia"/>
          <w:kern w:val="2"/>
          <w:sz w:val="21"/>
          <w:szCs w:val="21"/>
        </w:rPr>
        <w:t>自控系统数据不能远传至枢纽楼。</w:t>
      </w:r>
    </w:p>
    <w:p w14:paraId="68BF3BB8">
      <w:pPr>
        <w:pStyle w:val="16"/>
        <w:numPr>
          <w:ilvl w:val="2"/>
          <w:numId w:val="25"/>
        </w:numPr>
        <w:shd w:val="clear" w:color="auto" w:fill="FFFFFF"/>
        <w:tabs>
          <w:tab w:val="left" w:pos="312"/>
        </w:tabs>
        <w:wordWrap w:val="0"/>
        <w:rPr>
          <w:kern w:val="2"/>
          <w:sz w:val="21"/>
          <w:szCs w:val="21"/>
        </w:rPr>
      </w:pPr>
      <w:r>
        <w:rPr>
          <w:rFonts w:hint="eastAsia"/>
          <w:kern w:val="2"/>
          <w:sz w:val="21"/>
          <w:szCs w:val="21"/>
        </w:rPr>
        <w:t>自控系统上位机软件、</w:t>
      </w:r>
      <w:r>
        <w:rPr>
          <w:kern w:val="2"/>
          <w:sz w:val="21"/>
          <w:szCs w:val="21"/>
        </w:rPr>
        <w:t>PLC</w:t>
      </w:r>
      <w:r>
        <w:rPr>
          <w:rFonts w:hint="eastAsia"/>
          <w:kern w:val="2"/>
          <w:sz w:val="21"/>
          <w:szCs w:val="21"/>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14:paraId="3228C3E4">
      <w:pPr>
        <w:pStyle w:val="16"/>
        <w:shd w:val="clear" w:color="auto" w:fill="FFFFFF"/>
        <w:wordWrap w:val="0"/>
        <w:ind w:firstLine="420" w:firstLineChars="200"/>
        <w:rPr>
          <w:color w:val="000000"/>
          <w:sz w:val="21"/>
          <w:szCs w:val="21"/>
        </w:rPr>
      </w:pPr>
      <w:r>
        <w:rPr>
          <w:rFonts w:hint="eastAsia"/>
          <w:color w:val="000000"/>
          <w:sz w:val="21"/>
          <w:szCs w:val="21"/>
        </w:rPr>
        <w:t>为解决上述问题，提高生产效率，我部根据</w:t>
      </w:r>
      <w:r>
        <w:rPr>
          <w:color w:val="000000"/>
          <w:sz w:val="21"/>
          <w:szCs w:val="21"/>
        </w:rPr>
        <w:t>2024年度公司安全生产风险点（公司级隐患）整改计划表第6条：6月1日前完成风险点的整改，并将数据上传至能源中心，提出</w:t>
      </w:r>
      <w:r>
        <w:rPr>
          <w:rFonts w:hint="eastAsia"/>
          <w:color w:val="000000"/>
          <w:sz w:val="21"/>
          <w:szCs w:val="21"/>
        </w:rPr>
        <w:t>研发管沟</w:t>
      </w:r>
      <w:r>
        <w:rPr>
          <w:color w:val="000000"/>
          <w:sz w:val="21"/>
          <w:szCs w:val="21"/>
        </w:rPr>
        <w:t>B分支、E分支、中环21-23水电仓（共11个仓段）的远程监控。</w:t>
      </w:r>
    </w:p>
    <w:p w14:paraId="2D6C95BA">
      <w:pPr>
        <w:numPr>
          <w:ilvl w:val="0"/>
          <w:numId w:val="22"/>
        </w:numPr>
        <w:spacing w:line="120" w:lineRule="atLeast"/>
        <w:outlineLvl w:val="1"/>
        <w:rPr>
          <w:rFonts w:ascii="宋体" w:hAnsi="宋体"/>
          <w:b/>
          <w:szCs w:val="21"/>
        </w:rPr>
      </w:pPr>
      <w:r>
        <w:rPr>
          <w:rFonts w:hint="eastAsia" w:ascii="宋体" w:hAnsi="宋体"/>
          <w:b/>
          <w:szCs w:val="21"/>
        </w:rPr>
        <w:t>项目内容</w:t>
      </w:r>
    </w:p>
    <w:p w14:paraId="3E5AC38A">
      <w:pPr>
        <w:pStyle w:val="57"/>
        <w:widowControl w:val="0"/>
        <w:numPr>
          <w:ilvl w:val="0"/>
          <w:numId w:val="23"/>
        </w:numPr>
        <w:spacing w:line="360" w:lineRule="auto"/>
        <w:ind w:firstLineChars="0"/>
        <w:jc w:val="both"/>
        <w:rPr>
          <w:rFonts w:ascii="宋体" w:hAnsi="宋体" w:eastAsia="宋体"/>
          <w:vanish/>
          <w:kern w:val="2"/>
          <w:sz w:val="21"/>
          <w:szCs w:val="21"/>
          <w:lang w:eastAsia="zh-CN"/>
        </w:rPr>
      </w:pPr>
    </w:p>
    <w:p w14:paraId="29D73617">
      <w:pPr>
        <w:pStyle w:val="57"/>
        <w:widowControl w:val="0"/>
        <w:numPr>
          <w:ilvl w:val="0"/>
          <w:numId w:val="26"/>
        </w:numPr>
        <w:spacing w:line="360" w:lineRule="auto"/>
        <w:ind w:firstLineChars="0"/>
        <w:jc w:val="both"/>
        <w:rPr>
          <w:rFonts w:ascii="宋体" w:hAnsi="宋体" w:eastAsia="宋体"/>
          <w:vanish/>
          <w:kern w:val="2"/>
          <w:sz w:val="21"/>
          <w:szCs w:val="21"/>
          <w:lang w:eastAsia="zh-CN"/>
        </w:rPr>
      </w:pPr>
    </w:p>
    <w:p w14:paraId="503CC9A8">
      <w:pPr>
        <w:pStyle w:val="57"/>
        <w:widowControl w:val="0"/>
        <w:numPr>
          <w:ilvl w:val="0"/>
          <w:numId w:val="26"/>
        </w:numPr>
        <w:spacing w:line="360" w:lineRule="auto"/>
        <w:ind w:firstLineChars="0"/>
        <w:jc w:val="both"/>
        <w:rPr>
          <w:rFonts w:ascii="宋体" w:hAnsi="宋体" w:eastAsia="宋体"/>
          <w:vanish/>
          <w:kern w:val="2"/>
          <w:sz w:val="21"/>
          <w:szCs w:val="21"/>
          <w:lang w:eastAsia="zh-CN"/>
        </w:rPr>
      </w:pPr>
    </w:p>
    <w:p w14:paraId="7D03B9FF">
      <w:pPr>
        <w:numPr>
          <w:ilvl w:val="1"/>
          <w:numId w:val="26"/>
        </w:numPr>
        <w:ind w:left="0" w:firstLine="0"/>
        <w:jc w:val="left"/>
        <w:rPr>
          <w:rFonts w:ascii="宋体" w:hAnsi="宋体"/>
          <w:szCs w:val="21"/>
        </w:rPr>
      </w:pPr>
      <w:r>
        <w:rPr>
          <w:rFonts w:ascii="宋体" w:hAnsi="宋体"/>
          <w:szCs w:val="21"/>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14:paraId="6C74D70E">
      <w:pPr>
        <w:jc w:val="left"/>
        <w:rPr>
          <w:rFonts w:ascii="宋体" w:hAnsi="宋体"/>
          <w:szCs w:val="21"/>
        </w:rPr>
      </w:pPr>
      <w:r>
        <w:rPr>
          <w:rFonts w:ascii="宋体" w:hAnsi="宋体"/>
          <w:szCs w:val="21"/>
        </w:rPr>
        <w:drawing>
          <wp:inline distT="0" distB="0" distL="0" distR="0">
            <wp:extent cx="2714625" cy="229679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35245" cy="2314818"/>
                    </a:xfrm>
                    <a:prstGeom prst="rect">
                      <a:avLst/>
                    </a:prstGeom>
                    <a:noFill/>
                    <a:ln>
                      <a:noFill/>
                    </a:ln>
                  </pic:spPr>
                </pic:pic>
              </a:graphicData>
            </a:graphic>
          </wp:inline>
        </w:drawing>
      </w:r>
    </w:p>
    <w:p w14:paraId="0D299EFD">
      <w:pPr>
        <w:jc w:val="center"/>
        <w:rPr>
          <w:rFonts w:ascii="宋体" w:hAnsi="宋体"/>
          <w:szCs w:val="21"/>
        </w:rPr>
      </w:pPr>
      <w:r>
        <w:rPr>
          <w:rFonts w:hint="eastAsia" w:ascii="宋体" w:hAnsi="宋体"/>
          <w:szCs w:val="21"/>
        </w:rPr>
        <w:t>图</w:t>
      </w:r>
      <w:r>
        <w:rPr>
          <w:rFonts w:ascii="宋体" w:hAnsi="宋体"/>
          <w:szCs w:val="21"/>
        </w:rPr>
        <w:t>1：B</w:t>
      </w:r>
      <w:r>
        <w:rPr>
          <w:rFonts w:hint="eastAsia" w:ascii="宋体" w:hAnsi="宋体"/>
          <w:szCs w:val="21"/>
        </w:rPr>
        <w:t>分支壁挂式控制柜位置示意图</w:t>
      </w:r>
    </w:p>
    <w:p w14:paraId="4037A85A">
      <w:pPr>
        <w:jc w:val="left"/>
        <w:rPr>
          <w:rFonts w:ascii="宋体" w:hAnsi="宋体"/>
          <w:szCs w:val="21"/>
        </w:rPr>
      </w:pPr>
      <w:r>
        <w:rPr>
          <w:rFonts w:ascii="宋体" w:hAnsi="宋体"/>
          <w:szCs w:val="21"/>
        </w:rPr>
        <w:drawing>
          <wp:inline distT="0" distB="0" distL="0" distR="0">
            <wp:extent cx="3686175" cy="2959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11328" cy="2979801"/>
                    </a:xfrm>
                    <a:prstGeom prst="rect">
                      <a:avLst/>
                    </a:prstGeom>
                    <a:noFill/>
                    <a:ln>
                      <a:noFill/>
                    </a:ln>
                  </pic:spPr>
                </pic:pic>
              </a:graphicData>
            </a:graphic>
          </wp:inline>
        </w:drawing>
      </w:r>
    </w:p>
    <w:p w14:paraId="3DBA85C6">
      <w:pPr>
        <w:jc w:val="center"/>
        <w:rPr>
          <w:rFonts w:ascii="宋体" w:hAnsi="宋体"/>
          <w:szCs w:val="21"/>
        </w:rPr>
      </w:pPr>
      <w:r>
        <w:rPr>
          <w:rFonts w:hint="eastAsia" w:ascii="宋体" w:hAnsi="宋体"/>
          <w:szCs w:val="21"/>
        </w:rPr>
        <w:t>图</w:t>
      </w:r>
      <w:r>
        <w:rPr>
          <w:rFonts w:ascii="宋体" w:hAnsi="宋体"/>
          <w:szCs w:val="21"/>
        </w:rPr>
        <w:t>2：E</w:t>
      </w:r>
      <w:r>
        <w:rPr>
          <w:rFonts w:hint="eastAsia" w:ascii="宋体" w:hAnsi="宋体"/>
          <w:szCs w:val="21"/>
        </w:rPr>
        <w:t>分支、中环</w:t>
      </w:r>
      <w:r>
        <w:rPr>
          <w:rFonts w:ascii="宋体" w:hAnsi="宋体"/>
          <w:szCs w:val="21"/>
        </w:rPr>
        <w:t>21-23</w:t>
      </w:r>
      <w:r>
        <w:rPr>
          <w:rFonts w:hint="eastAsia" w:ascii="宋体" w:hAnsi="宋体"/>
          <w:szCs w:val="21"/>
        </w:rPr>
        <w:t>壁挂式控制柜位置示意图</w:t>
      </w:r>
    </w:p>
    <w:p w14:paraId="5BE84E08">
      <w:pPr>
        <w:numPr>
          <w:ilvl w:val="1"/>
          <w:numId w:val="26"/>
        </w:numPr>
        <w:ind w:left="0" w:firstLine="0"/>
        <w:jc w:val="left"/>
        <w:rPr>
          <w:rFonts w:ascii="宋体" w:hAnsi="宋体"/>
          <w:szCs w:val="21"/>
        </w:rPr>
      </w:pPr>
      <w:r>
        <w:rPr>
          <w:rFonts w:hint="eastAsia" w:ascii="宋体" w:hAnsi="宋体"/>
          <w:szCs w:val="21"/>
        </w:rPr>
        <w:t>原智能监控系统软件升级，更新系统和界面（点表名称中文化、上位机界面以电子地图展现每个仓点的状态、上位机界面展示每个仓点光纤的通讯），优化非必要的监控点位。</w:t>
      </w:r>
    </w:p>
    <w:p w14:paraId="11749467">
      <w:pPr>
        <w:numPr>
          <w:ilvl w:val="1"/>
          <w:numId w:val="26"/>
        </w:numPr>
        <w:ind w:left="0" w:firstLine="0"/>
        <w:jc w:val="left"/>
        <w:rPr>
          <w:rFonts w:ascii="宋体" w:hAnsi="宋体"/>
          <w:color w:val="FF0000"/>
          <w:szCs w:val="21"/>
        </w:rPr>
      </w:pPr>
      <w:r>
        <w:rPr>
          <w:rFonts w:hint="eastAsia" w:ascii="宋体" w:hAnsi="宋体"/>
          <w:szCs w:val="21"/>
        </w:rPr>
        <w:t>上位升级后，按技术部划分的</w:t>
      </w:r>
      <w:r>
        <w:rPr>
          <w:rFonts w:ascii="宋体" w:hAnsi="宋体"/>
          <w:szCs w:val="21"/>
        </w:rPr>
        <w:t>IP</w:t>
      </w:r>
      <w:r>
        <w:rPr>
          <w:rFonts w:hint="eastAsia" w:ascii="宋体" w:hAnsi="宋体"/>
          <w:szCs w:val="21"/>
        </w:rPr>
        <w:t>段分配好</w:t>
      </w:r>
      <w:r>
        <w:rPr>
          <w:rFonts w:ascii="宋体" w:hAnsi="宋体"/>
          <w:szCs w:val="21"/>
        </w:rPr>
        <w:t>63个仓和新增8个控制柜的IP地址到PLC。</w:t>
      </w:r>
    </w:p>
    <w:p w14:paraId="426AD4C7">
      <w:pPr>
        <w:numPr>
          <w:ilvl w:val="1"/>
          <w:numId w:val="26"/>
        </w:numPr>
        <w:ind w:left="0" w:firstLine="0"/>
        <w:jc w:val="left"/>
        <w:rPr>
          <w:rFonts w:ascii="宋体" w:hAnsi="宋体"/>
          <w:szCs w:val="21"/>
        </w:rPr>
      </w:pPr>
      <w:r>
        <w:rPr>
          <w:rFonts w:hint="eastAsia" w:ascii="宋体" w:hAnsi="宋体"/>
          <w:szCs w:val="21"/>
        </w:rPr>
        <w:t>通过网关转发数据至枢纽楼并集成到枢纽楼上位机系统，枢纽楼上位机与管沟上位机同步。</w:t>
      </w:r>
    </w:p>
    <w:p w14:paraId="673A349F">
      <w:pPr>
        <w:spacing w:line="120" w:lineRule="atLeast"/>
        <w:outlineLvl w:val="1"/>
        <w:rPr>
          <w:rFonts w:ascii="宋体" w:hAnsi="宋体"/>
          <w:b/>
          <w:szCs w:val="21"/>
        </w:rPr>
      </w:pPr>
    </w:p>
    <w:p w14:paraId="2DE336F1">
      <w:pPr>
        <w:numPr>
          <w:ilvl w:val="0"/>
          <w:numId w:val="22"/>
        </w:numPr>
        <w:spacing w:line="120" w:lineRule="atLeast"/>
        <w:outlineLvl w:val="1"/>
        <w:rPr>
          <w:rFonts w:ascii="宋体" w:hAnsi="宋体"/>
          <w:b/>
          <w:szCs w:val="21"/>
        </w:rPr>
      </w:pPr>
      <w:r>
        <w:rPr>
          <w:rFonts w:hint="eastAsia" w:ascii="宋体" w:hAnsi="宋体"/>
          <w:b/>
          <w:szCs w:val="21"/>
        </w:rPr>
        <w:t>工程量（预算55万）</w:t>
      </w:r>
    </w:p>
    <w:tbl>
      <w:tblPr>
        <w:tblStyle w:val="19"/>
        <w:tblW w:w="9080" w:type="dxa"/>
        <w:tblInd w:w="93" w:type="dxa"/>
        <w:tblLayout w:type="autofit"/>
        <w:tblCellMar>
          <w:top w:w="0" w:type="dxa"/>
          <w:left w:w="108" w:type="dxa"/>
          <w:bottom w:w="0" w:type="dxa"/>
          <w:right w:w="108" w:type="dxa"/>
        </w:tblCellMar>
      </w:tblPr>
      <w:tblGrid>
        <w:gridCol w:w="426"/>
        <w:gridCol w:w="1734"/>
        <w:gridCol w:w="3680"/>
        <w:gridCol w:w="1080"/>
        <w:gridCol w:w="1080"/>
        <w:gridCol w:w="1080"/>
      </w:tblGrid>
      <w:tr w14:paraId="45AFBEC4">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5BBB0454">
            <w:pPr>
              <w:widowControl/>
              <w:jc w:val="left"/>
              <w:rPr>
                <w:rFonts w:ascii="宋体" w:hAnsi="宋体" w:cs="Tahoma"/>
                <w:b/>
                <w:bCs/>
                <w:color w:val="000000"/>
                <w:kern w:val="0"/>
                <w:szCs w:val="21"/>
              </w:rPr>
            </w:pPr>
            <w:r>
              <w:rPr>
                <w:rFonts w:hint="eastAsia" w:ascii="宋体" w:hAnsi="宋体" w:cs="Tahoma"/>
                <w:b/>
                <w:bCs/>
                <w:color w:val="000000"/>
                <w:kern w:val="0"/>
                <w:szCs w:val="21"/>
              </w:rPr>
              <w:t>一、控制柜</w:t>
            </w:r>
          </w:p>
        </w:tc>
        <w:tc>
          <w:tcPr>
            <w:tcW w:w="3680" w:type="dxa"/>
            <w:tcBorders>
              <w:top w:val="single" w:color="auto" w:sz="4" w:space="0"/>
              <w:left w:val="nil"/>
              <w:bottom w:val="single" w:color="auto" w:sz="4" w:space="0"/>
              <w:right w:val="single" w:color="auto" w:sz="4" w:space="0"/>
            </w:tcBorders>
            <w:shd w:val="clear" w:color="000000" w:fill="FFFFFF"/>
            <w:noWrap/>
            <w:vAlign w:val="bottom"/>
          </w:tcPr>
          <w:p w14:paraId="3C767EB7">
            <w:pPr>
              <w:widowControl/>
              <w:jc w:val="center"/>
              <w:rPr>
                <w:rFonts w:ascii="宋体" w:hAnsi="宋体" w:cs="Tahoma"/>
                <w:b/>
                <w:bCs/>
                <w:color w:val="000000"/>
                <w:kern w:val="0"/>
                <w:szCs w:val="21"/>
              </w:rPr>
            </w:pPr>
            <w:r>
              <w:rPr>
                <w:rFonts w:hint="eastAsia" w:ascii="宋体" w:hAnsi="宋体" w:cs="Tahoma"/>
                <w:b/>
                <w:bCs/>
                <w:color w:val="000000"/>
                <w:kern w:val="0"/>
                <w:szCs w:val="21"/>
              </w:rPr>
              <w:t>规格需求</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09633F69">
            <w:pPr>
              <w:widowControl/>
              <w:jc w:val="center"/>
              <w:rPr>
                <w:rFonts w:ascii="宋体" w:hAnsi="宋体" w:cs="Tahoma"/>
                <w:b/>
                <w:bCs/>
                <w:color w:val="000000"/>
                <w:kern w:val="0"/>
                <w:szCs w:val="21"/>
              </w:rPr>
            </w:pPr>
            <w:r>
              <w:rPr>
                <w:rFonts w:hint="eastAsia" w:ascii="宋体" w:hAnsi="宋体" w:cs="Tahoma"/>
                <w:b/>
                <w:bCs/>
                <w:color w:val="000000"/>
                <w:kern w:val="0"/>
                <w:szCs w:val="21"/>
              </w:rPr>
              <w:t>品牌</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74F9ADA7">
            <w:pPr>
              <w:widowControl/>
              <w:jc w:val="center"/>
              <w:rPr>
                <w:rFonts w:ascii="宋体" w:hAnsi="宋体" w:cs="Tahoma"/>
                <w:b/>
                <w:bCs/>
                <w:color w:val="000000"/>
                <w:kern w:val="0"/>
                <w:szCs w:val="21"/>
              </w:rPr>
            </w:pPr>
            <w:r>
              <w:rPr>
                <w:rFonts w:hint="eastAsia" w:ascii="宋体" w:hAnsi="宋体" w:cs="Tahoma"/>
                <w:b/>
                <w:bCs/>
                <w:color w:val="000000"/>
                <w:kern w:val="0"/>
                <w:szCs w:val="21"/>
              </w:rPr>
              <w:t>数量</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541663DA">
            <w:pPr>
              <w:widowControl/>
              <w:jc w:val="center"/>
              <w:rPr>
                <w:rFonts w:ascii="宋体" w:hAnsi="宋体" w:cs="Tahoma"/>
                <w:b/>
                <w:bCs/>
                <w:color w:val="000000"/>
                <w:kern w:val="0"/>
                <w:szCs w:val="21"/>
              </w:rPr>
            </w:pPr>
            <w:r>
              <w:rPr>
                <w:rFonts w:hint="eastAsia" w:ascii="宋体" w:hAnsi="宋体" w:cs="Tahoma"/>
                <w:b/>
                <w:bCs/>
                <w:color w:val="000000"/>
                <w:kern w:val="0"/>
                <w:szCs w:val="21"/>
              </w:rPr>
              <w:t>单位</w:t>
            </w:r>
          </w:p>
        </w:tc>
      </w:tr>
      <w:tr w14:paraId="38FC91BA">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142507F">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vAlign w:val="center"/>
          </w:tcPr>
          <w:p w14:paraId="6277C409">
            <w:pPr>
              <w:widowControl/>
              <w:jc w:val="left"/>
              <w:rPr>
                <w:rFonts w:ascii="宋体" w:hAnsi="宋体" w:cs="Tahoma"/>
                <w:color w:val="000000"/>
                <w:kern w:val="0"/>
                <w:szCs w:val="21"/>
              </w:rPr>
            </w:pPr>
            <w:r>
              <w:rPr>
                <w:rFonts w:ascii="宋体" w:hAnsi="宋体" w:cs="Tahoma"/>
                <w:color w:val="000000"/>
                <w:kern w:val="0"/>
                <w:szCs w:val="21"/>
              </w:rPr>
              <w:t>PLC-B-1</w:t>
            </w:r>
          </w:p>
        </w:tc>
        <w:tc>
          <w:tcPr>
            <w:tcW w:w="3680" w:type="dxa"/>
            <w:tcBorders>
              <w:top w:val="nil"/>
              <w:left w:val="nil"/>
              <w:bottom w:val="single" w:color="auto" w:sz="4" w:space="0"/>
              <w:right w:val="single" w:color="auto" w:sz="4" w:space="0"/>
            </w:tcBorders>
            <w:shd w:val="clear" w:color="auto" w:fill="auto"/>
          </w:tcPr>
          <w:p w14:paraId="1F9C85EC">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1DD04CE6">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5CEAD76">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89A40FC">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77B5C771">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04378CA">
            <w:pPr>
              <w:widowControl/>
              <w:jc w:val="center"/>
              <w:rPr>
                <w:rFonts w:ascii="宋体" w:hAnsi="宋体" w:cs="Tahoma"/>
                <w:color w:val="000000"/>
                <w:kern w:val="0"/>
                <w:szCs w:val="21"/>
              </w:rPr>
            </w:pPr>
            <w:r>
              <w:rPr>
                <w:rFonts w:ascii="宋体" w:hAnsi="宋体" w:cs="Tahoma"/>
                <w:color w:val="000000"/>
                <w:kern w:val="0"/>
                <w:szCs w:val="21"/>
              </w:rPr>
              <w:t>2</w:t>
            </w:r>
          </w:p>
        </w:tc>
        <w:tc>
          <w:tcPr>
            <w:tcW w:w="1734" w:type="dxa"/>
            <w:tcBorders>
              <w:top w:val="nil"/>
              <w:left w:val="nil"/>
              <w:bottom w:val="single" w:color="auto" w:sz="4" w:space="0"/>
              <w:right w:val="single" w:color="auto" w:sz="4" w:space="0"/>
            </w:tcBorders>
            <w:shd w:val="clear" w:color="000000" w:fill="FFFFFF"/>
            <w:vAlign w:val="center"/>
          </w:tcPr>
          <w:p w14:paraId="3B95BC83">
            <w:pPr>
              <w:widowControl/>
              <w:jc w:val="left"/>
              <w:rPr>
                <w:rFonts w:ascii="宋体" w:hAnsi="宋体" w:cs="Tahoma"/>
                <w:color w:val="000000"/>
                <w:kern w:val="0"/>
                <w:szCs w:val="21"/>
              </w:rPr>
            </w:pPr>
            <w:r>
              <w:rPr>
                <w:rFonts w:ascii="宋体" w:hAnsi="宋体" w:cs="Tahoma"/>
                <w:color w:val="000000"/>
                <w:kern w:val="0"/>
                <w:szCs w:val="21"/>
              </w:rPr>
              <w:t>PLC-B-2</w:t>
            </w:r>
          </w:p>
        </w:tc>
        <w:tc>
          <w:tcPr>
            <w:tcW w:w="3680" w:type="dxa"/>
            <w:tcBorders>
              <w:top w:val="nil"/>
              <w:left w:val="nil"/>
              <w:bottom w:val="single" w:color="auto" w:sz="4" w:space="0"/>
              <w:right w:val="single" w:color="auto" w:sz="4" w:space="0"/>
            </w:tcBorders>
            <w:shd w:val="clear" w:color="auto" w:fill="auto"/>
          </w:tcPr>
          <w:p w14:paraId="643A033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4152C0FA">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A904A9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384FF4D1">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D0BA3F3">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3D70499">
            <w:pPr>
              <w:widowControl/>
              <w:jc w:val="center"/>
              <w:rPr>
                <w:rFonts w:ascii="宋体" w:hAnsi="宋体" w:cs="Tahoma"/>
                <w:color w:val="000000"/>
                <w:kern w:val="0"/>
                <w:szCs w:val="21"/>
              </w:rPr>
            </w:pPr>
            <w:r>
              <w:rPr>
                <w:rFonts w:ascii="宋体" w:hAnsi="宋体" w:cs="Tahoma"/>
                <w:color w:val="000000"/>
                <w:kern w:val="0"/>
                <w:szCs w:val="21"/>
              </w:rPr>
              <w:t>3</w:t>
            </w:r>
          </w:p>
        </w:tc>
        <w:tc>
          <w:tcPr>
            <w:tcW w:w="1734" w:type="dxa"/>
            <w:tcBorders>
              <w:top w:val="nil"/>
              <w:left w:val="nil"/>
              <w:bottom w:val="single" w:color="auto" w:sz="4" w:space="0"/>
              <w:right w:val="single" w:color="auto" w:sz="4" w:space="0"/>
            </w:tcBorders>
            <w:shd w:val="clear" w:color="000000" w:fill="FFFFFF"/>
            <w:vAlign w:val="center"/>
          </w:tcPr>
          <w:p w14:paraId="61A04909">
            <w:pPr>
              <w:widowControl/>
              <w:jc w:val="left"/>
              <w:rPr>
                <w:rFonts w:ascii="宋体" w:hAnsi="宋体" w:cs="Tahoma"/>
                <w:color w:val="000000"/>
                <w:kern w:val="0"/>
                <w:szCs w:val="21"/>
              </w:rPr>
            </w:pPr>
            <w:r>
              <w:rPr>
                <w:rFonts w:ascii="宋体" w:hAnsi="宋体" w:cs="Tahoma"/>
                <w:color w:val="000000"/>
                <w:kern w:val="0"/>
                <w:szCs w:val="21"/>
              </w:rPr>
              <w:t>PLC-B-3</w:t>
            </w:r>
          </w:p>
        </w:tc>
        <w:tc>
          <w:tcPr>
            <w:tcW w:w="3680" w:type="dxa"/>
            <w:tcBorders>
              <w:top w:val="nil"/>
              <w:left w:val="nil"/>
              <w:bottom w:val="single" w:color="auto" w:sz="4" w:space="0"/>
              <w:right w:val="single" w:color="auto" w:sz="4" w:space="0"/>
            </w:tcBorders>
            <w:shd w:val="clear" w:color="auto" w:fill="auto"/>
          </w:tcPr>
          <w:p w14:paraId="060CFF97">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4BFFED2">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937B294">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0C2D963">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5BEE38C">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1F5E062">
            <w:pPr>
              <w:widowControl/>
              <w:jc w:val="center"/>
              <w:rPr>
                <w:rFonts w:ascii="宋体" w:hAnsi="宋体" w:cs="Tahoma"/>
                <w:color w:val="000000"/>
                <w:kern w:val="0"/>
                <w:szCs w:val="21"/>
              </w:rPr>
            </w:pPr>
            <w:r>
              <w:rPr>
                <w:rFonts w:ascii="宋体" w:hAnsi="宋体" w:cs="Tahoma"/>
                <w:color w:val="000000"/>
                <w:kern w:val="0"/>
                <w:szCs w:val="21"/>
              </w:rPr>
              <w:t>4</w:t>
            </w:r>
          </w:p>
        </w:tc>
        <w:tc>
          <w:tcPr>
            <w:tcW w:w="1734" w:type="dxa"/>
            <w:tcBorders>
              <w:top w:val="nil"/>
              <w:left w:val="nil"/>
              <w:bottom w:val="single" w:color="auto" w:sz="4" w:space="0"/>
              <w:right w:val="single" w:color="auto" w:sz="4" w:space="0"/>
            </w:tcBorders>
            <w:shd w:val="clear" w:color="000000" w:fill="FFFFFF"/>
            <w:vAlign w:val="center"/>
          </w:tcPr>
          <w:p w14:paraId="0E54C2D1">
            <w:pPr>
              <w:widowControl/>
              <w:jc w:val="left"/>
              <w:rPr>
                <w:rFonts w:ascii="宋体" w:hAnsi="宋体" w:cs="Tahoma"/>
                <w:color w:val="000000"/>
                <w:kern w:val="0"/>
                <w:szCs w:val="21"/>
              </w:rPr>
            </w:pPr>
            <w:r>
              <w:rPr>
                <w:rFonts w:ascii="宋体" w:hAnsi="宋体" w:cs="Tahoma"/>
                <w:color w:val="000000"/>
                <w:kern w:val="0"/>
                <w:szCs w:val="21"/>
              </w:rPr>
              <w:t>PLC-E-1</w:t>
            </w:r>
          </w:p>
        </w:tc>
        <w:tc>
          <w:tcPr>
            <w:tcW w:w="3680" w:type="dxa"/>
            <w:tcBorders>
              <w:top w:val="nil"/>
              <w:left w:val="nil"/>
              <w:bottom w:val="single" w:color="auto" w:sz="4" w:space="0"/>
              <w:right w:val="single" w:color="auto" w:sz="4" w:space="0"/>
            </w:tcBorders>
            <w:shd w:val="clear" w:color="auto" w:fill="auto"/>
          </w:tcPr>
          <w:p w14:paraId="7157B9F5">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02BEE4A">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36B4CC6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BC32A3D">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417A68FD">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D1DC569">
            <w:pPr>
              <w:widowControl/>
              <w:jc w:val="center"/>
              <w:rPr>
                <w:rFonts w:ascii="宋体" w:hAnsi="宋体" w:cs="Tahoma"/>
                <w:color w:val="000000"/>
                <w:kern w:val="0"/>
                <w:szCs w:val="21"/>
              </w:rPr>
            </w:pPr>
            <w:r>
              <w:rPr>
                <w:rFonts w:ascii="宋体" w:hAnsi="宋体" w:cs="Tahoma"/>
                <w:color w:val="000000"/>
                <w:kern w:val="0"/>
                <w:szCs w:val="21"/>
              </w:rPr>
              <w:t>5</w:t>
            </w:r>
          </w:p>
        </w:tc>
        <w:tc>
          <w:tcPr>
            <w:tcW w:w="1734" w:type="dxa"/>
            <w:tcBorders>
              <w:top w:val="nil"/>
              <w:left w:val="nil"/>
              <w:bottom w:val="single" w:color="auto" w:sz="4" w:space="0"/>
              <w:right w:val="single" w:color="auto" w:sz="4" w:space="0"/>
            </w:tcBorders>
            <w:shd w:val="clear" w:color="000000" w:fill="FFFFFF"/>
            <w:vAlign w:val="center"/>
          </w:tcPr>
          <w:p w14:paraId="654C44D3">
            <w:pPr>
              <w:widowControl/>
              <w:jc w:val="left"/>
              <w:rPr>
                <w:rFonts w:ascii="宋体" w:hAnsi="宋体" w:cs="Tahoma"/>
                <w:color w:val="000000"/>
                <w:kern w:val="0"/>
                <w:szCs w:val="21"/>
              </w:rPr>
            </w:pPr>
            <w:r>
              <w:rPr>
                <w:rFonts w:ascii="宋体" w:hAnsi="宋体" w:cs="Tahoma"/>
                <w:color w:val="000000"/>
                <w:kern w:val="0"/>
                <w:szCs w:val="21"/>
              </w:rPr>
              <w:t>PLC-E-2</w:t>
            </w:r>
          </w:p>
        </w:tc>
        <w:tc>
          <w:tcPr>
            <w:tcW w:w="3680" w:type="dxa"/>
            <w:tcBorders>
              <w:top w:val="nil"/>
              <w:left w:val="nil"/>
              <w:bottom w:val="single" w:color="auto" w:sz="4" w:space="0"/>
              <w:right w:val="single" w:color="auto" w:sz="4" w:space="0"/>
            </w:tcBorders>
            <w:shd w:val="clear" w:color="auto" w:fill="auto"/>
          </w:tcPr>
          <w:p w14:paraId="2E5659E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25932B98">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E27F0C3">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68AAF94">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2631441F">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F2DD476">
            <w:pPr>
              <w:widowControl/>
              <w:jc w:val="center"/>
              <w:rPr>
                <w:rFonts w:ascii="宋体" w:hAnsi="宋体" w:cs="Tahoma"/>
                <w:color w:val="000000"/>
                <w:kern w:val="0"/>
                <w:szCs w:val="21"/>
              </w:rPr>
            </w:pPr>
            <w:r>
              <w:rPr>
                <w:rFonts w:ascii="宋体" w:hAnsi="宋体" w:cs="Tahoma"/>
                <w:color w:val="000000"/>
                <w:kern w:val="0"/>
                <w:szCs w:val="21"/>
              </w:rPr>
              <w:t>6</w:t>
            </w:r>
          </w:p>
        </w:tc>
        <w:tc>
          <w:tcPr>
            <w:tcW w:w="1734" w:type="dxa"/>
            <w:tcBorders>
              <w:top w:val="nil"/>
              <w:left w:val="nil"/>
              <w:bottom w:val="single" w:color="auto" w:sz="4" w:space="0"/>
              <w:right w:val="single" w:color="auto" w:sz="4" w:space="0"/>
            </w:tcBorders>
            <w:shd w:val="clear" w:color="000000" w:fill="FFFFFF"/>
            <w:vAlign w:val="center"/>
          </w:tcPr>
          <w:p w14:paraId="21CD68EF">
            <w:pPr>
              <w:widowControl/>
              <w:jc w:val="left"/>
              <w:rPr>
                <w:rFonts w:ascii="宋体" w:hAnsi="宋体" w:cs="Tahoma"/>
                <w:color w:val="000000"/>
                <w:kern w:val="0"/>
                <w:szCs w:val="21"/>
              </w:rPr>
            </w:pPr>
            <w:r>
              <w:rPr>
                <w:rFonts w:ascii="宋体" w:hAnsi="宋体" w:cs="Tahoma"/>
                <w:color w:val="000000"/>
                <w:kern w:val="0"/>
                <w:szCs w:val="21"/>
              </w:rPr>
              <w:t>PLC-A-21</w:t>
            </w:r>
          </w:p>
        </w:tc>
        <w:tc>
          <w:tcPr>
            <w:tcW w:w="3680" w:type="dxa"/>
            <w:tcBorders>
              <w:top w:val="nil"/>
              <w:left w:val="nil"/>
              <w:bottom w:val="single" w:color="auto" w:sz="4" w:space="0"/>
              <w:right w:val="single" w:color="auto" w:sz="4" w:space="0"/>
            </w:tcBorders>
            <w:shd w:val="clear" w:color="auto" w:fill="auto"/>
          </w:tcPr>
          <w:p w14:paraId="6983560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CA0EF94">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B9383A2">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3EE35F60">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6E48EB4">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C2C261E">
            <w:pPr>
              <w:widowControl/>
              <w:jc w:val="center"/>
              <w:rPr>
                <w:rFonts w:ascii="宋体" w:hAnsi="宋体" w:cs="Tahoma"/>
                <w:color w:val="000000"/>
                <w:kern w:val="0"/>
                <w:szCs w:val="21"/>
              </w:rPr>
            </w:pPr>
            <w:r>
              <w:rPr>
                <w:rFonts w:ascii="宋体" w:hAnsi="宋体" w:cs="Tahoma"/>
                <w:color w:val="000000"/>
                <w:kern w:val="0"/>
                <w:szCs w:val="21"/>
              </w:rPr>
              <w:t>7</w:t>
            </w:r>
          </w:p>
        </w:tc>
        <w:tc>
          <w:tcPr>
            <w:tcW w:w="1734" w:type="dxa"/>
            <w:tcBorders>
              <w:top w:val="nil"/>
              <w:left w:val="nil"/>
              <w:bottom w:val="single" w:color="auto" w:sz="4" w:space="0"/>
              <w:right w:val="single" w:color="auto" w:sz="4" w:space="0"/>
            </w:tcBorders>
            <w:shd w:val="clear" w:color="000000" w:fill="FFFFFF"/>
            <w:vAlign w:val="center"/>
          </w:tcPr>
          <w:p w14:paraId="7D78DE64">
            <w:pPr>
              <w:widowControl/>
              <w:jc w:val="left"/>
              <w:rPr>
                <w:rFonts w:ascii="宋体" w:hAnsi="宋体" w:cs="Tahoma"/>
                <w:color w:val="000000"/>
                <w:kern w:val="0"/>
                <w:szCs w:val="21"/>
              </w:rPr>
            </w:pPr>
            <w:r>
              <w:rPr>
                <w:rFonts w:ascii="宋体" w:hAnsi="宋体" w:cs="Tahoma"/>
                <w:color w:val="000000"/>
                <w:kern w:val="0"/>
                <w:szCs w:val="21"/>
              </w:rPr>
              <w:t>PLC-A-22</w:t>
            </w:r>
          </w:p>
        </w:tc>
        <w:tc>
          <w:tcPr>
            <w:tcW w:w="3680" w:type="dxa"/>
            <w:tcBorders>
              <w:top w:val="nil"/>
              <w:left w:val="nil"/>
              <w:bottom w:val="single" w:color="auto" w:sz="4" w:space="0"/>
              <w:right w:val="single" w:color="auto" w:sz="4" w:space="0"/>
            </w:tcBorders>
            <w:shd w:val="clear" w:color="auto" w:fill="auto"/>
          </w:tcPr>
          <w:p w14:paraId="484D2A0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4C3CFC19">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7F308F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AA41092">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230CD53">
        <w:tblPrEx>
          <w:tblCellMar>
            <w:top w:w="0" w:type="dxa"/>
            <w:left w:w="108" w:type="dxa"/>
            <w:bottom w:w="0" w:type="dxa"/>
            <w:right w:w="108" w:type="dxa"/>
          </w:tblCellMar>
        </w:tblPrEx>
        <w:trPr>
          <w:trHeight w:val="144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30957A03">
            <w:pPr>
              <w:widowControl/>
              <w:jc w:val="center"/>
              <w:rPr>
                <w:rFonts w:ascii="宋体" w:hAnsi="宋体" w:cs="Tahoma"/>
                <w:color w:val="000000"/>
                <w:kern w:val="0"/>
                <w:szCs w:val="21"/>
              </w:rPr>
            </w:pPr>
            <w:r>
              <w:rPr>
                <w:rFonts w:ascii="宋体" w:hAnsi="宋体" w:cs="Tahoma"/>
                <w:color w:val="000000"/>
                <w:kern w:val="0"/>
                <w:szCs w:val="21"/>
              </w:rPr>
              <w:t>8</w:t>
            </w:r>
          </w:p>
        </w:tc>
        <w:tc>
          <w:tcPr>
            <w:tcW w:w="1734" w:type="dxa"/>
            <w:tcBorders>
              <w:top w:val="nil"/>
              <w:left w:val="nil"/>
              <w:bottom w:val="single" w:color="auto" w:sz="4" w:space="0"/>
              <w:right w:val="single" w:color="auto" w:sz="4" w:space="0"/>
            </w:tcBorders>
            <w:shd w:val="clear" w:color="000000" w:fill="FFFFFF"/>
            <w:vAlign w:val="center"/>
          </w:tcPr>
          <w:p w14:paraId="39C46BF9">
            <w:pPr>
              <w:widowControl/>
              <w:jc w:val="left"/>
              <w:rPr>
                <w:rFonts w:ascii="宋体" w:hAnsi="宋体" w:cs="Tahoma"/>
                <w:color w:val="000000"/>
                <w:kern w:val="0"/>
                <w:szCs w:val="21"/>
              </w:rPr>
            </w:pPr>
            <w:r>
              <w:rPr>
                <w:rFonts w:ascii="宋体" w:hAnsi="宋体" w:cs="Tahoma"/>
                <w:color w:val="000000"/>
                <w:kern w:val="0"/>
                <w:szCs w:val="21"/>
              </w:rPr>
              <w:t>PLC-A-23</w:t>
            </w:r>
          </w:p>
        </w:tc>
        <w:tc>
          <w:tcPr>
            <w:tcW w:w="3680" w:type="dxa"/>
            <w:tcBorders>
              <w:top w:val="nil"/>
              <w:left w:val="nil"/>
              <w:bottom w:val="single" w:color="auto" w:sz="4" w:space="0"/>
              <w:right w:val="single" w:color="auto" w:sz="4" w:space="0"/>
            </w:tcBorders>
            <w:shd w:val="clear" w:color="auto" w:fill="auto"/>
          </w:tcPr>
          <w:p w14:paraId="05F2C1C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6D21C50">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7E4BFCDF">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5A36685A">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F9F4598">
        <w:tblPrEx>
          <w:tblCellMar>
            <w:top w:w="0" w:type="dxa"/>
            <w:left w:w="108" w:type="dxa"/>
            <w:bottom w:w="0" w:type="dxa"/>
            <w:right w:w="108" w:type="dxa"/>
          </w:tblCellMar>
        </w:tblPrEx>
        <w:trPr>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08CE4E30">
            <w:pPr>
              <w:widowControl/>
              <w:jc w:val="left"/>
              <w:rPr>
                <w:rFonts w:ascii="宋体" w:hAnsi="宋体" w:cs="Tahoma"/>
                <w:b/>
                <w:bCs/>
                <w:color w:val="000000"/>
                <w:kern w:val="0"/>
                <w:szCs w:val="21"/>
              </w:rPr>
            </w:pPr>
            <w:r>
              <w:rPr>
                <w:rFonts w:hint="eastAsia" w:ascii="宋体" w:hAnsi="宋体" w:cs="Tahoma"/>
                <w:b/>
                <w:bCs/>
                <w:color w:val="000000"/>
                <w:kern w:val="0"/>
                <w:szCs w:val="21"/>
              </w:rPr>
              <w:t>二、网络通信柜</w:t>
            </w:r>
          </w:p>
        </w:tc>
        <w:tc>
          <w:tcPr>
            <w:tcW w:w="1080" w:type="dxa"/>
            <w:tcBorders>
              <w:top w:val="nil"/>
              <w:left w:val="nil"/>
              <w:bottom w:val="single" w:color="auto" w:sz="4" w:space="0"/>
              <w:right w:val="single" w:color="auto" w:sz="4" w:space="0"/>
            </w:tcBorders>
            <w:shd w:val="clear" w:color="000000" w:fill="FFFFFF"/>
            <w:noWrap/>
            <w:vAlign w:val="bottom"/>
          </w:tcPr>
          <w:p w14:paraId="2A6B65A2">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1E106688">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61F244A9">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01FDB05C">
        <w:tblPrEx>
          <w:tblCellMar>
            <w:top w:w="0" w:type="dxa"/>
            <w:left w:w="108" w:type="dxa"/>
            <w:bottom w:w="0" w:type="dxa"/>
            <w:right w:w="108" w:type="dxa"/>
          </w:tblCellMar>
        </w:tblPrEx>
        <w:trPr>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C9D2606">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vAlign w:val="center"/>
          </w:tcPr>
          <w:p w14:paraId="00012228">
            <w:pPr>
              <w:widowControl/>
              <w:jc w:val="left"/>
              <w:rPr>
                <w:rFonts w:ascii="宋体" w:hAnsi="宋体" w:cs="Tahoma"/>
                <w:color w:val="000000"/>
                <w:kern w:val="0"/>
                <w:szCs w:val="21"/>
              </w:rPr>
            </w:pPr>
            <w:r>
              <w:rPr>
                <w:rFonts w:hint="eastAsia" w:ascii="宋体" w:hAnsi="宋体" w:cs="Tahoma"/>
                <w:color w:val="000000"/>
                <w:kern w:val="0"/>
                <w:szCs w:val="21"/>
              </w:rPr>
              <w:t>控制柜</w:t>
            </w:r>
          </w:p>
        </w:tc>
        <w:tc>
          <w:tcPr>
            <w:tcW w:w="3680" w:type="dxa"/>
            <w:tcBorders>
              <w:top w:val="nil"/>
              <w:left w:val="nil"/>
              <w:bottom w:val="single" w:color="auto" w:sz="4" w:space="0"/>
              <w:right w:val="single" w:color="auto" w:sz="4" w:space="0"/>
            </w:tcBorders>
            <w:shd w:val="clear" w:color="000000" w:fill="FFFFFF"/>
            <w:vAlign w:val="bottom"/>
          </w:tcPr>
          <w:p w14:paraId="73BD7414">
            <w:pPr>
              <w:widowControl/>
              <w:jc w:val="left"/>
              <w:rPr>
                <w:rFonts w:ascii="宋体" w:hAnsi="宋体" w:cs="Tahoma"/>
                <w:color w:val="000000"/>
                <w:kern w:val="0"/>
                <w:szCs w:val="21"/>
              </w:rPr>
            </w:pPr>
            <w:r>
              <w:rPr>
                <w:rFonts w:hint="eastAsia" w:ascii="宋体" w:hAnsi="宋体" w:cs="Tahoma"/>
                <w:color w:val="000000"/>
                <w:kern w:val="0"/>
                <w:szCs w:val="21"/>
              </w:rPr>
              <w:t>含箱体，光纤盒、光纤交换机</w:t>
            </w:r>
            <w:r>
              <w:rPr>
                <w:rFonts w:ascii="宋体" w:hAnsi="宋体" w:cs="Tahoma"/>
                <w:color w:val="000000"/>
                <w:kern w:val="0"/>
                <w:szCs w:val="21"/>
              </w:rPr>
              <w:t>2光8口、光模块、断路器、电源、</w:t>
            </w:r>
            <w:r>
              <w:rPr>
                <w:rFonts w:hint="eastAsia" w:ascii="宋体" w:hAnsi="宋体" w:cs="Tahoma"/>
                <w:color w:val="000000"/>
                <w:kern w:val="0"/>
                <w:szCs w:val="21"/>
              </w:rPr>
              <w:t>快融保险丝、接线排子、及内部接线等控制附件。</w:t>
            </w:r>
          </w:p>
        </w:tc>
        <w:tc>
          <w:tcPr>
            <w:tcW w:w="1080" w:type="dxa"/>
            <w:tcBorders>
              <w:top w:val="nil"/>
              <w:left w:val="nil"/>
              <w:bottom w:val="single" w:color="auto" w:sz="4" w:space="0"/>
              <w:right w:val="single" w:color="auto" w:sz="4" w:space="0"/>
            </w:tcBorders>
            <w:shd w:val="clear" w:color="000000" w:fill="FFFFFF"/>
            <w:noWrap/>
            <w:vAlign w:val="center"/>
          </w:tcPr>
          <w:p w14:paraId="4113DAF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26578B14">
            <w:pPr>
              <w:widowControl/>
              <w:jc w:val="center"/>
              <w:rPr>
                <w:rFonts w:ascii="宋体" w:hAnsi="宋体" w:cs="Tahoma"/>
                <w:color w:val="000000"/>
                <w:kern w:val="0"/>
                <w:szCs w:val="21"/>
              </w:rPr>
            </w:pPr>
            <w:r>
              <w:rPr>
                <w:rFonts w:ascii="宋体" w:hAnsi="宋体" w:cs="Tahoma"/>
                <w:color w:val="000000"/>
                <w:kern w:val="0"/>
                <w:szCs w:val="21"/>
              </w:rPr>
              <w:t>3</w:t>
            </w:r>
          </w:p>
        </w:tc>
        <w:tc>
          <w:tcPr>
            <w:tcW w:w="1080" w:type="dxa"/>
            <w:tcBorders>
              <w:top w:val="nil"/>
              <w:left w:val="nil"/>
              <w:bottom w:val="single" w:color="auto" w:sz="4" w:space="0"/>
              <w:right w:val="single" w:color="auto" w:sz="4" w:space="0"/>
            </w:tcBorders>
            <w:shd w:val="clear" w:color="000000" w:fill="FFFFFF"/>
            <w:noWrap/>
            <w:vAlign w:val="center"/>
          </w:tcPr>
          <w:p w14:paraId="554057B9">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2023DB2A">
        <w:tblPrEx>
          <w:tblCellMar>
            <w:top w:w="0" w:type="dxa"/>
            <w:left w:w="108" w:type="dxa"/>
            <w:bottom w:w="0" w:type="dxa"/>
            <w:right w:w="108" w:type="dxa"/>
          </w:tblCellMar>
        </w:tblPrEx>
        <w:trPr>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44861F57">
            <w:pPr>
              <w:widowControl/>
              <w:jc w:val="left"/>
              <w:rPr>
                <w:rFonts w:ascii="宋体" w:hAnsi="宋体" w:cs="Tahoma"/>
                <w:b/>
                <w:bCs/>
                <w:color w:val="000000"/>
                <w:kern w:val="0"/>
                <w:szCs w:val="21"/>
              </w:rPr>
            </w:pPr>
            <w:r>
              <w:rPr>
                <w:rFonts w:hint="eastAsia" w:ascii="宋体" w:hAnsi="宋体" w:cs="Tahoma"/>
                <w:b/>
                <w:bCs/>
                <w:color w:val="000000"/>
                <w:kern w:val="0"/>
                <w:szCs w:val="21"/>
              </w:rPr>
              <w:t>三、通讯网关接口</w:t>
            </w:r>
          </w:p>
        </w:tc>
        <w:tc>
          <w:tcPr>
            <w:tcW w:w="1080" w:type="dxa"/>
            <w:tcBorders>
              <w:top w:val="nil"/>
              <w:left w:val="nil"/>
              <w:bottom w:val="single" w:color="auto" w:sz="4" w:space="0"/>
              <w:right w:val="single" w:color="auto" w:sz="4" w:space="0"/>
            </w:tcBorders>
            <w:shd w:val="clear" w:color="000000" w:fill="FFFFFF"/>
            <w:noWrap/>
            <w:vAlign w:val="bottom"/>
          </w:tcPr>
          <w:p w14:paraId="15F38EFE">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1BB603C2">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575A2AC7">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7051A680">
        <w:tblPrEx>
          <w:tblCellMar>
            <w:top w:w="0" w:type="dxa"/>
            <w:left w:w="108" w:type="dxa"/>
            <w:bottom w:w="0" w:type="dxa"/>
            <w:right w:w="108" w:type="dxa"/>
          </w:tblCellMar>
        </w:tblPrEx>
        <w:trPr>
          <w:trHeight w:val="1275"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59B4799">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auto" w:fill="auto"/>
            <w:vAlign w:val="center"/>
          </w:tcPr>
          <w:p w14:paraId="0CCA559A">
            <w:pPr>
              <w:widowControl/>
              <w:jc w:val="left"/>
              <w:rPr>
                <w:rFonts w:ascii="宋体" w:hAnsi="宋体" w:cs="Tahoma"/>
                <w:color w:val="000000"/>
                <w:kern w:val="0"/>
                <w:szCs w:val="21"/>
              </w:rPr>
            </w:pPr>
            <w:r>
              <w:rPr>
                <w:rFonts w:hint="eastAsia" w:ascii="宋体" w:hAnsi="宋体" w:cs="Tahoma"/>
                <w:color w:val="000000"/>
                <w:kern w:val="0"/>
                <w:szCs w:val="21"/>
              </w:rPr>
              <w:t>智能网关</w:t>
            </w:r>
          </w:p>
        </w:tc>
        <w:tc>
          <w:tcPr>
            <w:tcW w:w="3680" w:type="dxa"/>
            <w:tcBorders>
              <w:top w:val="nil"/>
              <w:left w:val="nil"/>
              <w:bottom w:val="single" w:color="auto" w:sz="4" w:space="0"/>
              <w:right w:val="single" w:color="auto" w:sz="4" w:space="0"/>
            </w:tcBorders>
            <w:shd w:val="clear" w:color="auto" w:fill="auto"/>
            <w:vAlign w:val="bottom"/>
          </w:tcPr>
          <w:p w14:paraId="2468A3AC">
            <w:pPr>
              <w:widowControl/>
              <w:jc w:val="left"/>
              <w:rPr>
                <w:rFonts w:ascii="宋体" w:hAnsi="宋体" w:cs="Tahoma"/>
                <w:color w:val="000000"/>
                <w:kern w:val="0"/>
                <w:szCs w:val="21"/>
              </w:rPr>
            </w:pPr>
            <w:r>
              <w:rPr>
                <w:rFonts w:ascii="宋体" w:hAnsi="宋体" w:cs="Tahoma"/>
                <w:color w:val="000000"/>
                <w:kern w:val="0"/>
                <w:szCs w:val="21"/>
              </w:rPr>
              <w:t>4网口（不同网段）以上，10串口（485或232）以上，采集点数5000点以上，不限采集驱动，不限转发驱动，不限转发点数，配套软件编辑平台，网关管理平台，与枢纽楼大屏网关平台兼容</w:t>
            </w:r>
          </w:p>
        </w:tc>
        <w:tc>
          <w:tcPr>
            <w:tcW w:w="1080" w:type="dxa"/>
            <w:tcBorders>
              <w:top w:val="nil"/>
              <w:left w:val="nil"/>
              <w:bottom w:val="single" w:color="auto" w:sz="4" w:space="0"/>
              <w:right w:val="single" w:color="auto" w:sz="4" w:space="0"/>
            </w:tcBorders>
            <w:shd w:val="clear" w:color="auto" w:fill="auto"/>
            <w:noWrap/>
            <w:vAlign w:val="bottom"/>
          </w:tcPr>
          <w:p w14:paraId="6413EE82">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1E59597A">
            <w:pPr>
              <w:widowControl/>
              <w:jc w:val="center"/>
              <w:rPr>
                <w:rFonts w:ascii="宋体" w:hAnsi="宋体" w:cs="Tahoma"/>
                <w:color w:val="000000"/>
                <w:kern w:val="0"/>
                <w:szCs w:val="21"/>
              </w:rPr>
            </w:pPr>
            <w:r>
              <w:rPr>
                <w:rFonts w:ascii="宋体" w:hAnsi="宋体" w:cs="Tahoma"/>
                <w:color w:val="000000"/>
                <w:kern w:val="0"/>
                <w:szCs w:val="21"/>
              </w:rPr>
              <w:t>2</w:t>
            </w:r>
          </w:p>
        </w:tc>
        <w:tc>
          <w:tcPr>
            <w:tcW w:w="1080" w:type="dxa"/>
            <w:tcBorders>
              <w:top w:val="nil"/>
              <w:left w:val="nil"/>
              <w:bottom w:val="single" w:color="auto" w:sz="4" w:space="0"/>
              <w:right w:val="single" w:color="auto" w:sz="4" w:space="0"/>
            </w:tcBorders>
            <w:shd w:val="clear" w:color="auto" w:fill="auto"/>
            <w:noWrap/>
            <w:vAlign w:val="center"/>
          </w:tcPr>
          <w:p w14:paraId="01EF0766">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70F8CA84">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6BD25E15">
            <w:pPr>
              <w:widowControl/>
              <w:jc w:val="left"/>
              <w:rPr>
                <w:rFonts w:ascii="宋体" w:hAnsi="宋体" w:cs="Tahoma"/>
                <w:b/>
                <w:bCs/>
                <w:color w:val="000000"/>
                <w:kern w:val="0"/>
                <w:szCs w:val="21"/>
              </w:rPr>
            </w:pPr>
            <w:r>
              <w:rPr>
                <w:rFonts w:hint="eastAsia" w:ascii="宋体" w:hAnsi="宋体" w:cs="Tahoma"/>
                <w:b/>
                <w:bCs/>
                <w:color w:val="000000"/>
                <w:kern w:val="0"/>
                <w:szCs w:val="21"/>
              </w:rPr>
              <w:t>四、施工</w:t>
            </w:r>
          </w:p>
        </w:tc>
        <w:tc>
          <w:tcPr>
            <w:tcW w:w="3680" w:type="dxa"/>
            <w:tcBorders>
              <w:top w:val="nil"/>
              <w:left w:val="nil"/>
              <w:bottom w:val="single" w:color="auto" w:sz="4" w:space="0"/>
              <w:right w:val="single" w:color="auto" w:sz="4" w:space="0"/>
            </w:tcBorders>
            <w:shd w:val="clear" w:color="000000" w:fill="FFFFFF"/>
            <w:noWrap/>
            <w:vAlign w:val="bottom"/>
          </w:tcPr>
          <w:p w14:paraId="26FD2A00">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30DBE42C">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0DEB5FF3">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69457FA3">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13397939">
        <w:tblPrEx>
          <w:tblCellMar>
            <w:top w:w="0" w:type="dxa"/>
            <w:left w:w="108" w:type="dxa"/>
            <w:bottom w:w="0" w:type="dxa"/>
            <w:right w:w="108" w:type="dxa"/>
          </w:tblCellMar>
        </w:tblPrEx>
        <w:trPr>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0280851">
            <w:pPr>
              <w:widowControl/>
              <w:jc w:val="center"/>
              <w:rPr>
                <w:rFonts w:ascii="宋体" w:hAnsi="宋体" w:cs="Tahoma"/>
                <w:color w:val="000000"/>
                <w:kern w:val="0"/>
                <w:szCs w:val="21"/>
              </w:rPr>
            </w:pPr>
            <w:r>
              <w:rPr>
                <w:rFonts w:ascii="宋体" w:hAnsi="宋体" w:cs="Tahoma"/>
                <w:color w:val="000000"/>
                <w:kern w:val="0"/>
                <w:szCs w:val="21"/>
              </w:rPr>
              <w:t>1</w:t>
            </w:r>
          </w:p>
        </w:tc>
        <w:tc>
          <w:tcPr>
            <w:tcW w:w="1734" w:type="dxa"/>
            <w:tcBorders>
              <w:top w:val="nil"/>
              <w:left w:val="nil"/>
              <w:bottom w:val="single" w:color="auto" w:sz="4" w:space="0"/>
              <w:right w:val="single" w:color="auto" w:sz="4" w:space="0"/>
            </w:tcBorders>
            <w:shd w:val="clear" w:color="000000" w:fill="FFFFFF"/>
          </w:tcPr>
          <w:p w14:paraId="5CB42D10">
            <w:pPr>
              <w:widowControl/>
              <w:jc w:val="left"/>
              <w:rPr>
                <w:rFonts w:ascii="宋体" w:hAnsi="宋体" w:cs="Tahoma"/>
                <w:color w:val="000000"/>
                <w:kern w:val="0"/>
                <w:szCs w:val="21"/>
              </w:rPr>
            </w:pPr>
            <w:r>
              <w:rPr>
                <w:rFonts w:hint="eastAsia" w:ascii="宋体" w:hAnsi="宋体" w:cs="Tahoma"/>
                <w:color w:val="000000"/>
                <w:kern w:val="0"/>
                <w:szCs w:val="21"/>
              </w:rPr>
              <w:t>工控机</w:t>
            </w:r>
          </w:p>
        </w:tc>
        <w:tc>
          <w:tcPr>
            <w:tcW w:w="3680" w:type="dxa"/>
            <w:tcBorders>
              <w:top w:val="nil"/>
              <w:left w:val="nil"/>
              <w:bottom w:val="single" w:color="auto" w:sz="4" w:space="0"/>
              <w:right w:val="single" w:color="auto" w:sz="4" w:space="0"/>
            </w:tcBorders>
            <w:shd w:val="clear" w:color="000000" w:fill="FFFFFF"/>
          </w:tcPr>
          <w:p w14:paraId="01F9746A">
            <w:pPr>
              <w:widowControl/>
              <w:jc w:val="left"/>
              <w:rPr>
                <w:rFonts w:ascii="宋体" w:hAnsi="宋体" w:cs="Tahoma"/>
                <w:color w:val="000000"/>
                <w:kern w:val="0"/>
                <w:szCs w:val="21"/>
              </w:rPr>
            </w:pPr>
            <w:r>
              <w:rPr>
                <w:rFonts w:hint="eastAsia" w:ascii="宋体" w:hAnsi="宋体" w:cs="Tahoma"/>
                <w:color w:val="000000"/>
                <w:kern w:val="0"/>
                <w:szCs w:val="21"/>
              </w:rPr>
              <w:t>主机</w:t>
            </w:r>
            <w:r>
              <w:rPr>
                <w:rFonts w:ascii="宋体" w:hAnsi="宋体" w:cs="Tahoma"/>
                <w:color w:val="000000"/>
                <w:kern w:val="0"/>
                <w:szCs w:val="21"/>
              </w:rPr>
              <w:t>+23.8英寸显示器，13代i5-1340016G256GSSD+1TB</w:t>
            </w:r>
          </w:p>
        </w:tc>
        <w:tc>
          <w:tcPr>
            <w:tcW w:w="1080" w:type="dxa"/>
            <w:tcBorders>
              <w:top w:val="nil"/>
              <w:left w:val="nil"/>
              <w:bottom w:val="single" w:color="auto" w:sz="4" w:space="0"/>
              <w:right w:val="single" w:color="auto" w:sz="4" w:space="0"/>
            </w:tcBorders>
            <w:shd w:val="clear" w:color="000000" w:fill="FFFFFF"/>
            <w:noWrap/>
            <w:vAlign w:val="bottom"/>
          </w:tcPr>
          <w:p w14:paraId="267E155D">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47752E1">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63FCB0F">
            <w:pPr>
              <w:widowControl/>
              <w:jc w:val="center"/>
              <w:rPr>
                <w:rFonts w:ascii="宋体" w:hAnsi="宋体" w:cs="Tahoma"/>
                <w:color w:val="000000"/>
                <w:kern w:val="0"/>
                <w:szCs w:val="21"/>
              </w:rPr>
            </w:pPr>
            <w:r>
              <w:rPr>
                <w:rFonts w:hint="eastAsia" w:ascii="宋体" w:hAnsi="宋体" w:cs="Tahoma"/>
                <w:color w:val="000000"/>
                <w:kern w:val="0"/>
                <w:szCs w:val="21"/>
              </w:rPr>
              <w:t>台</w:t>
            </w:r>
          </w:p>
        </w:tc>
      </w:tr>
      <w:tr w14:paraId="300A68DA">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84335A6">
            <w:pPr>
              <w:widowControl/>
              <w:jc w:val="center"/>
              <w:rPr>
                <w:rFonts w:ascii="宋体" w:hAnsi="宋体" w:cs="Tahoma"/>
                <w:color w:val="000000"/>
                <w:kern w:val="0"/>
                <w:szCs w:val="21"/>
              </w:rPr>
            </w:pPr>
            <w:r>
              <w:rPr>
                <w:rFonts w:ascii="宋体" w:hAnsi="宋体" w:cs="Tahoma"/>
                <w:color w:val="000000"/>
                <w:kern w:val="0"/>
                <w:szCs w:val="21"/>
              </w:rPr>
              <w:t>2</w:t>
            </w:r>
          </w:p>
        </w:tc>
        <w:tc>
          <w:tcPr>
            <w:tcW w:w="1734" w:type="dxa"/>
            <w:tcBorders>
              <w:top w:val="nil"/>
              <w:left w:val="nil"/>
              <w:bottom w:val="single" w:color="auto" w:sz="4" w:space="0"/>
              <w:right w:val="single" w:color="auto" w:sz="4" w:space="0"/>
            </w:tcBorders>
            <w:shd w:val="clear" w:color="000000" w:fill="FFFFFF"/>
            <w:vAlign w:val="bottom"/>
          </w:tcPr>
          <w:p w14:paraId="54CBD1EC">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43708728">
            <w:pPr>
              <w:widowControl/>
              <w:jc w:val="left"/>
              <w:rPr>
                <w:rFonts w:ascii="宋体" w:hAnsi="宋体" w:cs="Tahoma"/>
                <w:color w:val="000000"/>
                <w:kern w:val="0"/>
                <w:szCs w:val="21"/>
              </w:rPr>
            </w:pPr>
            <w:r>
              <w:rPr>
                <w:rFonts w:ascii="宋体" w:hAnsi="宋体" w:cs="Tahoma"/>
                <w:color w:val="000000"/>
                <w:kern w:val="0"/>
                <w:szCs w:val="21"/>
              </w:rPr>
              <w:t>RVV8*1.0</w:t>
            </w:r>
          </w:p>
        </w:tc>
        <w:tc>
          <w:tcPr>
            <w:tcW w:w="1080" w:type="dxa"/>
            <w:tcBorders>
              <w:top w:val="nil"/>
              <w:left w:val="nil"/>
              <w:bottom w:val="single" w:color="auto" w:sz="4" w:space="0"/>
              <w:right w:val="single" w:color="auto" w:sz="4" w:space="0"/>
            </w:tcBorders>
            <w:shd w:val="clear" w:color="000000" w:fill="FFFFFF"/>
            <w:noWrap/>
            <w:vAlign w:val="center"/>
          </w:tcPr>
          <w:p w14:paraId="0EA66BBD">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B203D38">
            <w:pPr>
              <w:widowControl/>
              <w:jc w:val="center"/>
              <w:rPr>
                <w:rFonts w:ascii="宋体" w:hAnsi="宋体" w:cs="Tahoma"/>
                <w:color w:val="000000"/>
                <w:kern w:val="0"/>
                <w:szCs w:val="21"/>
              </w:rPr>
            </w:pPr>
            <w:r>
              <w:rPr>
                <w:rFonts w:ascii="宋体" w:hAnsi="宋体" w:cs="Tahoma"/>
                <w:color w:val="000000"/>
                <w:kern w:val="0"/>
                <w:szCs w:val="21"/>
              </w:rPr>
              <w:t>3000</w:t>
            </w:r>
          </w:p>
        </w:tc>
        <w:tc>
          <w:tcPr>
            <w:tcW w:w="1080" w:type="dxa"/>
            <w:tcBorders>
              <w:top w:val="nil"/>
              <w:left w:val="nil"/>
              <w:bottom w:val="single" w:color="auto" w:sz="4" w:space="0"/>
              <w:right w:val="single" w:color="auto" w:sz="4" w:space="0"/>
            </w:tcBorders>
            <w:shd w:val="clear" w:color="000000" w:fill="FFFFFF"/>
            <w:noWrap/>
            <w:vAlign w:val="center"/>
          </w:tcPr>
          <w:p w14:paraId="5834E6C2">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5FDAD6EC">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6E2360B">
            <w:pPr>
              <w:widowControl/>
              <w:jc w:val="center"/>
              <w:rPr>
                <w:rFonts w:ascii="宋体" w:hAnsi="宋体" w:cs="Tahoma"/>
                <w:color w:val="000000"/>
                <w:kern w:val="0"/>
                <w:szCs w:val="21"/>
              </w:rPr>
            </w:pPr>
            <w:r>
              <w:rPr>
                <w:rFonts w:ascii="宋体" w:hAnsi="宋体" w:cs="Tahoma"/>
                <w:color w:val="000000"/>
                <w:kern w:val="0"/>
                <w:szCs w:val="21"/>
              </w:rPr>
              <w:t>3</w:t>
            </w:r>
          </w:p>
        </w:tc>
        <w:tc>
          <w:tcPr>
            <w:tcW w:w="1734" w:type="dxa"/>
            <w:tcBorders>
              <w:top w:val="nil"/>
              <w:left w:val="nil"/>
              <w:bottom w:val="single" w:color="auto" w:sz="4" w:space="0"/>
              <w:right w:val="single" w:color="auto" w:sz="4" w:space="0"/>
            </w:tcBorders>
            <w:shd w:val="clear" w:color="000000" w:fill="FFFFFF"/>
            <w:vAlign w:val="bottom"/>
          </w:tcPr>
          <w:p w14:paraId="0D6F82D4">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1A663FA5">
            <w:pPr>
              <w:widowControl/>
              <w:jc w:val="left"/>
              <w:rPr>
                <w:rFonts w:ascii="宋体" w:hAnsi="宋体" w:cs="Tahoma"/>
                <w:color w:val="000000"/>
                <w:kern w:val="0"/>
                <w:szCs w:val="21"/>
              </w:rPr>
            </w:pPr>
            <w:r>
              <w:rPr>
                <w:rFonts w:ascii="宋体" w:hAnsi="宋体" w:cs="Tahoma"/>
                <w:color w:val="000000"/>
                <w:kern w:val="0"/>
                <w:szCs w:val="21"/>
              </w:rPr>
              <w:t>RVV6*1.0</w:t>
            </w:r>
          </w:p>
        </w:tc>
        <w:tc>
          <w:tcPr>
            <w:tcW w:w="1080" w:type="dxa"/>
            <w:tcBorders>
              <w:top w:val="nil"/>
              <w:left w:val="nil"/>
              <w:bottom w:val="single" w:color="auto" w:sz="4" w:space="0"/>
              <w:right w:val="single" w:color="auto" w:sz="4" w:space="0"/>
            </w:tcBorders>
            <w:shd w:val="clear" w:color="000000" w:fill="FFFFFF"/>
            <w:noWrap/>
            <w:vAlign w:val="center"/>
          </w:tcPr>
          <w:p w14:paraId="0217A090">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2BA2540">
            <w:pPr>
              <w:widowControl/>
              <w:jc w:val="center"/>
              <w:rPr>
                <w:rFonts w:ascii="宋体" w:hAnsi="宋体" w:cs="Tahoma"/>
                <w:color w:val="000000"/>
                <w:kern w:val="0"/>
                <w:szCs w:val="21"/>
              </w:rPr>
            </w:pPr>
            <w:r>
              <w:rPr>
                <w:rFonts w:ascii="宋体" w:hAnsi="宋体" w:cs="Tahoma"/>
                <w:color w:val="000000"/>
                <w:kern w:val="0"/>
                <w:szCs w:val="21"/>
              </w:rPr>
              <w:t>4000</w:t>
            </w:r>
          </w:p>
        </w:tc>
        <w:tc>
          <w:tcPr>
            <w:tcW w:w="1080" w:type="dxa"/>
            <w:tcBorders>
              <w:top w:val="nil"/>
              <w:left w:val="nil"/>
              <w:bottom w:val="single" w:color="auto" w:sz="4" w:space="0"/>
              <w:right w:val="single" w:color="auto" w:sz="4" w:space="0"/>
            </w:tcBorders>
            <w:shd w:val="clear" w:color="000000" w:fill="FFFFFF"/>
            <w:noWrap/>
            <w:vAlign w:val="center"/>
          </w:tcPr>
          <w:p w14:paraId="58219B2F">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306E55F1">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0279B980">
            <w:pPr>
              <w:widowControl/>
              <w:jc w:val="center"/>
              <w:rPr>
                <w:rFonts w:ascii="宋体" w:hAnsi="宋体" w:cs="Tahoma"/>
                <w:color w:val="000000"/>
                <w:kern w:val="0"/>
                <w:szCs w:val="21"/>
              </w:rPr>
            </w:pPr>
            <w:r>
              <w:rPr>
                <w:rFonts w:ascii="宋体" w:hAnsi="宋体" w:cs="Tahoma"/>
                <w:color w:val="000000"/>
                <w:kern w:val="0"/>
                <w:szCs w:val="21"/>
              </w:rPr>
              <w:t>4</w:t>
            </w:r>
          </w:p>
        </w:tc>
        <w:tc>
          <w:tcPr>
            <w:tcW w:w="1734" w:type="dxa"/>
            <w:tcBorders>
              <w:top w:val="nil"/>
              <w:left w:val="nil"/>
              <w:bottom w:val="single" w:color="auto" w:sz="4" w:space="0"/>
              <w:right w:val="single" w:color="auto" w:sz="4" w:space="0"/>
            </w:tcBorders>
            <w:shd w:val="clear" w:color="000000" w:fill="FFFFFF"/>
            <w:vAlign w:val="bottom"/>
          </w:tcPr>
          <w:p w14:paraId="1E7FE1AA">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045FE091">
            <w:pPr>
              <w:widowControl/>
              <w:jc w:val="left"/>
              <w:rPr>
                <w:rFonts w:ascii="宋体" w:hAnsi="宋体" w:cs="Tahoma"/>
                <w:color w:val="000000"/>
                <w:kern w:val="0"/>
                <w:szCs w:val="21"/>
              </w:rPr>
            </w:pPr>
            <w:r>
              <w:rPr>
                <w:rFonts w:ascii="宋体" w:hAnsi="宋体" w:cs="Tahoma"/>
                <w:color w:val="000000"/>
                <w:kern w:val="0"/>
                <w:szCs w:val="21"/>
              </w:rPr>
              <w:t>RVV4*1.0</w:t>
            </w:r>
          </w:p>
        </w:tc>
        <w:tc>
          <w:tcPr>
            <w:tcW w:w="1080" w:type="dxa"/>
            <w:tcBorders>
              <w:top w:val="nil"/>
              <w:left w:val="nil"/>
              <w:bottom w:val="single" w:color="auto" w:sz="4" w:space="0"/>
              <w:right w:val="single" w:color="auto" w:sz="4" w:space="0"/>
            </w:tcBorders>
            <w:shd w:val="clear" w:color="000000" w:fill="FFFFFF"/>
            <w:noWrap/>
            <w:vAlign w:val="center"/>
          </w:tcPr>
          <w:p w14:paraId="09FCABF5">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422FB8D1">
            <w:pPr>
              <w:widowControl/>
              <w:jc w:val="center"/>
              <w:rPr>
                <w:rFonts w:ascii="宋体" w:hAnsi="宋体" w:cs="Tahoma"/>
                <w:color w:val="000000"/>
                <w:kern w:val="0"/>
                <w:szCs w:val="21"/>
              </w:rPr>
            </w:pPr>
            <w:r>
              <w:rPr>
                <w:rFonts w:ascii="宋体" w:hAnsi="宋体" w:cs="Tahoma"/>
                <w:color w:val="000000"/>
                <w:kern w:val="0"/>
                <w:szCs w:val="21"/>
              </w:rPr>
              <w:t>2500</w:t>
            </w:r>
          </w:p>
        </w:tc>
        <w:tc>
          <w:tcPr>
            <w:tcW w:w="1080" w:type="dxa"/>
            <w:tcBorders>
              <w:top w:val="nil"/>
              <w:left w:val="nil"/>
              <w:bottom w:val="single" w:color="auto" w:sz="4" w:space="0"/>
              <w:right w:val="single" w:color="auto" w:sz="4" w:space="0"/>
            </w:tcBorders>
            <w:shd w:val="clear" w:color="000000" w:fill="FFFFFF"/>
            <w:noWrap/>
            <w:vAlign w:val="center"/>
          </w:tcPr>
          <w:p w14:paraId="5C890676">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2DCC75D7">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C9F8635">
            <w:pPr>
              <w:widowControl/>
              <w:jc w:val="center"/>
              <w:rPr>
                <w:rFonts w:ascii="宋体" w:hAnsi="宋体" w:cs="Tahoma"/>
                <w:color w:val="000000"/>
                <w:kern w:val="0"/>
                <w:szCs w:val="21"/>
              </w:rPr>
            </w:pPr>
            <w:r>
              <w:rPr>
                <w:rFonts w:ascii="宋体" w:hAnsi="宋体" w:cs="Tahoma"/>
                <w:color w:val="000000"/>
                <w:kern w:val="0"/>
                <w:szCs w:val="21"/>
              </w:rPr>
              <w:t>5</w:t>
            </w:r>
          </w:p>
        </w:tc>
        <w:tc>
          <w:tcPr>
            <w:tcW w:w="1734" w:type="dxa"/>
            <w:tcBorders>
              <w:top w:val="nil"/>
              <w:left w:val="nil"/>
              <w:bottom w:val="single" w:color="auto" w:sz="4" w:space="0"/>
              <w:right w:val="single" w:color="auto" w:sz="4" w:space="0"/>
            </w:tcBorders>
            <w:shd w:val="clear" w:color="000000" w:fill="FFFFFF"/>
            <w:vAlign w:val="bottom"/>
          </w:tcPr>
          <w:p w14:paraId="3FE52E19">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4B5B2C57">
            <w:pPr>
              <w:widowControl/>
              <w:jc w:val="left"/>
              <w:rPr>
                <w:rFonts w:ascii="宋体" w:hAnsi="宋体" w:cs="Tahoma"/>
                <w:color w:val="000000"/>
                <w:kern w:val="0"/>
                <w:szCs w:val="21"/>
              </w:rPr>
            </w:pPr>
            <w:r>
              <w:rPr>
                <w:rFonts w:ascii="宋体" w:hAnsi="宋体" w:cs="Tahoma"/>
                <w:color w:val="000000"/>
                <w:kern w:val="0"/>
                <w:szCs w:val="21"/>
              </w:rPr>
              <w:t>RVV2*1.0</w:t>
            </w:r>
          </w:p>
        </w:tc>
        <w:tc>
          <w:tcPr>
            <w:tcW w:w="1080" w:type="dxa"/>
            <w:tcBorders>
              <w:top w:val="nil"/>
              <w:left w:val="nil"/>
              <w:bottom w:val="single" w:color="auto" w:sz="4" w:space="0"/>
              <w:right w:val="single" w:color="auto" w:sz="4" w:space="0"/>
            </w:tcBorders>
            <w:shd w:val="clear" w:color="000000" w:fill="FFFFFF"/>
            <w:noWrap/>
            <w:vAlign w:val="center"/>
          </w:tcPr>
          <w:p w14:paraId="3884A2EF">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8FF78C9">
            <w:pPr>
              <w:widowControl/>
              <w:jc w:val="center"/>
              <w:rPr>
                <w:rFonts w:ascii="宋体" w:hAnsi="宋体" w:cs="Tahoma"/>
                <w:color w:val="000000"/>
                <w:kern w:val="0"/>
                <w:szCs w:val="21"/>
              </w:rPr>
            </w:pPr>
            <w:r>
              <w:rPr>
                <w:rFonts w:ascii="宋体" w:hAnsi="宋体" w:cs="Tahoma"/>
                <w:color w:val="000000"/>
                <w:kern w:val="0"/>
                <w:szCs w:val="21"/>
              </w:rPr>
              <w:t>1000</w:t>
            </w:r>
          </w:p>
        </w:tc>
        <w:tc>
          <w:tcPr>
            <w:tcW w:w="1080" w:type="dxa"/>
            <w:tcBorders>
              <w:top w:val="nil"/>
              <w:left w:val="nil"/>
              <w:bottom w:val="single" w:color="auto" w:sz="4" w:space="0"/>
              <w:right w:val="single" w:color="auto" w:sz="4" w:space="0"/>
            </w:tcBorders>
            <w:shd w:val="clear" w:color="000000" w:fill="FFFFFF"/>
            <w:noWrap/>
            <w:vAlign w:val="center"/>
          </w:tcPr>
          <w:p w14:paraId="19E4169B">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717DE13A">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665008F">
            <w:pPr>
              <w:widowControl/>
              <w:jc w:val="center"/>
              <w:rPr>
                <w:rFonts w:ascii="宋体" w:hAnsi="宋体" w:cs="Tahoma"/>
                <w:color w:val="000000"/>
                <w:kern w:val="0"/>
                <w:szCs w:val="21"/>
              </w:rPr>
            </w:pPr>
            <w:r>
              <w:rPr>
                <w:rFonts w:ascii="宋体" w:hAnsi="宋体" w:cs="Tahoma"/>
                <w:color w:val="000000"/>
                <w:kern w:val="0"/>
                <w:szCs w:val="21"/>
              </w:rPr>
              <w:t>6</w:t>
            </w:r>
          </w:p>
        </w:tc>
        <w:tc>
          <w:tcPr>
            <w:tcW w:w="1734" w:type="dxa"/>
            <w:tcBorders>
              <w:top w:val="nil"/>
              <w:left w:val="nil"/>
              <w:bottom w:val="single" w:color="auto" w:sz="4" w:space="0"/>
              <w:right w:val="single" w:color="auto" w:sz="4" w:space="0"/>
            </w:tcBorders>
            <w:shd w:val="clear" w:color="000000" w:fill="FFFFFF"/>
            <w:vAlign w:val="bottom"/>
          </w:tcPr>
          <w:p w14:paraId="7838596A">
            <w:pPr>
              <w:widowControl/>
              <w:jc w:val="left"/>
              <w:rPr>
                <w:rFonts w:ascii="宋体" w:hAnsi="宋体" w:cs="Tahoma"/>
                <w:color w:val="000000"/>
                <w:kern w:val="0"/>
                <w:szCs w:val="21"/>
              </w:rPr>
            </w:pPr>
            <w:r>
              <w:rPr>
                <w:rFonts w:hint="eastAsia" w:ascii="宋体" w:hAnsi="宋体" w:cs="Tahoma"/>
                <w:color w:val="000000"/>
                <w:kern w:val="0"/>
                <w:szCs w:val="21"/>
              </w:rPr>
              <w:t>通讯线</w:t>
            </w:r>
          </w:p>
        </w:tc>
        <w:tc>
          <w:tcPr>
            <w:tcW w:w="3680" w:type="dxa"/>
            <w:tcBorders>
              <w:top w:val="nil"/>
              <w:left w:val="nil"/>
              <w:bottom w:val="single" w:color="auto" w:sz="4" w:space="0"/>
              <w:right w:val="single" w:color="auto" w:sz="4" w:space="0"/>
            </w:tcBorders>
            <w:shd w:val="clear" w:color="000000" w:fill="FFFFFF"/>
            <w:noWrap/>
          </w:tcPr>
          <w:p w14:paraId="0209E056">
            <w:pPr>
              <w:widowControl/>
              <w:jc w:val="left"/>
              <w:rPr>
                <w:rFonts w:ascii="宋体" w:hAnsi="宋体" w:cs="Tahoma"/>
                <w:color w:val="000000"/>
                <w:kern w:val="0"/>
                <w:szCs w:val="21"/>
              </w:rPr>
            </w:pPr>
            <w:r>
              <w:rPr>
                <w:rFonts w:ascii="宋体" w:hAnsi="宋体" w:cs="Tahoma"/>
                <w:color w:val="000000"/>
                <w:kern w:val="0"/>
                <w:szCs w:val="21"/>
              </w:rPr>
              <w:t>8芯光纤</w:t>
            </w:r>
          </w:p>
        </w:tc>
        <w:tc>
          <w:tcPr>
            <w:tcW w:w="1080" w:type="dxa"/>
            <w:tcBorders>
              <w:top w:val="nil"/>
              <w:left w:val="nil"/>
              <w:bottom w:val="single" w:color="auto" w:sz="4" w:space="0"/>
              <w:right w:val="single" w:color="auto" w:sz="4" w:space="0"/>
            </w:tcBorders>
            <w:shd w:val="clear" w:color="000000" w:fill="FFFFFF"/>
            <w:noWrap/>
            <w:vAlign w:val="center"/>
          </w:tcPr>
          <w:p w14:paraId="01A0AF39">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69CEA8B">
            <w:pPr>
              <w:widowControl/>
              <w:jc w:val="center"/>
              <w:rPr>
                <w:rFonts w:ascii="宋体" w:hAnsi="宋体" w:cs="Tahoma"/>
                <w:color w:val="000000"/>
                <w:kern w:val="0"/>
                <w:szCs w:val="21"/>
              </w:rPr>
            </w:pPr>
            <w:r>
              <w:rPr>
                <w:rFonts w:ascii="宋体" w:hAnsi="宋体" w:cs="Tahoma"/>
                <w:color w:val="000000"/>
                <w:kern w:val="0"/>
                <w:szCs w:val="21"/>
              </w:rPr>
              <w:t>8000</w:t>
            </w:r>
          </w:p>
        </w:tc>
        <w:tc>
          <w:tcPr>
            <w:tcW w:w="1080" w:type="dxa"/>
            <w:tcBorders>
              <w:top w:val="nil"/>
              <w:left w:val="nil"/>
              <w:bottom w:val="single" w:color="auto" w:sz="4" w:space="0"/>
              <w:right w:val="single" w:color="auto" w:sz="4" w:space="0"/>
            </w:tcBorders>
            <w:shd w:val="clear" w:color="000000" w:fill="FFFFFF"/>
            <w:noWrap/>
            <w:vAlign w:val="center"/>
          </w:tcPr>
          <w:p w14:paraId="1002A573">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23C9F209">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61AEEE4">
            <w:pPr>
              <w:widowControl/>
              <w:jc w:val="center"/>
              <w:rPr>
                <w:rFonts w:ascii="宋体" w:hAnsi="宋体" w:cs="Tahoma"/>
                <w:color w:val="000000"/>
                <w:kern w:val="0"/>
                <w:szCs w:val="21"/>
              </w:rPr>
            </w:pPr>
            <w:r>
              <w:rPr>
                <w:rFonts w:ascii="宋体" w:hAnsi="宋体" w:cs="Tahoma"/>
                <w:color w:val="000000"/>
                <w:kern w:val="0"/>
                <w:szCs w:val="21"/>
              </w:rPr>
              <w:t>7</w:t>
            </w:r>
          </w:p>
        </w:tc>
        <w:tc>
          <w:tcPr>
            <w:tcW w:w="1734" w:type="dxa"/>
            <w:tcBorders>
              <w:top w:val="nil"/>
              <w:left w:val="nil"/>
              <w:bottom w:val="single" w:color="auto" w:sz="4" w:space="0"/>
              <w:right w:val="single" w:color="auto" w:sz="4" w:space="0"/>
            </w:tcBorders>
            <w:shd w:val="clear" w:color="000000" w:fill="FFFFFF"/>
            <w:vAlign w:val="bottom"/>
          </w:tcPr>
          <w:p w14:paraId="2C3EF666">
            <w:pPr>
              <w:widowControl/>
              <w:jc w:val="left"/>
              <w:rPr>
                <w:rFonts w:ascii="宋体" w:hAnsi="宋体" w:cs="Tahoma"/>
                <w:color w:val="000000"/>
                <w:kern w:val="0"/>
                <w:szCs w:val="21"/>
              </w:rPr>
            </w:pPr>
            <w:r>
              <w:rPr>
                <w:rFonts w:hint="eastAsia" w:ascii="宋体" w:hAnsi="宋体" w:cs="Tahoma"/>
                <w:color w:val="000000"/>
                <w:kern w:val="0"/>
                <w:szCs w:val="21"/>
              </w:rPr>
              <w:t>通讯网线</w:t>
            </w:r>
          </w:p>
        </w:tc>
        <w:tc>
          <w:tcPr>
            <w:tcW w:w="3680" w:type="dxa"/>
            <w:tcBorders>
              <w:top w:val="nil"/>
              <w:left w:val="nil"/>
              <w:bottom w:val="single" w:color="auto" w:sz="4" w:space="0"/>
              <w:right w:val="single" w:color="auto" w:sz="4" w:space="0"/>
            </w:tcBorders>
            <w:shd w:val="clear" w:color="000000" w:fill="FFFFFF"/>
            <w:noWrap/>
          </w:tcPr>
          <w:p w14:paraId="12AECEE2">
            <w:pPr>
              <w:widowControl/>
              <w:jc w:val="left"/>
              <w:rPr>
                <w:rFonts w:ascii="宋体" w:hAnsi="宋体" w:cs="Tahoma"/>
                <w:color w:val="000000"/>
                <w:kern w:val="0"/>
                <w:szCs w:val="21"/>
              </w:rPr>
            </w:pPr>
            <w:r>
              <w:rPr>
                <w:rFonts w:hint="eastAsia" w:ascii="宋体" w:hAnsi="宋体" w:cs="Tahoma"/>
                <w:color w:val="000000"/>
                <w:kern w:val="0"/>
                <w:szCs w:val="21"/>
              </w:rPr>
              <w:t>六类网线</w:t>
            </w:r>
          </w:p>
        </w:tc>
        <w:tc>
          <w:tcPr>
            <w:tcW w:w="1080" w:type="dxa"/>
            <w:tcBorders>
              <w:top w:val="nil"/>
              <w:left w:val="nil"/>
              <w:bottom w:val="single" w:color="auto" w:sz="4" w:space="0"/>
              <w:right w:val="single" w:color="auto" w:sz="4" w:space="0"/>
            </w:tcBorders>
            <w:shd w:val="clear" w:color="000000" w:fill="FFFFFF"/>
            <w:noWrap/>
            <w:vAlign w:val="center"/>
          </w:tcPr>
          <w:p w14:paraId="6D7346CB">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295F0ED">
            <w:pPr>
              <w:widowControl/>
              <w:jc w:val="center"/>
              <w:rPr>
                <w:rFonts w:ascii="宋体" w:hAnsi="宋体" w:cs="Tahoma"/>
                <w:color w:val="000000"/>
                <w:kern w:val="0"/>
                <w:szCs w:val="21"/>
              </w:rPr>
            </w:pPr>
            <w:r>
              <w:rPr>
                <w:rFonts w:ascii="宋体" w:hAnsi="宋体" w:cs="Tahoma"/>
                <w:color w:val="000000"/>
                <w:kern w:val="0"/>
                <w:szCs w:val="21"/>
              </w:rPr>
              <w:t>500</w:t>
            </w:r>
          </w:p>
        </w:tc>
        <w:tc>
          <w:tcPr>
            <w:tcW w:w="1080" w:type="dxa"/>
            <w:tcBorders>
              <w:top w:val="nil"/>
              <w:left w:val="nil"/>
              <w:bottom w:val="single" w:color="auto" w:sz="4" w:space="0"/>
              <w:right w:val="single" w:color="auto" w:sz="4" w:space="0"/>
            </w:tcBorders>
            <w:shd w:val="clear" w:color="000000" w:fill="FFFFFF"/>
            <w:noWrap/>
            <w:vAlign w:val="center"/>
          </w:tcPr>
          <w:p w14:paraId="6881A5B7">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02F64FDB">
        <w:tblPrEx>
          <w:tblCellMar>
            <w:top w:w="0" w:type="dxa"/>
            <w:left w:w="108" w:type="dxa"/>
            <w:bottom w:w="0" w:type="dxa"/>
            <w:right w:w="108" w:type="dxa"/>
          </w:tblCellMar>
        </w:tblPrEx>
        <w:trPr>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7BE32CC0">
            <w:pPr>
              <w:widowControl/>
              <w:jc w:val="center"/>
              <w:rPr>
                <w:rFonts w:ascii="宋体" w:hAnsi="宋体" w:cs="Tahoma"/>
                <w:color w:val="000000"/>
                <w:kern w:val="0"/>
                <w:szCs w:val="21"/>
              </w:rPr>
            </w:pPr>
            <w:r>
              <w:rPr>
                <w:rFonts w:ascii="宋体" w:hAnsi="宋体" w:cs="Tahoma"/>
                <w:color w:val="000000"/>
                <w:kern w:val="0"/>
                <w:szCs w:val="21"/>
              </w:rPr>
              <w:t>8</w:t>
            </w:r>
          </w:p>
        </w:tc>
        <w:tc>
          <w:tcPr>
            <w:tcW w:w="1734" w:type="dxa"/>
            <w:tcBorders>
              <w:top w:val="nil"/>
              <w:left w:val="nil"/>
              <w:bottom w:val="single" w:color="auto" w:sz="4" w:space="0"/>
              <w:right w:val="single" w:color="auto" w:sz="4" w:space="0"/>
            </w:tcBorders>
            <w:shd w:val="clear" w:color="000000" w:fill="FFFFFF"/>
          </w:tcPr>
          <w:p w14:paraId="37019E9B">
            <w:pPr>
              <w:widowControl/>
              <w:jc w:val="left"/>
              <w:rPr>
                <w:rFonts w:ascii="宋体" w:hAnsi="宋体" w:cs="Tahoma"/>
                <w:color w:val="000000"/>
                <w:kern w:val="0"/>
                <w:szCs w:val="21"/>
              </w:rPr>
            </w:pPr>
            <w:r>
              <w:rPr>
                <w:rFonts w:hint="eastAsia" w:ascii="宋体" w:hAnsi="宋体" w:cs="Tahoma"/>
                <w:color w:val="000000"/>
                <w:kern w:val="0"/>
                <w:szCs w:val="21"/>
                <w:lang w:val="en-US" w:eastAsia="zh-CN"/>
              </w:rPr>
              <w:t>PVC线管</w:t>
            </w:r>
          </w:p>
        </w:tc>
        <w:tc>
          <w:tcPr>
            <w:tcW w:w="3680" w:type="dxa"/>
            <w:tcBorders>
              <w:top w:val="nil"/>
              <w:left w:val="nil"/>
              <w:bottom w:val="single" w:color="auto" w:sz="4" w:space="0"/>
              <w:right w:val="single" w:color="auto" w:sz="4" w:space="0"/>
            </w:tcBorders>
            <w:shd w:val="clear" w:color="000000" w:fill="FFFFFF"/>
            <w:noWrap/>
          </w:tcPr>
          <w:p w14:paraId="3FF06D15">
            <w:pPr>
              <w:widowControl/>
              <w:jc w:val="left"/>
              <w:rPr>
                <w:rFonts w:ascii="宋体" w:hAnsi="宋体" w:cs="Tahoma"/>
                <w:color w:val="000000"/>
                <w:kern w:val="0"/>
                <w:szCs w:val="21"/>
              </w:rPr>
            </w:pPr>
            <w:r>
              <w:rPr>
                <w:rFonts w:ascii="宋体" w:hAnsi="宋体" w:cs="Tahoma"/>
                <w:color w:val="000000"/>
                <w:kern w:val="0"/>
                <w:szCs w:val="21"/>
              </w:rPr>
              <w:t>DN20</w:t>
            </w:r>
          </w:p>
        </w:tc>
        <w:tc>
          <w:tcPr>
            <w:tcW w:w="1080" w:type="dxa"/>
            <w:tcBorders>
              <w:top w:val="nil"/>
              <w:left w:val="nil"/>
              <w:bottom w:val="single" w:color="auto" w:sz="4" w:space="0"/>
              <w:right w:val="single" w:color="auto" w:sz="4" w:space="0"/>
            </w:tcBorders>
            <w:shd w:val="clear" w:color="000000" w:fill="FFFFFF"/>
            <w:noWrap/>
            <w:vAlign w:val="center"/>
          </w:tcPr>
          <w:p w14:paraId="15731DA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EA6F699">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12000</w:t>
            </w:r>
          </w:p>
        </w:tc>
        <w:tc>
          <w:tcPr>
            <w:tcW w:w="1080" w:type="dxa"/>
            <w:tcBorders>
              <w:top w:val="nil"/>
              <w:left w:val="nil"/>
              <w:bottom w:val="single" w:color="auto" w:sz="4" w:space="0"/>
              <w:right w:val="single" w:color="auto" w:sz="4" w:space="0"/>
            </w:tcBorders>
            <w:shd w:val="clear" w:color="000000" w:fill="FFFFFF"/>
            <w:noWrap/>
            <w:vAlign w:val="center"/>
          </w:tcPr>
          <w:p w14:paraId="10B7752A">
            <w:pPr>
              <w:widowControl/>
              <w:jc w:val="center"/>
              <w:rPr>
                <w:rFonts w:hint="eastAsia" w:ascii="宋体" w:hAnsi="宋体" w:eastAsia="宋体" w:cs="Tahoma"/>
                <w:color w:val="000000"/>
                <w:kern w:val="0"/>
                <w:szCs w:val="21"/>
                <w:lang w:eastAsia="zh-CN"/>
              </w:rPr>
            </w:pPr>
            <w:r>
              <w:rPr>
                <w:rFonts w:hint="eastAsia" w:ascii="宋体" w:hAnsi="宋体" w:cs="Tahoma"/>
                <w:color w:val="000000"/>
                <w:kern w:val="0"/>
                <w:szCs w:val="21"/>
                <w:lang w:val="en-US" w:eastAsia="zh-CN"/>
              </w:rPr>
              <w:t>米</w:t>
            </w:r>
          </w:p>
        </w:tc>
      </w:tr>
      <w:tr w14:paraId="4C0AC533">
        <w:tblPrEx>
          <w:tblCellMar>
            <w:top w:w="0" w:type="dxa"/>
            <w:left w:w="108" w:type="dxa"/>
            <w:bottom w:w="0" w:type="dxa"/>
            <w:right w:w="108" w:type="dxa"/>
          </w:tblCellMar>
        </w:tblPrEx>
        <w:trPr>
          <w:trHeight w:val="51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56DDDD5">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9</w:t>
            </w:r>
          </w:p>
        </w:tc>
        <w:tc>
          <w:tcPr>
            <w:tcW w:w="1734" w:type="dxa"/>
            <w:tcBorders>
              <w:top w:val="nil"/>
              <w:left w:val="nil"/>
              <w:bottom w:val="single" w:color="auto" w:sz="4" w:space="0"/>
              <w:right w:val="single" w:color="auto" w:sz="4" w:space="0"/>
            </w:tcBorders>
            <w:shd w:val="clear" w:color="000000" w:fill="FFFFFF"/>
          </w:tcPr>
          <w:p w14:paraId="01B7A62C">
            <w:pPr>
              <w:widowControl/>
              <w:jc w:val="left"/>
              <w:rPr>
                <w:rFonts w:hint="eastAsia" w:ascii="宋体" w:hAnsi="宋体" w:cs="Tahoma"/>
                <w:color w:val="000000"/>
                <w:kern w:val="0"/>
                <w:szCs w:val="21"/>
              </w:rPr>
            </w:pPr>
            <w:r>
              <w:rPr>
                <w:rFonts w:hint="eastAsia" w:ascii="宋体" w:hAnsi="宋体" w:cs="Tahoma"/>
                <w:color w:val="000000"/>
                <w:kern w:val="0"/>
                <w:szCs w:val="21"/>
                <w:lang w:val="en-US" w:eastAsia="zh-CN"/>
              </w:rPr>
              <w:t>PVC线管</w:t>
            </w:r>
          </w:p>
        </w:tc>
        <w:tc>
          <w:tcPr>
            <w:tcW w:w="3680" w:type="dxa"/>
            <w:tcBorders>
              <w:top w:val="nil"/>
              <w:left w:val="nil"/>
              <w:bottom w:val="single" w:color="auto" w:sz="4" w:space="0"/>
              <w:right w:val="single" w:color="auto" w:sz="4" w:space="0"/>
            </w:tcBorders>
            <w:shd w:val="clear" w:color="000000" w:fill="FFFFFF"/>
            <w:noWrap/>
          </w:tcPr>
          <w:p w14:paraId="59CB10DD">
            <w:pPr>
              <w:widowControl/>
              <w:jc w:val="left"/>
              <w:rPr>
                <w:rFonts w:hint="eastAsia" w:ascii="宋体" w:hAnsi="宋体" w:eastAsia="宋体" w:cs="Tahoma"/>
                <w:color w:val="000000"/>
                <w:kern w:val="0"/>
                <w:szCs w:val="21"/>
                <w:lang w:val="en-US" w:eastAsia="zh-CN"/>
              </w:rPr>
            </w:pPr>
            <w:r>
              <w:rPr>
                <w:rFonts w:ascii="宋体" w:hAnsi="宋体" w:cs="Tahoma"/>
                <w:color w:val="000000"/>
                <w:kern w:val="0"/>
                <w:szCs w:val="21"/>
              </w:rPr>
              <w:t>DN2</w:t>
            </w:r>
            <w:r>
              <w:rPr>
                <w:rFonts w:hint="eastAsia" w:ascii="宋体" w:hAnsi="宋体" w:cs="Tahoma"/>
                <w:color w:val="000000"/>
                <w:kern w:val="0"/>
                <w:szCs w:val="21"/>
                <w:lang w:val="en-US" w:eastAsia="zh-CN"/>
              </w:rPr>
              <w:t>5</w:t>
            </w:r>
          </w:p>
        </w:tc>
        <w:tc>
          <w:tcPr>
            <w:tcW w:w="1080" w:type="dxa"/>
            <w:tcBorders>
              <w:top w:val="nil"/>
              <w:left w:val="nil"/>
              <w:bottom w:val="single" w:color="auto" w:sz="4" w:space="0"/>
              <w:right w:val="single" w:color="auto" w:sz="4" w:space="0"/>
            </w:tcBorders>
            <w:shd w:val="clear" w:color="000000" w:fill="FFFFFF"/>
            <w:noWrap/>
            <w:vAlign w:val="center"/>
          </w:tcPr>
          <w:p w14:paraId="02FC35A1">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8C72FD6">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7000</w:t>
            </w:r>
          </w:p>
        </w:tc>
        <w:tc>
          <w:tcPr>
            <w:tcW w:w="1080" w:type="dxa"/>
            <w:tcBorders>
              <w:top w:val="nil"/>
              <w:left w:val="nil"/>
              <w:bottom w:val="single" w:color="auto" w:sz="4" w:space="0"/>
              <w:right w:val="single" w:color="auto" w:sz="4" w:space="0"/>
            </w:tcBorders>
            <w:shd w:val="clear" w:color="000000" w:fill="FFFFFF"/>
            <w:noWrap/>
            <w:vAlign w:val="center"/>
          </w:tcPr>
          <w:p w14:paraId="7D3EC336">
            <w:pPr>
              <w:widowControl/>
              <w:jc w:val="center"/>
              <w:rPr>
                <w:rFonts w:hint="eastAsia" w:ascii="宋体" w:hAnsi="宋体" w:cs="Tahoma"/>
                <w:color w:val="000000"/>
                <w:kern w:val="0"/>
                <w:szCs w:val="21"/>
              </w:rPr>
            </w:pPr>
            <w:r>
              <w:rPr>
                <w:rFonts w:hint="eastAsia" w:ascii="宋体" w:hAnsi="宋体" w:cs="Tahoma"/>
                <w:color w:val="000000"/>
                <w:kern w:val="0"/>
                <w:szCs w:val="21"/>
                <w:lang w:val="en-US" w:eastAsia="zh-CN"/>
              </w:rPr>
              <w:t>米</w:t>
            </w:r>
          </w:p>
        </w:tc>
      </w:tr>
      <w:tr w14:paraId="280A3A74">
        <w:tblPrEx>
          <w:tblCellMar>
            <w:top w:w="0" w:type="dxa"/>
            <w:left w:w="108" w:type="dxa"/>
            <w:bottom w:w="0" w:type="dxa"/>
            <w:right w:w="108" w:type="dxa"/>
          </w:tblCellMar>
        </w:tblPrEx>
        <w:trPr>
          <w:trHeight w:val="510" w:hRule="atLeast"/>
        </w:trPr>
        <w:tc>
          <w:tcPr>
            <w:tcW w:w="426" w:type="dxa"/>
            <w:vMerge w:val="restart"/>
            <w:tcBorders>
              <w:top w:val="nil"/>
              <w:left w:val="single" w:color="auto" w:sz="4" w:space="0"/>
              <w:right w:val="single" w:color="auto" w:sz="4" w:space="0"/>
            </w:tcBorders>
            <w:shd w:val="clear" w:color="000000" w:fill="FFFFFF"/>
            <w:noWrap/>
            <w:vAlign w:val="center"/>
          </w:tcPr>
          <w:p w14:paraId="52ABEDED">
            <w:pPr>
              <w:widowControl/>
              <w:jc w:val="center"/>
              <w:rPr>
                <w:rFonts w:hint="eastAsia" w:ascii="宋体" w:hAnsi="宋体" w:cs="Tahoma"/>
                <w:color w:val="000000"/>
                <w:kern w:val="0"/>
                <w:szCs w:val="21"/>
                <w:lang w:val="en-US" w:eastAsia="zh-CN"/>
              </w:rPr>
            </w:pPr>
            <w:r>
              <w:rPr>
                <w:rFonts w:hint="eastAsia" w:ascii="宋体" w:hAnsi="宋体" w:cs="Tahoma"/>
                <w:color w:val="000000"/>
                <w:kern w:val="0"/>
                <w:szCs w:val="21"/>
                <w:lang w:val="en-US" w:eastAsia="zh-CN"/>
              </w:rPr>
              <w:t>10</w:t>
            </w:r>
          </w:p>
          <w:p w14:paraId="4236AE35">
            <w:pPr>
              <w:widowControl/>
              <w:jc w:val="center"/>
              <w:rPr>
                <w:rFonts w:ascii="宋体" w:hAnsi="宋体" w:cs="Tahoma"/>
                <w:color w:val="000000"/>
                <w:kern w:val="0"/>
                <w:szCs w:val="21"/>
              </w:rPr>
            </w:pPr>
          </w:p>
          <w:p w14:paraId="437C6FDE">
            <w:pPr>
              <w:widowControl/>
              <w:jc w:val="center"/>
              <w:rPr>
                <w:rFonts w:ascii="宋体" w:hAnsi="宋体" w:cs="Tahoma"/>
                <w:color w:val="000000"/>
                <w:kern w:val="0"/>
                <w:szCs w:val="21"/>
              </w:rPr>
            </w:pPr>
          </w:p>
        </w:tc>
        <w:tc>
          <w:tcPr>
            <w:tcW w:w="1734" w:type="dxa"/>
            <w:vMerge w:val="restart"/>
            <w:tcBorders>
              <w:top w:val="nil"/>
              <w:left w:val="nil"/>
              <w:right w:val="single" w:color="auto" w:sz="4" w:space="0"/>
            </w:tcBorders>
            <w:shd w:val="clear" w:color="000000" w:fill="FFFFFF"/>
          </w:tcPr>
          <w:p w14:paraId="77DC5498">
            <w:pPr>
              <w:widowControl/>
              <w:jc w:val="center"/>
              <w:rPr>
                <w:rFonts w:hint="eastAsia" w:ascii="宋体" w:hAnsi="宋体" w:cs="Tahoma"/>
                <w:color w:val="000000"/>
                <w:kern w:val="0"/>
                <w:szCs w:val="21"/>
                <w:lang w:val="en-US" w:eastAsia="zh-CN"/>
              </w:rPr>
            </w:pPr>
          </w:p>
          <w:p w14:paraId="30F3F4C7">
            <w:pPr>
              <w:widowControl/>
              <w:jc w:val="center"/>
              <w:rPr>
                <w:rFonts w:hint="eastAsia" w:ascii="宋体" w:hAnsi="宋体" w:cs="Tahoma"/>
                <w:color w:val="000000"/>
                <w:kern w:val="0"/>
                <w:szCs w:val="21"/>
                <w:lang w:val="en-US" w:eastAsia="zh-CN"/>
              </w:rPr>
            </w:pPr>
          </w:p>
          <w:p w14:paraId="07F6CCD7">
            <w:pPr>
              <w:widowControl/>
              <w:jc w:val="center"/>
              <w:rPr>
                <w:rFonts w:hint="eastAsia" w:ascii="宋体" w:hAnsi="宋体" w:cs="Tahoma"/>
                <w:color w:val="000000"/>
                <w:kern w:val="0"/>
                <w:szCs w:val="21"/>
                <w:lang w:val="en-US" w:eastAsia="zh-CN"/>
              </w:rPr>
            </w:pPr>
          </w:p>
          <w:p w14:paraId="1916EC26">
            <w:pPr>
              <w:widowControl/>
              <w:jc w:val="center"/>
              <w:rPr>
                <w:rFonts w:hint="eastAsia" w:ascii="宋体" w:hAnsi="宋体" w:cs="Tahoma"/>
                <w:color w:val="000000"/>
                <w:kern w:val="0"/>
                <w:szCs w:val="21"/>
                <w:lang w:val="en-US" w:eastAsia="zh-CN"/>
              </w:rPr>
            </w:pPr>
          </w:p>
          <w:p w14:paraId="08081495">
            <w:pPr>
              <w:widowControl/>
              <w:jc w:val="center"/>
              <w:rPr>
                <w:rFonts w:hint="eastAsia" w:ascii="宋体" w:hAnsi="宋体" w:cs="Tahoma"/>
                <w:color w:val="000000"/>
                <w:kern w:val="0"/>
                <w:szCs w:val="21"/>
                <w:lang w:val="en-US" w:eastAsia="zh-CN"/>
              </w:rPr>
            </w:pPr>
          </w:p>
          <w:p w14:paraId="68A03DC9">
            <w:pPr>
              <w:widowControl/>
              <w:jc w:val="center"/>
              <w:rPr>
                <w:rFonts w:hint="eastAsia" w:ascii="宋体" w:hAnsi="宋体" w:cs="Tahoma"/>
                <w:color w:val="000000"/>
                <w:kern w:val="0"/>
                <w:szCs w:val="21"/>
                <w:lang w:val="en-US" w:eastAsia="zh-CN"/>
              </w:rPr>
            </w:pPr>
          </w:p>
          <w:p w14:paraId="78740933">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施工辅材及耗材</w:t>
            </w:r>
          </w:p>
        </w:tc>
        <w:tc>
          <w:tcPr>
            <w:tcW w:w="3680" w:type="dxa"/>
            <w:tcBorders>
              <w:top w:val="nil"/>
              <w:left w:val="nil"/>
              <w:bottom w:val="single" w:color="auto" w:sz="4" w:space="0"/>
              <w:right w:val="single" w:color="auto" w:sz="4" w:space="0"/>
            </w:tcBorders>
            <w:shd w:val="clear" w:color="000000" w:fill="FFFFFF"/>
            <w:noWrap/>
          </w:tcPr>
          <w:p w14:paraId="0484064D">
            <w:pPr>
              <w:widowControl/>
              <w:jc w:val="left"/>
              <w:rPr>
                <w:rFonts w:ascii="宋体" w:hAnsi="宋体" w:cs="Tahoma"/>
                <w:color w:val="000000"/>
                <w:kern w:val="0"/>
                <w:szCs w:val="21"/>
              </w:rPr>
            </w:pPr>
            <w:r>
              <w:rPr>
                <w:rFonts w:hint="eastAsia" w:ascii="宋体" w:hAnsi="宋体" w:cs="Tahoma"/>
                <w:color w:val="000000"/>
                <w:kern w:val="0"/>
                <w:szCs w:val="21"/>
              </w:rPr>
              <w:t>螺丝、胶粒、拉爆、水晶头、波纹软管</w:t>
            </w:r>
          </w:p>
        </w:tc>
        <w:tc>
          <w:tcPr>
            <w:tcW w:w="1080" w:type="dxa"/>
            <w:tcBorders>
              <w:top w:val="nil"/>
              <w:left w:val="nil"/>
              <w:bottom w:val="single" w:color="auto" w:sz="4" w:space="0"/>
              <w:right w:val="single" w:color="auto" w:sz="4" w:space="0"/>
            </w:tcBorders>
            <w:shd w:val="clear" w:color="000000" w:fill="FFFFFF"/>
            <w:noWrap/>
            <w:vAlign w:val="center"/>
          </w:tcPr>
          <w:p w14:paraId="06BB719E">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E3A1C7D">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0BF7D5FA">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028691EE">
        <w:tblPrEx>
          <w:tblCellMar>
            <w:top w:w="0" w:type="dxa"/>
            <w:left w:w="108" w:type="dxa"/>
            <w:bottom w:w="0" w:type="dxa"/>
            <w:right w:w="108" w:type="dxa"/>
          </w:tblCellMar>
        </w:tblPrEx>
        <w:trPr>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0E8CCF41">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755CC92E">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7B49E5CE">
            <w:pPr>
              <w:widowControl/>
              <w:jc w:val="left"/>
              <w:rPr>
                <w:rFonts w:ascii="宋体" w:hAnsi="宋体" w:cs="Tahoma"/>
                <w:color w:val="000000"/>
                <w:kern w:val="0"/>
                <w:szCs w:val="21"/>
              </w:rPr>
            </w:pPr>
            <w:r>
              <w:rPr>
                <w:rFonts w:hint="eastAsia" w:ascii="宋体" w:hAnsi="宋体" w:cs="Tahoma"/>
                <w:color w:val="000000"/>
                <w:kern w:val="0"/>
                <w:szCs w:val="21"/>
              </w:rPr>
              <w:t>电焊条、磨片、钻头、铁管</w:t>
            </w:r>
          </w:p>
        </w:tc>
        <w:tc>
          <w:tcPr>
            <w:tcW w:w="1080" w:type="dxa"/>
            <w:tcBorders>
              <w:top w:val="nil"/>
              <w:left w:val="nil"/>
              <w:bottom w:val="single" w:color="auto" w:sz="4" w:space="0"/>
              <w:right w:val="single" w:color="auto" w:sz="4" w:space="0"/>
            </w:tcBorders>
            <w:shd w:val="clear" w:color="000000" w:fill="FFFFFF"/>
            <w:noWrap/>
            <w:vAlign w:val="center"/>
          </w:tcPr>
          <w:p w14:paraId="4EA8F2D9">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17C86C5">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459C866C">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6969ADDE">
        <w:tblPrEx>
          <w:tblCellMar>
            <w:top w:w="0" w:type="dxa"/>
            <w:left w:w="108" w:type="dxa"/>
            <w:bottom w:w="0" w:type="dxa"/>
            <w:right w:w="108" w:type="dxa"/>
          </w:tblCellMar>
        </w:tblPrEx>
        <w:trPr>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56B7B0D8">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0BE20C6F">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15E7075C">
            <w:pPr>
              <w:widowControl/>
              <w:jc w:val="left"/>
              <w:rPr>
                <w:rFonts w:ascii="宋体" w:hAnsi="宋体" w:cs="Tahoma"/>
                <w:color w:val="000000"/>
                <w:kern w:val="0"/>
                <w:szCs w:val="21"/>
              </w:rPr>
            </w:pPr>
            <w:r>
              <w:rPr>
                <w:rFonts w:hint="eastAsia" w:ascii="宋体" w:hAnsi="宋体" w:cs="Tahoma"/>
                <w:color w:val="000000"/>
                <w:kern w:val="0"/>
                <w:szCs w:val="21"/>
              </w:rPr>
              <w:t>控制箱电源线、接地线</w:t>
            </w:r>
          </w:p>
        </w:tc>
        <w:tc>
          <w:tcPr>
            <w:tcW w:w="1080" w:type="dxa"/>
            <w:tcBorders>
              <w:top w:val="nil"/>
              <w:left w:val="nil"/>
              <w:bottom w:val="single" w:color="auto" w:sz="4" w:space="0"/>
              <w:right w:val="single" w:color="auto" w:sz="4" w:space="0"/>
            </w:tcBorders>
            <w:shd w:val="clear" w:color="000000" w:fill="FFFFFF"/>
            <w:noWrap/>
            <w:vAlign w:val="center"/>
          </w:tcPr>
          <w:p w14:paraId="68E6EDC2">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83A3971">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1F07EF87">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6A255B6B">
        <w:tblPrEx>
          <w:tblCellMar>
            <w:top w:w="0" w:type="dxa"/>
            <w:left w:w="108" w:type="dxa"/>
            <w:bottom w:w="0" w:type="dxa"/>
            <w:right w:w="108" w:type="dxa"/>
          </w:tblCellMar>
        </w:tblPrEx>
        <w:trPr>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15E0337D">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3C97EB44">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36F402A9">
            <w:pPr>
              <w:widowControl/>
              <w:jc w:val="left"/>
              <w:rPr>
                <w:rFonts w:ascii="宋体" w:hAnsi="宋体" w:cs="Tahoma"/>
                <w:color w:val="000000"/>
                <w:kern w:val="0"/>
                <w:szCs w:val="21"/>
              </w:rPr>
            </w:pPr>
            <w:r>
              <w:rPr>
                <w:rFonts w:hint="eastAsia" w:ascii="宋体" w:hAnsi="宋体" w:cs="Tahoma"/>
                <w:color w:val="000000"/>
                <w:kern w:val="0"/>
                <w:szCs w:val="21"/>
              </w:rPr>
              <w:t>电工胶布、防水胶布、扎带、管卡</w:t>
            </w:r>
          </w:p>
        </w:tc>
        <w:tc>
          <w:tcPr>
            <w:tcW w:w="1080" w:type="dxa"/>
            <w:tcBorders>
              <w:top w:val="nil"/>
              <w:left w:val="nil"/>
              <w:bottom w:val="single" w:color="auto" w:sz="4" w:space="0"/>
              <w:right w:val="single" w:color="auto" w:sz="4" w:space="0"/>
            </w:tcBorders>
            <w:shd w:val="clear" w:color="000000" w:fill="FFFFFF"/>
            <w:noWrap/>
            <w:vAlign w:val="center"/>
          </w:tcPr>
          <w:p w14:paraId="76EE711A">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7AC7E86">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62DB96F3">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7F2D1822">
        <w:tblPrEx>
          <w:tblCellMar>
            <w:top w:w="0" w:type="dxa"/>
            <w:left w:w="108" w:type="dxa"/>
            <w:bottom w:w="0" w:type="dxa"/>
            <w:right w:w="108" w:type="dxa"/>
          </w:tblCellMar>
        </w:tblPrEx>
        <w:trPr>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1EC24B15">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011830B2">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63543DA2">
            <w:pPr>
              <w:widowControl/>
              <w:jc w:val="left"/>
              <w:rPr>
                <w:rFonts w:ascii="宋体" w:hAnsi="宋体" w:cs="Tahoma"/>
                <w:color w:val="000000"/>
                <w:kern w:val="0"/>
                <w:szCs w:val="21"/>
              </w:rPr>
            </w:pPr>
            <w:r>
              <w:rPr>
                <w:rFonts w:hint="eastAsia" w:ascii="宋体" w:hAnsi="宋体" w:cs="Tahoma"/>
                <w:color w:val="000000"/>
                <w:kern w:val="0"/>
                <w:szCs w:val="21"/>
              </w:rPr>
              <w:t>绝缘手套、防水绝缘鞋、手电筒、照明灯</w:t>
            </w:r>
          </w:p>
        </w:tc>
        <w:tc>
          <w:tcPr>
            <w:tcW w:w="1080" w:type="dxa"/>
            <w:tcBorders>
              <w:top w:val="nil"/>
              <w:left w:val="nil"/>
              <w:bottom w:val="single" w:color="auto" w:sz="4" w:space="0"/>
              <w:right w:val="single" w:color="auto" w:sz="4" w:space="0"/>
            </w:tcBorders>
            <w:shd w:val="clear" w:color="000000" w:fill="FFFFFF"/>
            <w:noWrap/>
            <w:vAlign w:val="center"/>
          </w:tcPr>
          <w:p w14:paraId="115584D3">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235B8BC8">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2BC09C68">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11892C86">
        <w:tblPrEx>
          <w:tblCellMar>
            <w:top w:w="0" w:type="dxa"/>
            <w:left w:w="108" w:type="dxa"/>
            <w:bottom w:w="0" w:type="dxa"/>
            <w:right w:w="108" w:type="dxa"/>
          </w:tblCellMar>
        </w:tblPrEx>
        <w:trPr>
          <w:trHeight w:val="510" w:hRule="atLeast"/>
        </w:trPr>
        <w:tc>
          <w:tcPr>
            <w:tcW w:w="426" w:type="dxa"/>
            <w:vMerge w:val="continue"/>
            <w:tcBorders>
              <w:left w:val="single" w:color="auto" w:sz="4" w:space="0"/>
              <w:right w:val="single" w:color="auto" w:sz="4" w:space="0"/>
            </w:tcBorders>
            <w:shd w:val="clear" w:color="000000" w:fill="FFFFFF"/>
            <w:noWrap/>
            <w:vAlign w:val="center"/>
          </w:tcPr>
          <w:p w14:paraId="25049204">
            <w:pPr>
              <w:widowControl/>
              <w:jc w:val="center"/>
              <w:rPr>
                <w:rFonts w:ascii="宋体" w:hAnsi="宋体" w:cs="Tahoma"/>
                <w:color w:val="000000"/>
                <w:kern w:val="0"/>
                <w:szCs w:val="21"/>
              </w:rPr>
            </w:pPr>
          </w:p>
        </w:tc>
        <w:tc>
          <w:tcPr>
            <w:tcW w:w="1734" w:type="dxa"/>
            <w:vMerge w:val="continue"/>
            <w:tcBorders>
              <w:left w:val="nil"/>
              <w:right w:val="single" w:color="auto" w:sz="4" w:space="0"/>
            </w:tcBorders>
            <w:shd w:val="clear" w:color="000000" w:fill="FFFFFF"/>
          </w:tcPr>
          <w:p w14:paraId="52C43129">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7FB2D853">
            <w:pPr>
              <w:widowControl/>
              <w:jc w:val="left"/>
              <w:rPr>
                <w:rFonts w:ascii="宋体" w:hAnsi="宋体" w:cs="Tahoma"/>
                <w:color w:val="000000"/>
                <w:kern w:val="0"/>
                <w:szCs w:val="21"/>
              </w:rPr>
            </w:pPr>
            <w:r>
              <w:rPr>
                <w:rFonts w:hint="eastAsia" w:ascii="宋体" w:hAnsi="宋体" w:cs="Tahoma"/>
                <w:color w:val="000000"/>
                <w:kern w:val="0"/>
                <w:szCs w:val="21"/>
              </w:rPr>
              <w:t>安全网、安全带、防护栏杆、反光衣，反光防护带</w:t>
            </w:r>
          </w:p>
        </w:tc>
        <w:tc>
          <w:tcPr>
            <w:tcW w:w="1080" w:type="dxa"/>
            <w:tcBorders>
              <w:top w:val="nil"/>
              <w:left w:val="nil"/>
              <w:bottom w:val="single" w:color="auto" w:sz="4" w:space="0"/>
              <w:right w:val="single" w:color="auto" w:sz="4" w:space="0"/>
            </w:tcBorders>
            <w:shd w:val="clear" w:color="000000" w:fill="FFFFFF"/>
            <w:noWrap/>
            <w:vAlign w:val="center"/>
          </w:tcPr>
          <w:p w14:paraId="5286575A">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A6D9C4F">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0CA1D318">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5A74B869">
        <w:tblPrEx>
          <w:tblCellMar>
            <w:top w:w="0" w:type="dxa"/>
            <w:left w:w="108" w:type="dxa"/>
            <w:bottom w:w="0" w:type="dxa"/>
            <w:right w:w="108" w:type="dxa"/>
          </w:tblCellMar>
        </w:tblPrEx>
        <w:trPr>
          <w:trHeight w:val="510" w:hRule="atLeast"/>
        </w:trPr>
        <w:tc>
          <w:tcPr>
            <w:tcW w:w="426" w:type="dxa"/>
            <w:vMerge w:val="continue"/>
            <w:tcBorders>
              <w:left w:val="single" w:color="auto" w:sz="4" w:space="0"/>
              <w:bottom w:val="single" w:color="auto" w:sz="4" w:space="0"/>
              <w:right w:val="single" w:color="auto" w:sz="4" w:space="0"/>
            </w:tcBorders>
            <w:shd w:val="clear" w:color="000000" w:fill="FFFFFF"/>
            <w:noWrap/>
            <w:vAlign w:val="center"/>
          </w:tcPr>
          <w:p w14:paraId="2C1C0C73">
            <w:pPr>
              <w:widowControl/>
              <w:jc w:val="center"/>
              <w:rPr>
                <w:rFonts w:ascii="宋体" w:hAnsi="宋体" w:cs="Tahoma"/>
                <w:color w:val="000000"/>
                <w:kern w:val="0"/>
                <w:szCs w:val="21"/>
              </w:rPr>
            </w:pPr>
          </w:p>
        </w:tc>
        <w:tc>
          <w:tcPr>
            <w:tcW w:w="1734" w:type="dxa"/>
            <w:vMerge w:val="continue"/>
            <w:tcBorders>
              <w:left w:val="nil"/>
              <w:bottom w:val="single" w:color="auto" w:sz="4" w:space="0"/>
              <w:right w:val="single" w:color="auto" w:sz="4" w:space="0"/>
            </w:tcBorders>
            <w:shd w:val="clear" w:color="000000" w:fill="FFFFFF"/>
          </w:tcPr>
          <w:p w14:paraId="00C0A032">
            <w:pPr>
              <w:widowControl/>
              <w:jc w:val="left"/>
              <w:rPr>
                <w:rFonts w:hint="eastAsia" w:ascii="宋体" w:hAnsi="宋体" w:cs="Tahoma"/>
                <w:color w:val="000000"/>
                <w:kern w:val="0"/>
                <w:szCs w:val="21"/>
              </w:rPr>
            </w:pPr>
          </w:p>
        </w:tc>
        <w:tc>
          <w:tcPr>
            <w:tcW w:w="3680" w:type="dxa"/>
            <w:tcBorders>
              <w:top w:val="nil"/>
              <w:left w:val="nil"/>
              <w:bottom w:val="single" w:color="auto" w:sz="4" w:space="0"/>
              <w:right w:val="single" w:color="auto" w:sz="4" w:space="0"/>
            </w:tcBorders>
            <w:shd w:val="clear" w:color="000000" w:fill="FFFFFF"/>
            <w:noWrap/>
          </w:tcPr>
          <w:p w14:paraId="2815BA26">
            <w:pPr>
              <w:widowControl/>
              <w:jc w:val="left"/>
              <w:rPr>
                <w:rFonts w:ascii="宋体" w:hAnsi="宋体" w:cs="Tahoma"/>
                <w:color w:val="000000"/>
                <w:kern w:val="0"/>
                <w:szCs w:val="21"/>
              </w:rPr>
            </w:pPr>
            <w:r>
              <w:rPr>
                <w:rFonts w:hint="eastAsia" w:ascii="宋体" w:hAnsi="宋体" w:cs="Tahoma"/>
                <w:color w:val="000000"/>
                <w:kern w:val="0"/>
                <w:szCs w:val="21"/>
              </w:rPr>
              <w:t>接线盒、86底盒、三通、弯头、直通、四通</w:t>
            </w:r>
          </w:p>
        </w:tc>
        <w:tc>
          <w:tcPr>
            <w:tcW w:w="1080" w:type="dxa"/>
            <w:tcBorders>
              <w:top w:val="nil"/>
              <w:left w:val="nil"/>
              <w:bottom w:val="single" w:color="auto" w:sz="4" w:space="0"/>
              <w:right w:val="single" w:color="auto" w:sz="4" w:space="0"/>
            </w:tcBorders>
            <w:shd w:val="clear" w:color="000000" w:fill="FFFFFF"/>
            <w:noWrap/>
            <w:vAlign w:val="center"/>
          </w:tcPr>
          <w:p w14:paraId="39934BB4">
            <w:pPr>
              <w:widowControl/>
              <w:jc w:val="center"/>
              <w:rPr>
                <w:rFonts w:hint="eastAsia"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795524D">
            <w:pPr>
              <w:widowControl/>
              <w:jc w:val="center"/>
              <w:rPr>
                <w:rFonts w:hint="eastAsia"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w:t>
            </w:r>
          </w:p>
        </w:tc>
        <w:tc>
          <w:tcPr>
            <w:tcW w:w="1080" w:type="dxa"/>
            <w:tcBorders>
              <w:top w:val="nil"/>
              <w:left w:val="nil"/>
              <w:bottom w:val="single" w:color="auto" w:sz="4" w:space="0"/>
              <w:right w:val="single" w:color="auto" w:sz="4" w:space="0"/>
            </w:tcBorders>
            <w:shd w:val="clear" w:color="000000" w:fill="FFFFFF"/>
            <w:noWrap/>
            <w:vAlign w:val="center"/>
          </w:tcPr>
          <w:p w14:paraId="5001EE96">
            <w:pPr>
              <w:widowControl/>
              <w:jc w:val="center"/>
              <w:rPr>
                <w:rFonts w:hint="eastAsia" w:ascii="宋体" w:hAnsi="宋体" w:cs="Tahoma"/>
                <w:color w:val="000000"/>
                <w:kern w:val="0"/>
                <w:szCs w:val="21"/>
              </w:rPr>
            </w:pPr>
            <w:r>
              <w:rPr>
                <w:rFonts w:hint="eastAsia" w:ascii="宋体" w:hAnsi="宋体" w:cs="Tahoma"/>
                <w:color w:val="000000"/>
                <w:kern w:val="0"/>
                <w:szCs w:val="21"/>
              </w:rPr>
              <w:t>项</w:t>
            </w:r>
          </w:p>
        </w:tc>
      </w:tr>
      <w:tr w14:paraId="2D664C50">
        <w:tblPrEx>
          <w:tblCellMar>
            <w:top w:w="0" w:type="dxa"/>
            <w:left w:w="108" w:type="dxa"/>
            <w:bottom w:w="0" w:type="dxa"/>
            <w:right w:w="108" w:type="dxa"/>
          </w:tblCellMar>
        </w:tblPrEx>
        <w:trPr>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663F1C1F">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11</w:t>
            </w:r>
          </w:p>
        </w:tc>
        <w:tc>
          <w:tcPr>
            <w:tcW w:w="1734" w:type="dxa"/>
            <w:tcBorders>
              <w:top w:val="nil"/>
              <w:left w:val="nil"/>
              <w:bottom w:val="single" w:color="auto" w:sz="4" w:space="0"/>
              <w:right w:val="single" w:color="auto" w:sz="4" w:space="0"/>
            </w:tcBorders>
            <w:shd w:val="clear" w:color="000000" w:fill="FFFFFF"/>
          </w:tcPr>
          <w:p w14:paraId="0AAE7D3B">
            <w:pPr>
              <w:widowControl/>
              <w:jc w:val="left"/>
              <w:rPr>
                <w:rFonts w:ascii="宋体" w:hAnsi="宋体" w:cs="Tahoma"/>
                <w:color w:val="000000"/>
                <w:kern w:val="0"/>
                <w:szCs w:val="21"/>
              </w:rPr>
            </w:pPr>
            <w:r>
              <w:rPr>
                <w:rFonts w:hint="eastAsia" w:ascii="宋体" w:hAnsi="宋体" w:cs="Tahoma"/>
                <w:color w:val="000000"/>
                <w:kern w:val="0"/>
                <w:szCs w:val="21"/>
              </w:rPr>
              <w:t>机电设备柜内改造</w:t>
            </w:r>
          </w:p>
        </w:tc>
        <w:tc>
          <w:tcPr>
            <w:tcW w:w="3680" w:type="dxa"/>
            <w:tcBorders>
              <w:top w:val="nil"/>
              <w:left w:val="nil"/>
              <w:bottom w:val="single" w:color="auto" w:sz="4" w:space="0"/>
              <w:right w:val="single" w:color="auto" w:sz="4" w:space="0"/>
            </w:tcBorders>
            <w:shd w:val="clear" w:color="000000" w:fill="FFFFFF"/>
          </w:tcPr>
          <w:p w14:paraId="44CCF0E2">
            <w:pPr>
              <w:widowControl/>
              <w:jc w:val="left"/>
              <w:rPr>
                <w:rFonts w:ascii="宋体" w:hAnsi="宋体" w:cs="Tahoma"/>
                <w:color w:val="000000"/>
                <w:kern w:val="0"/>
                <w:szCs w:val="21"/>
              </w:rPr>
            </w:pPr>
            <w:r>
              <w:rPr>
                <w:rFonts w:hint="eastAsia" w:ascii="宋体" w:hAnsi="宋体" w:cs="Tahoma"/>
                <w:color w:val="000000"/>
                <w:kern w:val="0"/>
                <w:szCs w:val="21"/>
              </w:rPr>
              <w:t>新增分支段关联的风机、水泵、照明等控制柜电路，增加二次回路端子给</w:t>
            </w:r>
            <w:r>
              <w:rPr>
                <w:rFonts w:ascii="宋体" w:hAnsi="宋体" w:cs="Tahoma"/>
                <w:color w:val="000000"/>
                <w:kern w:val="0"/>
                <w:szCs w:val="21"/>
              </w:rPr>
              <w:t>PLC控制柜监控，出CAD原理图</w:t>
            </w:r>
          </w:p>
        </w:tc>
        <w:tc>
          <w:tcPr>
            <w:tcW w:w="1080" w:type="dxa"/>
            <w:tcBorders>
              <w:top w:val="nil"/>
              <w:left w:val="nil"/>
              <w:bottom w:val="single" w:color="auto" w:sz="4" w:space="0"/>
              <w:right w:val="single" w:color="auto" w:sz="4" w:space="0"/>
            </w:tcBorders>
            <w:shd w:val="clear" w:color="000000" w:fill="FFFFFF"/>
            <w:noWrap/>
            <w:vAlign w:val="center"/>
          </w:tcPr>
          <w:p w14:paraId="69366EFD">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B12F56C">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7748B01A">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646A8C33">
        <w:tblPrEx>
          <w:tblCellMar>
            <w:top w:w="0" w:type="dxa"/>
            <w:left w:w="108" w:type="dxa"/>
            <w:bottom w:w="0" w:type="dxa"/>
            <w:right w:w="108" w:type="dxa"/>
          </w:tblCellMar>
        </w:tblPrEx>
        <w:trPr>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468B5D22">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12</w:t>
            </w:r>
          </w:p>
        </w:tc>
        <w:tc>
          <w:tcPr>
            <w:tcW w:w="1734" w:type="dxa"/>
            <w:tcBorders>
              <w:top w:val="nil"/>
              <w:left w:val="nil"/>
              <w:bottom w:val="single" w:color="auto" w:sz="4" w:space="0"/>
              <w:right w:val="single" w:color="auto" w:sz="4" w:space="0"/>
            </w:tcBorders>
            <w:shd w:val="clear" w:color="000000" w:fill="FFFFFF"/>
          </w:tcPr>
          <w:p w14:paraId="6679B010">
            <w:pPr>
              <w:widowControl/>
              <w:jc w:val="left"/>
              <w:rPr>
                <w:rFonts w:ascii="宋体" w:hAnsi="宋体" w:cs="Tahoma"/>
                <w:color w:val="000000"/>
                <w:kern w:val="0"/>
                <w:szCs w:val="21"/>
              </w:rPr>
            </w:pPr>
            <w:r>
              <w:rPr>
                <w:rFonts w:hint="eastAsia" w:ascii="宋体" w:hAnsi="宋体" w:cs="Tahoma"/>
                <w:color w:val="000000"/>
                <w:kern w:val="0"/>
                <w:szCs w:val="21"/>
              </w:rPr>
              <w:t>系统调试</w:t>
            </w:r>
          </w:p>
        </w:tc>
        <w:tc>
          <w:tcPr>
            <w:tcW w:w="3680" w:type="dxa"/>
            <w:tcBorders>
              <w:top w:val="nil"/>
              <w:left w:val="nil"/>
              <w:bottom w:val="single" w:color="auto" w:sz="4" w:space="0"/>
              <w:right w:val="single" w:color="auto" w:sz="4" w:space="0"/>
            </w:tcBorders>
            <w:shd w:val="clear" w:color="000000" w:fill="FFFFFF"/>
          </w:tcPr>
          <w:p w14:paraId="7769E6B0">
            <w:pPr>
              <w:widowControl/>
              <w:jc w:val="left"/>
              <w:rPr>
                <w:rFonts w:ascii="宋体" w:hAnsi="宋体" w:cs="Tahoma"/>
                <w:color w:val="000000"/>
                <w:kern w:val="0"/>
                <w:szCs w:val="21"/>
              </w:rPr>
            </w:pPr>
            <w:r>
              <w:rPr>
                <w:rFonts w:hint="eastAsia" w:ascii="宋体" w:hAnsi="宋体" w:cs="Tahoma"/>
                <w:color w:val="000000"/>
                <w:kern w:val="0"/>
                <w:szCs w:val="21"/>
              </w:rPr>
              <w:t>新增的</w:t>
            </w:r>
            <w:r>
              <w:rPr>
                <w:rFonts w:ascii="宋体" w:hAnsi="宋体" w:cs="Tahoma"/>
                <w:color w:val="000000"/>
                <w:kern w:val="0"/>
                <w:szCs w:val="21"/>
              </w:rPr>
              <w:t>PLC控制柜，原系统故障点排查，原系统PLC物理地址分配IP地址，网络故障排查等，绘制CAD网络图，系统稳定运行</w:t>
            </w:r>
          </w:p>
        </w:tc>
        <w:tc>
          <w:tcPr>
            <w:tcW w:w="1080" w:type="dxa"/>
            <w:tcBorders>
              <w:top w:val="nil"/>
              <w:left w:val="nil"/>
              <w:bottom w:val="single" w:color="auto" w:sz="4" w:space="0"/>
              <w:right w:val="single" w:color="auto" w:sz="4" w:space="0"/>
            </w:tcBorders>
            <w:shd w:val="clear" w:color="000000" w:fill="FFFFFF"/>
            <w:noWrap/>
            <w:vAlign w:val="center"/>
          </w:tcPr>
          <w:p w14:paraId="1B27A05A">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46B6D53">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E86CC29">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68630674">
        <w:tblPrEx>
          <w:tblCellMar>
            <w:top w:w="0" w:type="dxa"/>
            <w:left w:w="108" w:type="dxa"/>
            <w:bottom w:w="0" w:type="dxa"/>
            <w:right w:w="108" w:type="dxa"/>
          </w:tblCellMar>
        </w:tblPrEx>
        <w:trPr>
          <w:trHeight w:val="1530"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52183B3D">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13</w:t>
            </w:r>
          </w:p>
        </w:tc>
        <w:tc>
          <w:tcPr>
            <w:tcW w:w="1734" w:type="dxa"/>
            <w:tcBorders>
              <w:top w:val="nil"/>
              <w:left w:val="nil"/>
              <w:bottom w:val="single" w:color="auto" w:sz="4" w:space="0"/>
              <w:right w:val="single" w:color="auto" w:sz="4" w:space="0"/>
            </w:tcBorders>
            <w:shd w:val="clear" w:color="000000" w:fill="FFFFFF"/>
          </w:tcPr>
          <w:p w14:paraId="2667F389">
            <w:pPr>
              <w:widowControl/>
              <w:jc w:val="left"/>
              <w:rPr>
                <w:rFonts w:ascii="宋体" w:hAnsi="宋体" w:cs="Tahoma"/>
                <w:color w:val="000000"/>
                <w:kern w:val="0"/>
                <w:szCs w:val="21"/>
              </w:rPr>
            </w:pPr>
            <w:r>
              <w:rPr>
                <w:rFonts w:hint="eastAsia" w:ascii="宋体" w:hAnsi="宋体" w:cs="Tahoma"/>
                <w:color w:val="000000"/>
                <w:kern w:val="0"/>
                <w:szCs w:val="21"/>
              </w:rPr>
              <w:t>上位机软件升级改造</w:t>
            </w:r>
          </w:p>
        </w:tc>
        <w:tc>
          <w:tcPr>
            <w:tcW w:w="3680" w:type="dxa"/>
            <w:tcBorders>
              <w:top w:val="nil"/>
              <w:left w:val="nil"/>
              <w:bottom w:val="single" w:color="auto" w:sz="4" w:space="0"/>
              <w:right w:val="single" w:color="auto" w:sz="4" w:space="0"/>
            </w:tcBorders>
            <w:shd w:val="clear" w:color="000000" w:fill="FFFFFF"/>
          </w:tcPr>
          <w:p w14:paraId="2D82E0AB">
            <w:pPr>
              <w:widowControl/>
              <w:jc w:val="left"/>
              <w:rPr>
                <w:rFonts w:ascii="宋体" w:hAnsi="宋体" w:cs="Tahoma"/>
                <w:color w:val="000000"/>
                <w:kern w:val="0"/>
                <w:szCs w:val="21"/>
              </w:rPr>
            </w:pPr>
            <w:r>
              <w:rPr>
                <w:rFonts w:ascii="宋体" w:hAnsi="宋体" w:cs="Tahoma"/>
                <w:color w:val="000000"/>
                <w:kern w:val="0"/>
                <w:szCs w:val="21"/>
              </w:rPr>
              <w:t>Wincc6.3升级到与冷站自控系统同版本Wincc7.5，原程序优化，与冷站风格一致、WINCC变量名称中文化，与冷站自控系统格式一致、界面美工，参照</w:t>
            </w:r>
            <w:r>
              <w:rPr>
                <w:rFonts w:hint="eastAsia" w:ascii="宋体" w:hAnsi="宋体" w:cs="Tahoma"/>
                <w:color w:val="000000"/>
                <w:kern w:val="0"/>
                <w:szCs w:val="21"/>
              </w:rPr>
              <w:t>制备站自控系统风格，约有</w:t>
            </w:r>
            <w:r>
              <w:rPr>
                <w:rFonts w:ascii="宋体" w:hAnsi="宋体" w:cs="Tahoma"/>
                <w:color w:val="000000"/>
                <w:kern w:val="0"/>
                <w:szCs w:val="21"/>
              </w:rPr>
              <w:t>5000个点位，Wincc</w:t>
            </w:r>
            <w:r>
              <w:rPr>
                <w:rFonts w:hint="eastAsia" w:ascii="宋体" w:hAnsi="宋体" w:cs="Tahoma"/>
                <w:color w:val="000000"/>
                <w:kern w:val="0"/>
                <w:szCs w:val="21"/>
              </w:rPr>
              <w:t>与</w:t>
            </w:r>
            <w:r>
              <w:rPr>
                <w:rFonts w:ascii="宋体" w:hAnsi="宋体" w:cs="Tahoma"/>
                <w:color w:val="000000"/>
                <w:kern w:val="0"/>
                <w:szCs w:val="21"/>
              </w:rPr>
              <w:t>PLC直连不经任何中转</w:t>
            </w:r>
          </w:p>
        </w:tc>
        <w:tc>
          <w:tcPr>
            <w:tcW w:w="1080" w:type="dxa"/>
            <w:tcBorders>
              <w:top w:val="nil"/>
              <w:left w:val="nil"/>
              <w:bottom w:val="single" w:color="auto" w:sz="4" w:space="0"/>
              <w:right w:val="single" w:color="auto" w:sz="4" w:space="0"/>
            </w:tcBorders>
            <w:shd w:val="clear" w:color="000000" w:fill="FFFFFF"/>
            <w:noWrap/>
            <w:vAlign w:val="center"/>
          </w:tcPr>
          <w:p w14:paraId="2C0CEEA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E3C8E34">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5E7965A">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325D5289">
        <w:tblPrEx>
          <w:tblCellMar>
            <w:top w:w="0" w:type="dxa"/>
            <w:left w:w="108" w:type="dxa"/>
            <w:bottom w:w="0" w:type="dxa"/>
            <w:right w:w="108" w:type="dxa"/>
          </w:tblCellMar>
        </w:tblPrEx>
        <w:trPr>
          <w:trHeight w:val="765" w:hRule="atLeast"/>
        </w:trPr>
        <w:tc>
          <w:tcPr>
            <w:tcW w:w="426" w:type="dxa"/>
            <w:tcBorders>
              <w:top w:val="nil"/>
              <w:left w:val="single" w:color="auto" w:sz="4" w:space="0"/>
              <w:bottom w:val="single" w:color="auto" w:sz="4" w:space="0"/>
              <w:right w:val="single" w:color="auto" w:sz="4" w:space="0"/>
            </w:tcBorders>
            <w:shd w:val="clear" w:color="000000" w:fill="FFFFFF"/>
            <w:noWrap/>
            <w:vAlign w:val="center"/>
          </w:tcPr>
          <w:p w14:paraId="206F322B">
            <w:pPr>
              <w:widowControl/>
              <w:jc w:val="center"/>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14</w:t>
            </w:r>
          </w:p>
        </w:tc>
        <w:tc>
          <w:tcPr>
            <w:tcW w:w="1734" w:type="dxa"/>
            <w:tcBorders>
              <w:top w:val="nil"/>
              <w:left w:val="nil"/>
              <w:bottom w:val="single" w:color="auto" w:sz="4" w:space="0"/>
              <w:right w:val="single" w:color="auto" w:sz="4" w:space="0"/>
            </w:tcBorders>
            <w:shd w:val="clear" w:color="000000" w:fill="FFFFFF"/>
          </w:tcPr>
          <w:p w14:paraId="159324E1">
            <w:pPr>
              <w:widowControl/>
              <w:jc w:val="left"/>
              <w:rPr>
                <w:rFonts w:ascii="宋体" w:hAnsi="宋体" w:cs="Tahoma"/>
                <w:color w:val="000000"/>
                <w:kern w:val="0"/>
                <w:szCs w:val="21"/>
              </w:rPr>
            </w:pPr>
            <w:r>
              <w:rPr>
                <w:rFonts w:hint="eastAsia" w:ascii="宋体" w:hAnsi="宋体" w:cs="Tahoma"/>
                <w:color w:val="000000"/>
                <w:kern w:val="0"/>
                <w:szCs w:val="21"/>
              </w:rPr>
              <w:t>数据传送至枢纽楼</w:t>
            </w:r>
          </w:p>
        </w:tc>
        <w:tc>
          <w:tcPr>
            <w:tcW w:w="3680" w:type="dxa"/>
            <w:tcBorders>
              <w:top w:val="nil"/>
              <w:left w:val="nil"/>
              <w:bottom w:val="single" w:color="auto" w:sz="4" w:space="0"/>
              <w:right w:val="single" w:color="auto" w:sz="4" w:space="0"/>
            </w:tcBorders>
            <w:shd w:val="clear" w:color="000000" w:fill="FFFFFF"/>
          </w:tcPr>
          <w:p w14:paraId="0C80DF85">
            <w:pPr>
              <w:widowControl/>
              <w:jc w:val="left"/>
              <w:rPr>
                <w:rFonts w:ascii="宋体" w:hAnsi="宋体" w:cs="Tahoma"/>
                <w:color w:val="000000"/>
                <w:kern w:val="0"/>
                <w:szCs w:val="21"/>
              </w:rPr>
            </w:pPr>
            <w:r>
              <w:rPr>
                <w:rFonts w:hint="eastAsia" w:ascii="宋体" w:hAnsi="宋体" w:cs="Tahoma"/>
                <w:color w:val="000000"/>
                <w:kern w:val="0"/>
                <w:szCs w:val="21"/>
              </w:rPr>
              <w:t>通过网关转发数据至枢纽楼并集成到枢纽楼上位机系统，枢纽楼上位机与管沟上位机同步</w:t>
            </w:r>
          </w:p>
        </w:tc>
        <w:tc>
          <w:tcPr>
            <w:tcW w:w="1080" w:type="dxa"/>
            <w:tcBorders>
              <w:top w:val="nil"/>
              <w:left w:val="nil"/>
              <w:bottom w:val="single" w:color="auto" w:sz="4" w:space="0"/>
              <w:right w:val="single" w:color="auto" w:sz="4" w:space="0"/>
            </w:tcBorders>
            <w:shd w:val="clear" w:color="000000" w:fill="FFFFFF"/>
            <w:noWrap/>
            <w:vAlign w:val="center"/>
          </w:tcPr>
          <w:p w14:paraId="722FBA6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60187DD">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15EF4F8">
            <w:pPr>
              <w:widowControl/>
              <w:jc w:val="center"/>
              <w:rPr>
                <w:rFonts w:ascii="宋体" w:hAnsi="宋体" w:cs="Tahoma"/>
                <w:color w:val="000000"/>
                <w:kern w:val="0"/>
                <w:szCs w:val="21"/>
              </w:rPr>
            </w:pPr>
            <w:r>
              <w:rPr>
                <w:rFonts w:hint="eastAsia" w:ascii="宋体" w:hAnsi="宋体" w:cs="Tahoma"/>
                <w:color w:val="000000"/>
                <w:kern w:val="0"/>
                <w:szCs w:val="21"/>
              </w:rPr>
              <w:t>项</w:t>
            </w:r>
          </w:p>
        </w:tc>
      </w:tr>
    </w:tbl>
    <w:p w14:paraId="6A1C9533">
      <w:pPr>
        <w:pStyle w:val="57"/>
        <w:widowControl w:val="0"/>
        <w:numPr>
          <w:ilvl w:val="0"/>
          <w:numId w:val="27"/>
        </w:numPr>
        <w:ind w:firstLineChars="0"/>
        <w:rPr>
          <w:rFonts w:ascii="宋体" w:hAnsi="宋体" w:eastAsia="宋体"/>
          <w:vanish/>
          <w:color w:val="000000"/>
          <w:kern w:val="2"/>
          <w:sz w:val="21"/>
          <w:szCs w:val="21"/>
          <w:lang w:eastAsia="zh-CN"/>
        </w:rPr>
      </w:pPr>
    </w:p>
    <w:p w14:paraId="6AF5C23F">
      <w:pPr>
        <w:pStyle w:val="57"/>
        <w:widowControl w:val="0"/>
        <w:numPr>
          <w:ilvl w:val="0"/>
          <w:numId w:val="27"/>
        </w:numPr>
        <w:ind w:firstLineChars="0"/>
        <w:rPr>
          <w:rFonts w:ascii="宋体" w:hAnsi="宋体" w:eastAsia="宋体"/>
          <w:vanish/>
          <w:color w:val="000000"/>
          <w:kern w:val="2"/>
          <w:sz w:val="21"/>
          <w:szCs w:val="21"/>
          <w:lang w:eastAsia="zh-CN"/>
        </w:rPr>
      </w:pPr>
    </w:p>
    <w:p w14:paraId="51F3CB2A">
      <w:pPr>
        <w:pStyle w:val="57"/>
        <w:widowControl w:val="0"/>
        <w:numPr>
          <w:ilvl w:val="0"/>
          <w:numId w:val="27"/>
        </w:numPr>
        <w:ind w:firstLineChars="0"/>
        <w:rPr>
          <w:rFonts w:ascii="宋体" w:hAnsi="宋体" w:eastAsia="宋体"/>
          <w:vanish/>
          <w:color w:val="000000"/>
          <w:kern w:val="2"/>
          <w:sz w:val="21"/>
          <w:szCs w:val="21"/>
          <w:lang w:eastAsia="zh-CN"/>
        </w:rPr>
      </w:pPr>
    </w:p>
    <w:p w14:paraId="109426D4">
      <w:pPr>
        <w:pStyle w:val="57"/>
        <w:widowControl w:val="0"/>
        <w:numPr>
          <w:ilvl w:val="0"/>
          <w:numId w:val="27"/>
        </w:numPr>
        <w:ind w:firstLineChars="0"/>
        <w:rPr>
          <w:rFonts w:ascii="宋体" w:hAnsi="宋体" w:eastAsia="宋体"/>
          <w:vanish/>
          <w:color w:val="000000"/>
          <w:kern w:val="2"/>
          <w:sz w:val="21"/>
          <w:szCs w:val="21"/>
          <w:lang w:eastAsia="zh-CN"/>
        </w:rPr>
      </w:pPr>
    </w:p>
    <w:p w14:paraId="5D783575">
      <w:pPr>
        <w:numPr>
          <w:ilvl w:val="0"/>
          <w:numId w:val="22"/>
        </w:numPr>
        <w:spacing w:line="120" w:lineRule="atLeast"/>
        <w:outlineLvl w:val="1"/>
        <w:rPr>
          <w:rFonts w:ascii="宋体" w:hAnsi="宋体"/>
          <w:b/>
          <w:szCs w:val="21"/>
        </w:rPr>
      </w:pPr>
      <w:r>
        <w:rPr>
          <w:rFonts w:hint="eastAsia" w:ascii="宋体" w:hAnsi="宋体"/>
          <w:b/>
          <w:szCs w:val="21"/>
        </w:rPr>
        <w:t>技术要求</w:t>
      </w:r>
    </w:p>
    <w:p w14:paraId="29A02B63">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3D21D19">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2EBC1F2">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04C8AFC">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FE9F6B7">
      <w:pPr>
        <w:pStyle w:val="16"/>
        <w:numPr>
          <w:ilvl w:val="1"/>
          <w:numId w:val="28"/>
        </w:numPr>
        <w:shd w:val="clear" w:color="auto" w:fill="FFFFFF"/>
        <w:wordWrap w:val="0"/>
        <w:rPr>
          <w:kern w:val="2"/>
          <w:sz w:val="21"/>
          <w:szCs w:val="21"/>
        </w:rPr>
      </w:pPr>
      <w:r>
        <w:rPr>
          <w:rFonts w:hint="eastAsia"/>
          <w:kern w:val="2"/>
          <w:sz w:val="21"/>
          <w:szCs w:val="21"/>
        </w:rPr>
        <w:t>接线端子排及附件要按图纸安装完整，编号无缺失、所有紧固螺丝要拧紧，力矩合适，无松动或滑丝，线缆两端要按图纸套号码管，号码管长度，方向要一致，使用合适的字号，所有线缆接线端要压线卡，线卡无松动，变形，控制柜内无杂物，器件上无铁屑，控制柜的附件齐全，人机界面的工艺流程画面要与实际一致，</w:t>
      </w:r>
      <w:r>
        <w:rPr>
          <w:kern w:val="2"/>
          <w:sz w:val="21"/>
          <w:szCs w:val="21"/>
        </w:rPr>
        <w:t>人机界面的布局设计根据人体工程学的要求应该实现简洁、平衡和风格一致</w:t>
      </w:r>
      <w:r>
        <w:rPr>
          <w:rFonts w:hint="eastAsia"/>
          <w:kern w:val="2"/>
          <w:sz w:val="21"/>
          <w:szCs w:val="21"/>
        </w:rPr>
        <w:t>，</w:t>
      </w:r>
      <w:r>
        <w:rPr>
          <w:kern w:val="2"/>
          <w:sz w:val="21"/>
          <w:szCs w:val="21"/>
        </w:rPr>
        <w:t>综合管沟的人机界面画面要同步集成到枢纽楼10楼自控系统电脑。</w:t>
      </w:r>
    </w:p>
    <w:p w14:paraId="6F5DC2B6">
      <w:pPr>
        <w:pStyle w:val="16"/>
        <w:numPr>
          <w:ilvl w:val="1"/>
          <w:numId w:val="28"/>
        </w:numPr>
        <w:shd w:val="clear" w:color="auto" w:fill="FFFFFF"/>
        <w:wordWrap w:val="0"/>
        <w:rPr>
          <w:kern w:val="2"/>
          <w:sz w:val="21"/>
          <w:szCs w:val="21"/>
        </w:rPr>
      </w:pPr>
      <w:r>
        <w:rPr>
          <w:rFonts w:hint="eastAsia"/>
          <w:kern w:val="2"/>
          <w:sz w:val="21"/>
          <w:szCs w:val="21"/>
        </w:rPr>
        <w:t>光缆部分</w:t>
      </w:r>
    </w:p>
    <w:p w14:paraId="6ACB35BC">
      <w:pPr>
        <w:pStyle w:val="16"/>
        <w:numPr>
          <w:ilvl w:val="2"/>
          <w:numId w:val="28"/>
        </w:numPr>
        <w:shd w:val="clear" w:color="auto" w:fill="FFFFFF"/>
        <w:wordWrap w:val="0"/>
        <w:rPr>
          <w:kern w:val="2"/>
          <w:sz w:val="21"/>
          <w:szCs w:val="21"/>
        </w:rPr>
      </w:pPr>
      <w:r>
        <w:rPr>
          <w:rFonts w:hint="eastAsia"/>
          <w:kern w:val="2"/>
          <w:sz w:val="21"/>
          <w:szCs w:val="21"/>
        </w:rPr>
        <w:t>新光缆安装按施工深化图纸路由敷设，不可擅自改变，如有特殊情况确需改变，需向业主呈报方案，并经业主同意后方可实施。</w:t>
      </w:r>
    </w:p>
    <w:p w14:paraId="780DE576">
      <w:pPr>
        <w:pStyle w:val="16"/>
        <w:numPr>
          <w:ilvl w:val="2"/>
          <w:numId w:val="28"/>
        </w:numPr>
        <w:shd w:val="clear" w:color="auto" w:fill="FFFFFF"/>
        <w:wordWrap w:val="0"/>
        <w:rPr>
          <w:kern w:val="2"/>
          <w:sz w:val="21"/>
          <w:szCs w:val="21"/>
        </w:rPr>
      </w:pPr>
      <w:r>
        <w:rPr>
          <w:rFonts w:hint="eastAsia"/>
          <w:kern w:val="2"/>
          <w:sz w:val="21"/>
          <w:szCs w:val="21"/>
        </w:rPr>
        <w:t>光纤弯曲时，弯曲半径应大于</w:t>
      </w:r>
      <w:r>
        <w:rPr>
          <w:kern w:val="2"/>
          <w:sz w:val="21"/>
          <w:szCs w:val="21"/>
        </w:rPr>
        <w:t>50mm。</w:t>
      </w:r>
    </w:p>
    <w:p w14:paraId="78227D3B">
      <w:pPr>
        <w:pStyle w:val="16"/>
        <w:numPr>
          <w:ilvl w:val="2"/>
          <w:numId w:val="28"/>
        </w:numPr>
        <w:shd w:val="clear" w:color="auto" w:fill="FFFFFF"/>
        <w:wordWrap w:val="0"/>
        <w:rPr>
          <w:kern w:val="2"/>
          <w:sz w:val="21"/>
          <w:szCs w:val="21"/>
        </w:rPr>
      </w:pPr>
      <w:r>
        <w:rPr>
          <w:rFonts w:hint="eastAsia"/>
          <w:kern w:val="2"/>
          <w:sz w:val="21"/>
          <w:szCs w:val="21"/>
        </w:rPr>
        <w:t>余量段必须用尼龙扎带将其绑扎成环状，牢靠固定，弯曲半径应大于</w:t>
      </w:r>
      <w:r>
        <w:rPr>
          <w:kern w:val="2"/>
          <w:sz w:val="21"/>
          <w:szCs w:val="21"/>
        </w:rPr>
        <w:t>50mm。</w:t>
      </w:r>
    </w:p>
    <w:p w14:paraId="15305F8D">
      <w:pPr>
        <w:pStyle w:val="16"/>
        <w:numPr>
          <w:ilvl w:val="2"/>
          <w:numId w:val="28"/>
        </w:numPr>
        <w:shd w:val="clear" w:color="auto" w:fill="FFFFFF"/>
        <w:wordWrap w:val="0"/>
        <w:rPr>
          <w:kern w:val="2"/>
          <w:sz w:val="21"/>
          <w:szCs w:val="21"/>
        </w:rPr>
      </w:pPr>
      <w:r>
        <w:rPr>
          <w:rFonts w:hint="eastAsia"/>
          <w:kern w:val="2"/>
          <w:sz w:val="21"/>
          <w:szCs w:val="21"/>
        </w:rPr>
        <w:t>同一光通道所有折断处、有明显损伤处必须熔接。</w:t>
      </w:r>
    </w:p>
    <w:p w14:paraId="0886196A">
      <w:pPr>
        <w:pStyle w:val="16"/>
        <w:numPr>
          <w:ilvl w:val="2"/>
          <w:numId w:val="28"/>
        </w:numPr>
        <w:shd w:val="clear" w:color="auto" w:fill="FFFFFF"/>
        <w:wordWrap w:val="0"/>
        <w:rPr>
          <w:kern w:val="2"/>
          <w:sz w:val="21"/>
          <w:szCs w:val="21"/>
        </w:rPr>
      </w:pPr>
      <w:r>
        <w:rPr>
          <w:rFonts w:hint="eastAsia"/>
          <w:kern w:val="2"/>
          <w:sz w:val="21"/>
          <w:szCs w:val="21"/>
        </w:rPr>
        <w:t>光纤接头处应使用光缆接续盒保护，光缆接续盒、终端保护盒防护等级应达到或高于</w:t>
      </w:r>
      <w:r>
        <w:rPr>
          <w:kern w:val="2"/>
          <w:sz w:val="21"/>
          <w:szCs w:val="21"/>
        </w:rPr>
        <w:t>IP65。光缆接续盒应固定在墙壁或支架上。</w:t>
      </w:r>
    </w:p>
    <w:p w14:paraId="6508D0C1">
      <w:pPr>
        <w:pStyle w:val="16"/>
        <w:numPr>
          <w:ilvl w:val="2"/>
          <w:numId w:val="28"/>
        </w:numPr>
        <w:shd w:val="clear" w:color="auto" w:fill="FFFFFF"/>
        <w:wordWrap w:val="0"/>
        <w:rPr>
          <w:kern w:val="2"/>
          <w:sz w:val="21"/>
          <w:szCs w:val="21"/>
        </w:rPr>
      </w:pPr>
      <w:r>
        <w:rPr>
          <w:rFonts w:hint="eastAsia"/>
          <w:kern w:val="2"/>
          <w:sz w:val="21"/>
          <w:szCs w:val="21"/>
        </w:rPr>
        <w:t>光纤连接应采用专用设备，连接后必须对光纤进行测试，单个接头熔接损耗不得大于</w:t>
      </w:r>
      <w:r>
        <w:rPr>
          <w:kern w:val="2"/>
          <w:sz w:val="21"/>
          <w:szCs w:val="21"/>
        </w:rPr>
        <w:t>0.2dB。</w:t>
      </w:r>
    </w:p>
    <w:p w14:paraId="0A8032F2">
      <w:pPr>
        <w:pStyle w:val="16"/>
        <w:numPr>
          <w:ilvl w:val="2"/>
          <w:numId w:val="28"/>
        </w:numPr>
        <w:shd w:val="clear" w:color="auto" w:fill="FFFFFF"/>
        <w:wordWrap w:val="0"/>
        <w:rPr>
          <w:kern w:val="2"/>
          <w:sz w:val="21"/>
          <w:szCs w:val="21"/>
        </w:rPr>
      </w:pPr>
      <w:r>
        <w:rPr>
          <w:rFonts w:hint="eastAsia"/>
          <w:kern w:val="2"/>
          <w:sz w:val="21"/>
          <w:szCs w:val="21"/>
        </w:rPr>
        <w:t>每段光缆应编号并记录、贴好现场标识</w:t>
      </w:r>
    </w:p>
    <w:p w14:paraId="3E4593C5">
      <w:pPr>
        <w:pStyle w:val="16"/>
        <w:numPr>
          <w:ilvl w:val="2"/>
          <w:numId w:val="28"/>
        </w:numPr>
        <w:shd w:val="clear" w:color="auto" w:fill="FFFFFF"/>
        <w:wordWrap w:val="0"/>
        <w:rPr>
          <w:kern w:val="2"/>
          <w:sz w:val="21"/>
          <w:szCs w:val="21"/>
        </w:rPr>
      </w:pPr>
      <w:r>
        <w:rPr>
          <w:rFonts w:hint="eastAsia"/>
          <w:kern w:val="2"/>
          <w:sz w:val="21"/>
          <w:szCs w:val="21"/>
        </w:rPr>
        <w:t>每段光缆的安装位置（起点和终点）应作记录。</w:t>
      </w:r>
    </w:p>
    <w:p w14:paraId="289C193E">
      <w:pPr>
        <w:pStyle w:val="16"/>
        <w:numPr>
          <w:ilvl w:val="2"/>
          <w:numId w:val="28"/>
        </w:numPr>
        <w:shd w:val="clear" w:color="auto" w:fill="FFFFFF"/>
        <w:wordWrap w:val="0"/>
        <w:rPr>
          <w:kern w:val="2"/>
          <w:sz w:val="21"/>
          <w:szCs w:val="21"/>
        </w:rPr>
      </w:pPr>
      <w:r>
        <w:rPr>
          <w:rFonts w:hint="eastAsia"/>
          <w:kern w:val="2"/>
          <w:sz w:val="21"/>
          <w:szCs w:val="21"/>
        </w:rPr>
        <w:t>光缆安装完成后，需对每段连续的光缆进行测光，形成测试记录。</w:t>
      </w:r>
    </w:p>
    <w:p w14:paraId="54453A12">
      <w:pPr>
        <w:pStyle w:val="16"/>
        <w:numPr>
          <w:ilvl w:val="1"/>
          <w:numId w:val="28"/>
        </w:numPr>
        <w:shd w:val="clear" w:color="auto" w:fill="FFFFFF"/>
        <w:wordWrap w:val="0"/>
        <w:rPr>
          <w:kern w:val="2"/>
          <w:sz w:val="21"/>
          <w:szCs w:val="21"/>
        </w:rPr>
      </w:pPr>
      <w:r>
        <w:rPr>
          <w:rFonts w:hint="eastAsia"/>
          <w:kern w:val="2"/>
          <w:sz w:val="21"/>
          <w:szCs w:val="21"/>
        </w:rPr>
        <w:t>监控设备及数据采样、传输方式</w:t>
      </w:r>
    </w:p>
    <w:p w14:paraId="6C5BD353">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5F06CBB4">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60E271C1">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184DF3CC">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50FD5E8A">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08F8A436">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5D95D23D">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1F62B8F8">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控制柜、箱及附件、电器元件防护等级为</w:t>
      </w:r>
      <w:r>
        <w:rPr>
          <w:rFonts w:ascii="宋体" w:hAnsi="宋体" w:eastAsia="宋体"/>
          <w:kern w:val="2"/>
          <w:sz w:val="21"/>
          <w:szCs w:val="21"/>
          <w:lang w:eastAsia="zh-CN"/>
        </w:rPr>
        <w:t>IP55、环境温度60</w:t>
      </w:r>
      <w:r>
        <w:rPr>
          <w:rFonts w:hint="eastAsia" w:ascii="宋体" w:hAnsi="宋体" w:eastAsia="宋体"/>
          <w:kern w:val="2"/>
          <w:sz w:val="21"/>
          <w:szCs w:val="21"/>
          <w:lang w:eastAsia="zh-CN"/>
        </w:rPr>
        <w:t>℃以上。风机、温度、水位、压力、环境监测、水泵等监控采用硬接线方式接入控制柜，方便设备维护。</w:t>
      </w:r>
    </w:p>
    <w:p w14:paraId="7AB6A27E">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通过</w:t>
      </w:r>
      <w:r>
        <w:rPr>
          <w:rFonts w:ascii="宋体" w:hAnsi="宋体" w:eastAsia="宋体"/>
          <w:kern w:val="2"/>
          <w:sz w:val="21"/>
          <w:szCs w:val="21"/>
          <w:lang w:eastAsia="zh-CN"/>
        </w:rPr>
        <w:t>PLC控制柜将设备运行数据传送至控制室。</w:t>
      </w:r>
    </w:p>
    <w:p w14:paraId="696DA137">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sz w:val="21"/>
          <w:szCs w:val="21"/>
          <w:lang w:eastAsia="zh-CN"/>
        </w:rPr>
        <w:t>辅助设备系统的数据，采用</w:t>
      </w:r>
      <w:r>
        <w:rPr>
          <w:rFonts w:ascii="宋体" w:hAnsi="宋体" w:eastAsia="宋体"/>
          <w:sz w:val="21"/>
          <w:szCs w:val="21"/>
          <w:lang w:eastAsia="zh-CN"/>
        </w:rPr>
        <w:t>MODBUSRTU总线通讯方式集成入网关内，同时为今后的通讯设备扩充提供接口，传送枢纽楼采用MODBUSTCP总线通讯方式。</w:t>
      </w:r>
    </w:p>
    <w:p w14:paraId="2B6D9CFD">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sz w:val="21"/>
          <w:szCs w:val="21"/>
          <w:lang w:eastAsia="zh-CN"/>
        </w:rPr>
        <w:t>所有数据、工艺集成到上位机及触摸屏。</w:t>
      </w:r>
    </w:p>
    <w:p w14:paraId="345DCB5F">
      <w:pPr>
        <w:pStyle w:val="16"/>
        <w:numPr>
          <w:ilvl w:val="1"/>
          <w:numId w:val="28"/>
        </w:numPr>
        <w:shd w:val="clear" w:color="auto" w:fill="FFFFFF"/>
        <w:wordWrap w:val="0"/>
        <w:rPr>
          <w:kern w:val="2"/>
          <w:sz w:val="21"/>
          <w:szCs w:val="21"/>
        </w:rPr>
      </w:pPr>
      <w:r>
        <w:rPr>
          <w:rFonts w:hint="eastAsia"/>
          <w:kern w:val="2"/>
          <w:sz w:val="21"/>
          <w:szCs w:val="21"/>
        </w:rPr>
        <w:t>控制柜配置规格要求</w:t>
      </w:r>
    </w:p>
    <w:p w14:paraId="3A8B6265">
      <w:pPr>
        <w:pStyle w:val="16"/>
        <w:shd w:val="clear" w:color="auto" w:fill="FFFFFF"/>
        <w:wordWrap w:val="0"/>
        <w:ind w:firstLine="420" w:firstLineChars="200"/>
        <w:rPr>
          <w:kern w:val="2"/>
          <w:sz w:val="21"/>
          <w:szCs w:val="21"/>
        </w:rPr>
      </w:pPr>
      <w:r>
        <w:rPr>
          <w:rFonts w:hint="eastAsia"/>
          <w:kern w:val="2"/>
          <w:sz w:val="21"/>
          <w:szCs w:val="21"/>
        </w:rPr>
        <w:t>投标书技术文件必须包含控制柜的设计图纸，包括柜内配置图，接线图和点表清单。中标单位签订合同后</w:t>
      </w:r>
      <w:r>
        <w:rPr>
          <w:kern w:val="2"/>
          <w:sz w:val="21"/>
          <w:szCs w:val="21"/>
        </w:rPr>
        <w:t>7</w:t>
      </w:r>
      <w:r>
        <w:rPr>
          <w:rFonts w:hint="eastAsia"/>
          <w:kern w:val="2"/>
          <w:sz w:val="21"/>
          <w:szCs w:val="21"/>
        </w:rPr>
        <w:t>日内完成控制柜的最终优化设计，优化设计通过业主审核后进行组装、测试。实现</w:t>
      </w:r>
      <w:r>
        <w:rPr>
          <w:kern w:val="2"/>
          <w:sz w:val="21"/>
          <w:szCs w:val="21"/>
        </w:rPr>
        <w:t>CPU/</w:t>
      </w:r>
      <w:r>
        <w:rPr>
          <w:rFonts w:hint="eastAsia"/>
          <w:kern w:val="2"/>
          <w:sz w:val="21"/>
          <w:szCs w:val="21"/>
        </w:rPr>
        <w:t>网关控制柜与</w:t>
      </w:r>
      <w:r>
        <w:rPr>
          <w:kern w:val="2"/>
          <w:sz w:val="21"/>
          <w:szCs w:val="21"/>
        </w:rPr>
        <w:t>IO</w:t>
      </w:r>
      <w:r>
        <w:rPr>
          <w:rFonts w:hint="eastAsia"/>
          <w:kern w:val="2"/>
          <w:sz w:val="21"/>
          <w:szCs w:val="21"/>
        </w:rPr>
        <w:t>控制柜的通讯，编写测试软件，利用信号发生器完成模拟测试，能模拟电动阀门的开关动作和状态反馈，模拟温度、水位、压力、环境监测信号，模拟水泵的状态及控制信号。测试通过后提交</w:t>
      </w:r>
      <w:r>
        <w:rPr>
          <w:kern w:val="2"/>
          <w:sz w:val="21"/>
          <w:szCs w:val="21"/>
        </w:rPr>
        <w:t>IO</w:t>
      </w:r>
      <w:r>
        <w:rPr>
          <w:rFonts w:hint="eastAsia"/>
          <w:kern w:val="2"/>
          <w:sz w:val="21"/>
          <w:szCs w:val="21"/>
        </w:rPr>
        <w:t>点的测试报告，业主审核后再送至业主指定地点，由乙方完成机柜安装和现场设备的接线、调试工作。控制柜内电线颜色必须满足，</w:t>
      </w:r>
      <w:r>
        <w:rPr>
          <w:kern w:val="2"/>
          <w:sz w:val="21"/>
          <w:szCs w:val="21"/>
        </w:rPr>
        <w:t>24V-</w:t>
      </w:r>
      <w:r>
        <w:rPr>
          <w:rFonts w:hint="eastAsia"/>
          <w:kern w:val="2"/>
          <w:sz w:val="21"/>
          <w:szCs w:val="21"/>
        </w:rPr>
        <w:t>红色，</w:t>
      </w:r>
      <w:r>
        <w:rPr>
          <w:kern w:val="2"/>
          <w:sz w:val="21"/>
          <w:szCs w:val="21"/>
        </w:rPr>
        <w:t>0V-</w:t>
      </w:r>
      <w:r>
        <w:rPr>
          <w:rFonts w:hint="eastAsia"/>
          <w:kern w:val="2"/>
          <w:sz w:val="21"/>
          <w:szCs w:val="21"/>
        </w:rPr>
        <w:t>黑色，</w:t>
      </w:r>
      <w:r>
        <w:rPr>
          <w:kern w:val="2"/>
          <w:sz w:val="21"/>
          <w:szCs w:val="21"/>
        </w:rPr>
        <w:t>DI-</w:t>
      </w:r>
      <w:r>
        <w:rPr>
          <w:rFonts w:hint="eastAsia"/>
          <w:kern w:val="2"/>
          <w:sz w:val="21"/>
          <w:szCs w:val="21"/>
        </w:rPr>
        <w:t>橙色，</w:t>
      </w:r>
      <w:r>
        <w:rPr>
          <w:kern w:val="2"/>
          <w:sz w:val="21"/>
          <w:szCs w:val="21"/>
        </w:rPr>
        <w:t>DO-</w:t>
      </w:r>
      <w:r>
        <w:rPr>
          <w:rFonts w:hint="eastAsia"/>
          <w:kern w:val="2"/>
          <w:sz w:val="21"/>
          <w:szCs w:val="21"/>
        </w:rPr>
        <w:t>黄色，</w:t>
      </w:r>
      <w:r>
        <w:rPr>
          <w:kern w:val="2"/>
          <w:sz w:val="21"/>
          <w:szCs w:val="21"/>
        </w:rPr>
        <w:t>AI-</w:t>
      </w:r>
      <w:r>
        <w:rPr>
          <w:rFonts w:hint="eastAsia"/>
          <w:kern w:val="2"/>
          <w:sz w:val="21"/>
          <w:szCs w:val="21"/>
        </w:rPr>
        <w:t>粉色，</w:t>
      </w:r>
      <w:r>
        <w:rPr>
          <w:kern w:val="2"/>
          <w:sz w:val="21"/>
          <w:szCs w:val="21"/>
        </w:rPr>
        <w:t>AO-</w:t>
      </w:r>
      <w:r>
        <w:rPr>
          <w:rFonts w:hint="eastAsia"/>
          <w:kern w:val="2"/>
          <w:sz w:val="21"/>
          <w:szCs w:val="21"/>
        </w:rPr>
        <w:t>紫色，</w:t>
      </w:r>
      <w:r>
        <w:rPr>
          <w:kern w:val="2"/>
          <w:sz w:val="21"/>
          <w:szCs w:val="21"/>
        </w:rPr>
        <w:t>485</w:t>
      </w:r>
      <w:r>
        <w:rPr>
          <w:rFonts w:hint="eastAsia"/>
          <w:kern w:val="2"/>
          <w:sz w:val="21"/>
          <w:szCs w:val="21"/>
        </w:rPr>
        <w:t>通讯线</w:t>
      </w:r>
      <w:r>
        <w:rPr>
          <w:kern w:val="2"/>
          <w:sz w:val="21"/>
          <w:szCs w:val="21"/>
        </w:rPr>
        <w:t>-</w:t>
      </w:r>
      <w:r>
        <w:rPr>
          <w:rFonts w:hint="eastAsia"/>
          <w:kern w:val="2"/>
          <w:sz w:val="21"/>
          <w:szCs w:val="21"/>
        </w:rPr>
        <w:t>白色。</w:t>
      </w:r>
    </w:p>
    <w:p w14:paraId="2472EB0A">
      <w:pPr>
        <w:pStyle w:val="16"/>
        <w:numPr>
          <w:ilvl w:val="1"/>
          <w:numId w:val="28"/>
        </w:numPr>
        <w:shd w:val="clear" w:color="auto" w:fill="FFFFFF"/>
        <w:wordWrap w:val="0"/>
        <w:rPr>
          <w:kern w:val="2"/>
          <w:sz w:val="21"/>
          <w:szCs w:val="21"/>
        </w:rPr>
      </w:pPr>
      <w:r>
        <w:rPr>
          <w:rFonts w:hint="eastAsia"/>
          <w:kern w:val="2"/>
          <w:sz w:val="21"/>
          <w:szCs w:val="21"/>
        </w:rPr>
        <w:t>控制柜安装位置和高度</w:t>
      </w:r>
    </w:p>
    <w:p w14:paraId="6F38DF19">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61423AE9">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59B043E2">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33715F96">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75EC2325">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0E3C95C8">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7DEC9458">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0BF691CF">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319124EF">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5A09C7F1">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控制</w:t>
      </w:r>
      <w:r>
        <w:rPr>
          <w:rFonts w:hint="eastAsia" w:ascii="宋体" w:hAnsi="宋体" w:eastAsia="宋体"/>
          <w:kern w:val="2"/>
          <w:sz w:val="21"/>
          <w:szCs w:val="21"/>
          <w:lang w:eastAsia="zh-CN"/>
        </w:rPr>
        <w:t>柜</w:t>
      </w:r>
      <w:r>
        <w:rPr>
          <w:rFonts w:hint="eastAsia" w:ascii="宋体" w:hAnsi="宋体" w:eastAsia="宋体" w:cs="仿宋"/>
          <w:kern w:val="2"/>
          <w:sz w:val="21"/>
          <w:szCs w:val="21"/>
          <w:lang w:eastAsia="zh-CN"/>
        </w:rPr>
        <w:t>应安装在便于操作和维护的位置，</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同时考虑到安全和方便维修的原则。</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壁挂式控制</w:t>
      </w:r>
      <w:r>
        <w:rPr>
          <w:rFonts w:hint="eastAsia" w:ascii="宋体" w:hAnsi="宋体" w:eastAsia="宋体"/>
          <w:kern w:val="2"/>
          <w:sz w:val="21"/>
          <w:szCs w:val="21"/>
          <w:lang w:eastAsia="zh-CN"/>
        </w:rPr>
        <w:t>柜</w:t>
      </w:r>
      <w:r>
        <w:rPr>
          <w:rFonts w:hint="eastAsia" w:ascii="宋体" w:hAnsi="宋体" w:eastAsia="宋体" w:cs="仿宋"/>
          <w:kern w:val="2"/>
          <w:sz w:val="21"/>
          <w:szCs w:val="21"/>
          <w:lang w:eastAsia="zh-CN"/>
        </w:rPr>
        <w:t>的安装高度宜为</w:t>
      </w:r>
      <w:r>
        <w:rPr>
          <w:rFonts w:ascii="宋体" w:hAnsi="宋体" w:eastAsia="宋体"/>
          <w:kern w:val="2"/>
          <w:sz w:val="21"/>
          <w:szCs w:val="21"/>
          <w:lang w:eastAsia="zh-CN"/>
        </w:rPr>
        <w:t>1.3~1.5</w:t>
      </w:r>
      <w:r>
        <w:rPr>
          <w:rFonts w:hint="eastAsia" w:ascii="宋体" w:hAnsi="宋体" w:eastAsia="宋体"/>
          <w:kern w:val="2"/>
          <w:sz w:val="21"/>
          <w:szCs w:val="21"/>
          <w:lang w:eastAsia="zh-CN"/>
        </w:rPr>
        <w:t>米，</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这样既可以保证操作人员可以方便地查看和控制，</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又能确保安全操作距离</w:t>
      </w:r>
      <w:r>
        <w:rPr>
          <w:rFonts w:hint="eastAsia" w:ascii="宋体" w:hAnsi="宋体" w:eastAsia="宋体"/>
          <w:kern w:val="2"/>
          <w:sz w:val="21"/>
          <w:szCs w:val="21"/>
          <w:lang w:eastAsia="zh-CN"/>
        </w:rPr>
        <w:t>。</w:t>
      </w:r>
    </w:p>
    <w:p w14:paraId="3BAFE026">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固定和稳定性：</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控制柜应牢固地安装在墙上，</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确保不会因外部力量而移动或摇晃。</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安装时应遵循横平竖直的原则，</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以保持控制柜的稳定性和美观性，固定方式根据现场情况编写到实施方案中。</w:t>
      </w:r>
      <w:r>
        <w:rPr>
          <w:rFonts w:ascii="MS Mincho" w:hAnsi="MS Mincho" w:eastAsia="MS Mincho" w:cs="MS Mincho"/>
          <w:kern w:val="2"/>
          <w:sz w:val="21"/>
          <w:szCs w:val="21"/>
          <w:lang w:eastAsia="zh-CN"/>
        </w:rPr>
        <w:t>‌</w:t>
      </w:r>
    </w:p>
    <w:p w14:paraId="29D011FD">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电源线和电缆管理：</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电源线和电缆的进出应通过线槽或线管进行保护，</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避免直接暴露在外，</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以增加安全性和延长电缆使用寿命。</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插板应安装在配电箱侧面或下面，</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电线必须穿管防护，</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确保安装牢固。</w:t>
      </w:r>
    </w:p>
    <w:p w14:paraId="5A303D78">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安全标识：</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配电箱正面应粘贴当心触电的标示，</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以提醒操作人员注意安全。</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此外，</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对于控制柜内的电气元件，</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应明确标识其用途和操作方法，</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避免误操作。</w:t>
      </w:r>
      <w:r>
        <w:rPr>
          <w:rFonts w:ascii="MS Mincho" w:hAnsi="MS Mincho" w:eastAsia="MS Mincho" w:cs="MS Mincho"/>
          <w:kern w:val="2"/>
          <w:sz w:val="21"/>
          <w:szCs w:val="21"/>
          <w:lang w:eastAsia="zh-CN"/>
        </w:rPr>
        <w:t>‌</w:t>
      </w:r>
    </w:p>
    <w:p w14:paraId="6BE7D812">
      <w:pPr>
        <w:pStyle w:val="16"/>
        <w:numPr>
          <w:ilvl w:val="1"/>
          <w:numId w:val="28"/>
        </w:numPr>
        <w:shd w:val="clear" w:color="auto" w:fill="FFFFFF"/>
        <w:wordWrap w:val="0"/>
        <w:rPr>
          <w:kern w:val="2"/>
          <w:sz w:val="21"/>
          <w:szCs w:val="21"/>
        </w:rPr>
      </w:pPr>
      <w:r>
        <w:rPr>
          <w:rFonts w:hint="eastAsia"/>
          <w:kern w:val="2"/>
          <w:sz w:val="21"/>
          <w:szCs w:val="21"/>
        </w:rPr>
        <w:t>供电与接地</w:t>
      </w:r>
    </w:p>
    <w:p w14:paraId="01FB3136">
      <w:pPr>
        <w:pStyle w:val="16"/>
        <w:shd w:val="clear" w:color="auto" w:fill="FFFFFF"/>
        <w:wordWrap w:val="0"/>
        <w:ind w:firstLine="420" w:firstLineChars="200"/>
        <w:rPr>
          <w:kern w:val="2"/>
          <w:sz w:val="21"/>
          <w:szCs w:val="21"/>
        </w:rPr>
      </w:pPr>
      <w:r>
        <w:rPr>
          <w:rFonts w:hint="eastAsia"/>
          <w:kern w:val="2"/>
          <w:sz w:val="21"/>
          <w:szCs w:val="21"/>
        </w:rPr>
        <w:t>系统供电应采用</w:t>
      </w:r>
      <w:r>
        <w:rPr>
          <w:kern w:val="2"/>
          <w:sz w:val="21"/>
          <w:szCs w:val="21"/>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14:paraId="2E5E9460">
      <w:pPr>
        <w:pStyle w:val="16"/>
        <w:numPr>
          <w:ilvl w:val="1"/>
          <w:numId w:val="28"/>
        </w:numPr>
        <w:shd w:val="clear" w:color="auto" w:fill="FFFFFF"/>
        <w:wordWrap w:val="0"/>
        <w:rPr>
          <w:kern w:val="2"/>
          <w:sz w:val="21"/>
          <w:szCs w:val="21"/>
        </w:rPr>
      </w:pPr>
      <w:r>
        <w:rPr>
          <w:rFonts w:hint="eastAsia"/>
          <w:kern w:val="2"/>
          <w:sz w:val="21"/>
          <w:szCs w:val="21"/>
        </w:rPr>
        <w:t>其他要求</w:t>
      </w:r>
    </w:p>
    <w:p w14:paraId="0BAC9CDC">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3AC4F096">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3EC61866">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530A2589">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0E527FCD">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F5798C7">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2E1517E1">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C684BC5">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291E0E44">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0C3E258C">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12F43221">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16AE609">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供货商负责供货、调试，工艺满足原设计要求、满足使用要求；</w:t>
      </w:r>
    </w:p>
    <w:p w14:paraId="54E7E296">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随时提供技术咨询或现场培训；</w:t>
      </w:r>
    </w:p>
    <w:p w14:paraId="2B98B5E0">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供货单位熟悉</w:t>
      </w:r>
      <w:r>
        <w:rPr>
          <w:rFonts w:ascii="宋体" w:hAnsi="宋体" w:eastAsia="宋体"/>
          <w:kern w:val="2"/>
          <w:sz w:val="21"/>
          <w:szCs w:val="21"/>
          <w:lang w:eastAsia="zh-CN"/>
        </w:rPr>
        <w:t>PLC</w:t>
      </w:r>
      <w:r>
        <w:rPr>
          <w:rFonts w:hint="eastAsia" w:ascii="宋体" w:hAnsi="宋体" w:eastAsia="宋体"/>
          <w:kern w:val="2"/>
          <w:sz w:val="21"/>
          <w:szCs w:val="21"/>
          <w:lang w:eastAsia="zh-CN"/>
        </w:rPr>
        <w:t>系统及编程软件，按要求设计机柜图，并提供设计安装图纸</w:t>
      </w:r>
    </w:p>
    <w:p w14:paraId="291B1AB0">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控制柜设计工艺要求必须满足仓点要求，及控制逻辑、启动条件、故障报警等控制工艺保持一致性。</w:t>
      </w:r>
    </w:p>
    <w:p w14:paraId="1B17BC4F">
      <w:pPr>
        <w:numPr>
          <w:ilvl w:val="0"/>
          <w:numId w:val="22"/>
        </w:numPr>
        <w:spacing w:line="120" w:lineRule="atLeast"/>
        <w:outlineLvl w:val="1"/>
        <w:rPr>
          <w:rFonts w:ascii="宋体" w:hAnsi="宋体"/>
          <w:b/>
          <w:szCs w:val="21"/>
        </w:rPr>
      </w:pPr>
      <w:bookmarkStart w:id="23" w:name="_Toc357690618"/>
      <w:r>
        <w:rPr>
          <w:rFonts w:hint="eastAsia" w:ascii="宋体" w:hAnsi="宋体"/>
          <w:b/>
          <w:szCs w:val="21"/>
        </w:rPr>
        <w:t>施工</w:t>
      </w:r>
      <w:bookmarkEnd w:id="23"/>
      <w:r>
        <w:rPr>
          <w:rFonts w:hint="eastAsia" w:ascii="宋体" w:hAnsi="宋体"/>
          <w:b/>
          <w:szCs w:val="21"/>
        </w:rPr>
        <w:t>要求</w:t>
      </w:r>
    </w:p>
    <w:p w14:paraId="45C35189">
      <w:pPr>
        <w:pStyle w:val="57"/>
        <w:widowControl w:val="0"/>
        <w:numPr>
          <w:ilvl w:val="0"/>
          <w:numId w:val="29"/>
        </w:numPr>
        <w:ind w:firstLineChars="0"/>
        <w:rPr>
          <w:rFonts w:ascii="宋体" w:hAnsi="宋体" w:eastAsia="宋体"/>
          <w:vanish/>
          <w:color w:val="000000"/>
          <w:kern w:val="2"/>
          <w:sz w:val="21"/>
          <w:szCs w:val="21"/>
          <w:lang w:eastAsia="zh-CN"/>
        </w:rPr>
      </w:pPr>
    </w:p>
    <w:p w14:paraId="4F3C1735">
      <w:pPr>
        <w:numPr>
          <w:ilvl w:val="1"/>
          <w:numId w:val="29"/>
        </w:numPr>
        <w:jc w:val="left"/>
        <w:rPr>
          <w:rFonts w:ascii="宋体" w:hAnsi="宋体"/>
          <w:color w:val="000000"/>
          <w:szCs w:val="21"/>
        </w:rPr>
      </w:pPr>
      <w:r>
        <w:rPr>
          <w:rFonts w:hint="eastAsia" w:ascii="宋体" w:hAnsi="宋体"/>
          <w:color w:val="000000"/>
          <w:szCs w:val="21"/>
        </w:rPr>
        <w:t>本项目工期总日历天数为</w:t>
      </w:r>
      <w:r>
        <w:rPr>
          <w:rFonts w:ascii="宋体" w:hAnsi="宋体"/>
          <w:color w:val="000000"/>
          <w:szCs w:val="21"/>
        </w:rPr>
        <w:t>60天（包括法定节假日在内连续计算），自我司发出开工指令的次日起算。</w:t>
      </w:r>
    </w:p>
    <w:p w14:paraId="0CA63961">
      <w:pPr>
        <w:numPr>
          <w:ilvl w:val="1"/>
          <w:numId w:val="29"/>
        </w:numPr>
        <w:jc w:val="left"/>
        <w:rPr>
          <w:rFonts w:ascii="宋体" w:hAnsi="宋体"/>
          <w:color w:val="000000"/>
          <w:szCs w:val="21"/>
        </w:rPr>
      </w:pPr>
      <w:r>
        <w:rPr>
          <w:rFonts w:hint="eastAsia" w:ascii="宋体" w:hAnsi="宋体"/>
          <w:color w:val="000000"/>
          <w:szCs w:val="21"/>
        </w:rPr>
        <w:t>安全第一，执行甲方的安全管理规章制度，办票作业。</w:t>
      </w:r>
    </w:p>
    <w:p w14:paraId="6EB8F213">
      <w:pPr>
        <w:numPr>
          <w:ilvl w:val="1"/>
          <w:numId w:val="29"/>
        </w:numPr>
        <w:jc w:val="left"/>
        <w:rPr>
          <w:rFonts w:ascii="宋体" w:hAnsi="宋体"/>
          <w:color w:val="000000"/>
          <w:szCs w:val="21"/>
        </w:rPr>
      </w:pPr>
      <w:r>
        <w:rPr>
          <w:rFonts w:hint="eastAsia" w:ascii="宋体" w:hAnsi="宋体"/>
          <w:color w:val="000000"/>
          <w:szCs w:val="21"/>
        </w:rPr>
        <w:t>施工方应充分察勘现场，对影响施工质量的潜在风险进行评估，施工时注意成品保护，必要时采取围护、覆盖等有效措施，施工方应充分考虑成品保护措施费。</w:t>
      </w:r>
    </w:p>
    <w:p w14:paraId="5AEA1218">
      <w:pPr>
        <w:numPr>
          <w:ilvl w:val="1"/>
          <w:numId w:val="29"/>
        </w:numPr>
        <w:jc w:val="left"/>
        <w:rPr>
          <w:rFonts w:ascii="宋体" w:hAnsi="宋体"/>
          <w:color w:val="000000"/>
          <w:szCs w:val="21"/>
        </w:rPr>
      </w:pPr>
      <w:r>
        <w:rPr>
          <w:rFonts w:hint="eastAsia" w:ascii="宋体" w:hAnsi="宋体"/>
          <w:color w:val="000000"/>
          <w:szCs w:val="21"/>
        </w:rPr>
        <w:t>项目经理或安全员到场管理，且人证合一。</w:t>
      </w:r>
    </w:p>
    <w:p w14:paraId="06220C9F">
      <w:pPr>
        <w:numPr>
          <w:ilvl w:val="1"/>
          <w:numId w:val="29"/>
        </w:numPr>
        <w:jc w:val="left"/>
        <w:rPr>
          <w:rFonts w:ascii="宋体" w:hAnsi="宋体"/>
          <w:color w:val="000000"/>
          <w:szCs w:val="21"/>
        </w:rPr>
      </w:pPr>
      <w:r>
        <w:rPr>
          <w:rFonts w:hint="eastAsia" w:ascii="宋体" w:hAnsi="宋体"/>
          <w:color w:val="000000"/>
          <w:szCs w:val="21"/>
        </w:rPr>
        <w:t>本采购要求供货商包采购、包送货、包安装调试、包质量、包使用培训、包税费、质保期服务和完成这些工作所需的材料、工器具以及其他相关服务等。供货商必须提供全新的货物。</w:t>
      </w:r>
    </w:p>
    <w:p w14:paraId="3B4A24E8">
      <w:pPr>
        <w:numPr>
          <w:ilvl w:val="1"/>
          <w:numId w:val="29"/>
        </w:numPr>
        <w:jc w:val="left"/>
        <w:rPr>
          <w:rFonts w:ascii="宋体" w:hAnsi="宋体"/>
          <w:color w:val="000000"/>
          <w:szCs w:val="21"/>
        </w:rPr>
      </w:pPr>
      <w:r>
        <w:rPr>
          <w:rFonts w:hint="eastAsia" w:ascii="宋体" w:hAnsi="宋体"/>
          <w:color w:val="000000"/>
          <w:szCs w:val="21"/>
        </w:rPr>
        <w:t>布管布线要求做到横平竖直</w:t>
      </w:r>
      <w:r>
        <w:rPr>
          <w:rFonts w:ascii="宋体" w:hAnsi="宋体"/>
          <w:color w:val="000000"/>
          <w:szCs w:val="21"/>
        </w:rPr>
        <w:t>,工艺美观,质量符合要求，线管内不允许有接头，室外及地面必须采用金属管穿线开挖填埋，做到防腐防水，金属管外壳必须与防雷接地系统可靠连接，管廊内布线按业主指定位置敷设。</w:t>
      </w:r>
    </w:p>
    <w:p w14:paraId="4ABE6E6F">
      <w:pPr>
        <w:numPr>
          <w:ilvl w:val="1"/>
          <w:numId w:val="29"/>
        </w:numPr>
        <w:jc w:val="left"/>
        <w:rPr>
          <w:rFonts w:ascii="宋体" w:hAnsi="宋体"/>
          <w:color w:val="000000"/>
          <w:szCs w:val="21"/>
        </w:rPr>
      </w:pPr>
      <w:r>
        <w:rPr>
          <w:rFonts w:hint="eastAsia" w:ascii="宋体" w:hAnsi="宋体"/>
          <w:color w:val="000000"/>
          <w:szCs w:val="21"/>
        </w:rPr>
        <w:t>现场了解清楚综合管沟工艺、设备运行情况、</w:t>
      </w:r>
      <w:r>
        <w:rPr>
          <w:rFonts w:ascii="宋体" w:hAnsi="宋体"/>
          <w:color w:val="000000"/>
          <w:szCs w:val="21"/>
        </w:rPr>
        <w:t>PLC控制柜模块、电气布线、运行情况、中控监控系统运行情况等。</w:t>
      </w:r>
    </w:p>
    <w:p w14:paraId="5CB62786">
      <w:pPr>
        <w:numPr>
          <w:ilvl w:val="1"/>
          <w:numId w:val="29"/>
        </w:numPr>
        <w:jc w:val="left"/>
        <w:rPr>
          <w:rFonts w:ascii="宋体" w:hAnsi="宋体"/>
          <w:color w:val="000000"/>
          <w:szCs w:val="21"/>
        </w:rPr>
      </w:pPr>
      <w:r>
        <w:rPr>
          <w:rFonts w:hint="eastAsia" w:ascii="宋体" w:hAnsi="宋体"/>
          <w:color w:val="000000"/>
          <w:szCs w:val="21"/>
        </w:rPr>
        <w:t>施工前，供应商根据业主要求，现场情况，确定安装位置及要求，实施方案、安装图纸、机柜布置图、接线图、深化设计图、必须得到业主认可。</w:t>
      </w:r>
    </w:p>
    <w:p w14:paraId="5D9605E4">
      <w:pPr>
        <w:numPr>
          <w:ilvl w:val="0"/>
          <w:numId w:val="22"/>
        </w:numPr>
        <w:spacing w:line="120" w:lineRule="atLeast"/>
        <w:outlineLvl w:val="1"/>
        <w:rPr>
          <w:rFonts w:ascii="宋体" w:hAnsi="宋体"/>
          <w:b/>
          <w:szCs w:val="21"/>
        </w:rPr>
      </w:pPr>
      <w:r>
        <w:rPr>
          <w:rFonts w:hint="eastAsia" w:ascii="宋体" w:hAnsi="宋体"/>
          <w:b/>
          <w:szCs w:val="21"/>
        </w:rPr>
        <w:t>服务</w:t>
      </w:r>
    </w:p>
    <w:p w14:paraId="1D87BD3E">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3C5E8D">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115062">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430993">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78051C6">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7F9B32">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3FDB555">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5D820BFC">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96CFD8E">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544FC7A">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6F8987">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9A90314">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701524F">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568BBAD5">
      <w:pPr>
        <w:pStyle w:val="16"/>
        <w:numPr>
          <w:ilvl w:val="1"/>
          <w:numId w:val="31"/>
        </w:numPr>
        <w:shd w:val="clear" w:color="auto" w:fill="FFFFFF"/>
        <w:wordWrap w:val="0"/>
        <w:rPr>
          <w:kern w:val="2"/>
          <w:sz w:val="21"/>
          <w:szCs w:val="21"/>
        </w:rPr>
      </w:pPr>
      <w:r>
        <w:rPr>
          <w:rFonts w:hint="eastAsia"/>
          <w:kern w:val="2"/>
          <w:sz w:val="21"/>
          <w:szCs w:val="21"/>
        </w:rPr>
        <w:t>供货商负责对业主进行设备使用培训，供货商必须派有经验的工程技术人员对业主技术及操作人员进行设备的运行、维护方面的培训和指导；</w:t>
      </w:r>
      <w:r>
        <w:rPr>
          <w:kern w:val="2"/>
          <w:sz w:val="21"/>
          <w:szCs w:val="21"/>
        </w:rPr>
        <w:t>在工程现场进行实际操作示范，让参加培训人员</w:t>
      </w:r>
      <w:r>
        <w:rPr>
          <w:rFonts w:hint="eastAsia"/>
          <w:kern w:val="2"/>
          <w:sz w:val="21"/>
          <w:szCs w:val="21"/>
        </w:rPr>
        <w:t>对设备充分了解，达到更好的</w:t>
      </w:r>
      <w:r>
        <w:rPr>
          <w:kern w:val="2"/>
          <w:sz w:val="21"/>
          <w:szCs w:val="21"/>
        </w:rPr>
        <w:t>操作和维护设备的</w:t>
      </w:r>
      <w:r>
        <w:rPr>
          <w:rFonts w:hint="eastAsia"/>
          <w:kern w:val="2"/>
          <w:sz w:val="21"/>
          <w:szCs w:val="21"/>
        </w:rPr>
        <w:t>目的。</w:t>
      </w:r>
    </w:p>
    <w:p w14:paraId="4111C2B1">
      <w:pPr>
        <w:pStyle w:val="16"/>
        <w:numPr>
          <w:ilvl w:val="1"/>
          <w:numId w:val="31"/>
        </w:numPr>
        <w:shd w:val="clear" w:color="auto" w:fill="FFFFFF"/>
        <w:wordWrap w:val="0"/>
        <w:rPr>
          <w:kern w:val="2"/>
          <w:sz w:val="21"/>
          <w:szCs w:val="21"/>
        </w:rPr>
      </w:pPr>
      <w:r>
        <w:rPr>
          <w:rFonts w:hint="eastAsia"/>
          <w:kern w:val="2"/>
          <w:sz w:val="21"/>
          <w:szCs w:val="21"/>
        </w:rPr>
        <w:t>设备验收合格并交付业主前，供货商应自行保管设备材料，并自行承担这些设备材料损坏、丢失的风险。</w:t>
      </w:r>
    </w:p>
    <w:p w14:paraId="48383C09">
      <w:pPr>
        <w:pStyle w:val="16"/>
        <w:numPr>
          <w:ilvl w:val="1"/>
          <w:numId w:val="31"/>
        </w:numPr>
        <w:shd w:val="clear" w:color="auto" w:fill="FFFFFF"/>
        <w:wordWrap w:val="0"/>
        <w:rPr>
          <w:kern w:val="2"/>
          <w:sz w:val="21"/>
          <w:szCs w:val="21"/>
        </w:rPr>
      </w:pPr>
      <w:r>
        <w:rPr>
          <w:rFonts w:hint="eastAsia"/>
          <w:kern w:val="2"/>
          <w:sz w:val="21"/>
          <w:szCs w:val="21"/>
        </w:rPr>
        <w:t>本项目现场施工和调试运行期间，必须保证综合管沟正常生产运行，设备调试指导及调试，供货商必须按要求协商提供调试方案，开展调试运行工作，做好调试和测试记录。</w:t>
      </w:r>
    </w:p>
    <w:p w14:paraId="4E2B0B0C">
      <w:pPr>
        <w:pStyle w:val="16"/>
        <w:numPr>
          <w:ilvl w:val="1"/>
          <w:numId w:val="31"/>
        </w:numPr>
        <w:shd w:val="clear" w:color="auto" w:fill="FFFFFF"/>
        <w:wordWrap w:val="0"/>
        <w:rPr>
          <w:kern w:val="2"/>
          <w:sz w:val="21"/>
          <w:szCs w:val="21"/>
        </w:rPr>
      </w:pPr>
      <w:r>
        <w:rPr>
          <w:rFonts w:hint="eastAsia"/>
          <w:kern w:val="2"/>
          <w:sz w:val="21"/>
          <w:szCs w:val="21"/>
        </w:rPr>
        <w:t>派专门技术人员现场指导并负责所供设备的安装工作，负责安装完毕后的单机调试和联动调试工作。安装完成时，进行检查，提交安装完毕及质量合格的证明。</w:t>
      </w:r>
    </w:p>
    <w:p w14:paraId="0B41AF23">
      <w:pPr>
        <w:pStyle w:val="16"/>
        <w:numPr>
          <w:ilvl w:val="1"/>
          <w:numId w:val="31"/>
        </w:numPr>
        <w:shd w:val="clear" w:color="auto" w:fill="FFFFFF"/>
        <w:wordWrap w:val="0"/>
        <w:rPr>
          <w:kern w:val="2"/>
          <w:sz w:val="21"/>
          <w:szCs w:val="21"/>
        </w:rPr>
      </w:pPr>
      <w:r>
        <w:rPr>
          <w:rFonts w:hint="eastAsia"/>
          <w:kern w:val="2"/>
          <w:sz w:val="21"/>
          <w:szCs w:val="21"/>
        </w:rPr>
        <w:t>供货商负责系统试运行的全过程，试运行是考核整个系统的质量和可靠性的重要步骤，在试运行满足要求后，验收才能进行。</w:t>
      </w:r>
    </w:p>
    <w:p w14:paraId="4582B20B">
      <w:pPr>
        <w:pStyle w:val="16"/>
        <w:numPr>
          <w:ilvl w:val="1"/>
          <w:numId w:val="31"/>
        </w:numPr>
        <w:shd w:val="clear" w:color="auto" w:fill="FFFFFF"/>
        <w:wordWrap w:val="0"/>
        <w:rPr>
          <w:kern w:val="2"/>
          <w:sz w:val="21"/>
          <w:szCs w:val="21"/>
        </w:rPr>
      </w:pPr>
      <w:r>
        <w:rPr>
          <w:rFonts w:hint="eastAsia"/>
          <w:kern w:val="2"/>
          <w:sz w:val="21"/>
          <w:szCs w:val="21"/>
        </w:rPr>
        <w:t>提供所有设备的规格及说明书、合格证、配件、图纸。</w:t>
      </w:r>
    </w:p>
    <w:p w14:paraId="4F85AC79">
      <w:pPr>
        <w:pStyle w:val="16"/>
        <w:numPr>
          <w:ilvl w:val="1"/>
          <w:numId w:val="31"/>
        </w:numPr>
        <w:shd w:val="clear" w:color="auto" w:fill="FFFFFF"/>
        <w:wordWrap w:val="0"/>
        <w:rPr>
          <w:kern w:val="2"/>
          <w:sz w:val="21"/>
          <w:szCs w:val="21"/>
        </w:rPr>
      </w:pPr>
      <w:r>
        <w:rPr>
          <w:rFonts w:hint="eastAsia"/>
          <w:kern w:val="2"/>
          <w:sz w:val="21"/>
          <w:szCs w:val="21"/>
        </w:rPr>
        <w:t>质保期的服务：供货商必须为设备提供</w:t>
      </w:r>
      <w:r>
        <w:rPr>
          <w:kern w:val="2"/>
          <w:sz w:val="21"/>
          <w:szCs w:val="21"/>
        </w:rPr>
        <w:t>2年的免费维修保养和缺陷保修，时间从安装调试验收合格之日算起。要求维修维护服务24小时服务，在接到要求维护维修通知四小时内</w:t>
      </w:r>
      <w:r>
        <w:rPr>
          <w:rFonts w:hint="eastAsia"/>
          <w:kern w:val="2"/>
          <w:sz w:val="21"/>
          <w:szCs w:val="21"/>
        </w:rPr>
        <w:t>作出响应，</w:t>
      </w:r>
      <w:r>
        <w:rPr>
          <w:kern w:val="2"/>
          <w:sz w:val="21"/>
          <w:szCs w:val="21"/>
        </w:rPr>
        <w:t>12小时内赶到现场服务，直到问题得到妥善解决。保修期内由于设备本身质量原因造成的任何损伤或损坏，供货商必须免费负责修理或更换。</w:t>
      </w:r>
    </w:p>
    <w:p w14:paraId="56CE9174">
      <w:pPr>
        <w:numPr>
          <w:ilvl w:val="0"/>
          <w:numId w:val="22"/>
        </w:numPr>
        <w:spacing w:line="120" w:lineRule="atLeast"/>
        <w:outlineLvl w:val="1"/>
        <w:rPr>
          <w:rFonts w:ascii="宋体" w:hAnsi="宋体"/>
          <w:b/>
          <w:szCs w:val="21"/>
        </w:rPr>
      </w:pPr>
      <w:r>
        <w:rPr>
          <w:rFonts w:hint="eastAsia" w:ascii="宋体" w:hAnsi="宋体"/>
          <w:b/>
          <w:szCs w:val="21"/>
        </w:rPr>
        <w:t>验收</w:t>
      </w:r>
    </w:p>
    <w:p w14:paraId="3CBA0176">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17DB8860">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43B2CD54">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5971941A">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0D48777A">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3FF42A24">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4555113C">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11B9632A">
      <w:pPr>
        <w:numPr>
          <w:ilvl w:val="1"/>
          <w:numId w:val="32"/>
        </w:numPr>
        <w:spacing w:line="120" w:lineRule="atLeast"/>
        <w:outlineLvl w:val="1"/>
        <w:rPr>
          <w:rFonts w:ascii="宋体" w:hAnsi="宋体"/>
          <w:szCs w:val="21"/>
        </w:rPr>
      </w:pPr>
      <w:r>
        <w:rPr>
          <w:rFonts w:hint="eastAsia" w:ascii="宋体" w:hAnsi="宋体"/>
          <w:szCs w:val="21"/>
        </w:rPr>
        <w:t>质量验收标准：《人机界面标志标识的基本和安全规则操作规则》GB</w:t>
      </w:r>
      <w:r>
        <w:rPr>
          <w:rFonts w:ascii="宋体" w:hAnsi="宋体"/>
          <w:szCs w:val="21"/>
        </w:rPr>
        <w:t>/T4205-2010</w:t>
      </w:r>
      <w:r>
        <w:rPr>
          <w:rFonts w:hint="eastAsia" w:ascii="宋体" w:hAnsi="宋体"/>
          <w:szCs w:val="21"/>
        </w:rPr>
        <w:t>、</w:t>
      </w:r>
      <w:r>
        <w:rPr>
          <w:rFonts w:hint="eastAsia" w:ascii="宋体" w:hAnsi="宋体"/>
          <w:szCs w:val="21"/>
          <w:shd w:val="clear" w:color="auto" w:fill="FFFFFF"/>
        </w:rPr>
        <w:t>《综合布线系统工程设计规范》</w:t>
      </w:r>
      <w:r>
        <w:rPr>
          <w:rFonts w:ascii="宋体" w:hAnsi="宋体"/>
          <w:szCs w:val="21"/>
          <w:shd w:val="clear" w:color="auto" w:fill="FFFFFF"/>
        </w:rPr>
        <w:t>GB50311-2016、《计算机房设计规范》GB/T29467-2017、《电气和电子设备机械结构符合英制系列和公制系列机柜的热管理》GB_T40815.5-2022</w:t>
      </w:r>
      <w:r>
        <w:rPr>
          <w:rFonts w:hint="eastAsia" w:ascii="宋体" w:hAnsi="宋体"/>
          <w:szCs w:val="21"/>
        </w:rPr>
        <w:t>及其它相关验收规范。</w:t>
      </w:r>
    </w:p>
    <w:p w14:paraId="2539895B">
      <w:pPr>
        <w:numPr>
          <w:ilvl w:val="1"/>
          <w:numId w:val="32"/>
        </w:numPr>
        <w:spacing w:line="120" w:lineRule="atLeast"/>
        <w:outlineLvl w:val="1"/>
        <w:rPr>
          <w:rFonts w:ascii="宋体" w:hAnsi="宋体"/>
          <w:szCs w:val="21"/>
        </w:rPr>
      </w:pPr>
      <w:r>
        <w:rPr>
          <w:rFonts w:hint="eastAsia" w:ascii="宋体" w:hAnsi="宋体"/>
          <w:szCs w:val="21"/>
        </w:rPr>
        <w:t>工程竣工验收完毕，施工单位需提交竣工图一式六份及相关设备使用说明书、出厂合格证明等相关资料</w:t>
      </w:r>
    </w:p>
    <w:p w14:paraId="03A9A1FE">
      <w:pPr>
        <w:numPr>
          <w:ilvl w:val="0"/>
          <w:numId w:val="22"/>
        </w:numPr>
        <w:spacing w:line="120" w:lineRule="atLeast"/>
        <w:outlineLvl w:val="1"/>
        <w:rPr>
          <w:rFonts w:ascii="宋体" w:hAnsi="宋体"/>
          <w:b/>
          <w:szCs w:val="21"/>
        </w:rPr>
      </w:pPr>
      <w:r>
        <w:rPr>
          <w:rFonts w:hint="eastAsia" w:ascii="宋体" w:hAnsi="宋体"/>
          <w:b/>
          <w:szCs w:val="21"/>
        </w:rPr>
        <w:t>其它</w:t>
      </w:r>
    </w:p>
    <w:p w14:paraId="21757FB9">
      <w:pPr>
        <w:pStyle w:val="16"/>
        <w:shd w:val="clear" w:color="auto" w:fill="FFFFFF"/>
        <w:wordWrap w:val="0"/>
        <w:ind w:firstLine="420" w:firstLineChars="200"/>
        <w:rPr>
          <w:kern w:val="2"/>
          <w:sz w:val="21"/>
          <w:szCs w:val="21"/>
        </w:rPr>
      </w:pPr>
      <w:r>
        <w:rPr>
          <w:kern w:val="2"/>
          <w:sz w:val="21"/>
          <w:szCs w:val="21"/>
        </w:rPr>
        <w:t>2021年1月1日至今，至少1个完成过质量合格的PLC系列系统或与此相当的系统采集</w:t>
      </w:r>
      <w:r>
        <w:rPr>
          <w:rFonts w:hint="eastAsia"/>
          <w:kern w:val="2"/>
          <w:sz w:val="21"/>
          <w:szCs w:val="21"/>
        </w:rPr>
        <w:t>、</w:t>
      </w:r>
      <w:r>
        <w:rPr>
          <w:kern w:val="2"/>
          <w:sz w:val="21"/>
          <w:szCs w:val="21"/>
        </w:rPr>
        <w:t>数据监控</w:t>
      </w:r>
      <w:r>
        <w:rPr>
          <w:rFonts w:hint="eastAsia"/>
          <w:kern w:val="2"/>
          <w:sz w:val="21"/>
          <w:szCs w:val="21"/>
        </w:rPr>
        <w:t>、程序控制</w:t>
      </w:r>
      <w:r>
        <w:rPr>
          <w:kern w:val="2"/>
          <w:sz w:val="21"/>
          <w:szCs w:val="21"/>
        </w:rPr>
        <w:t>的供货业绩，提供合同和验收等证明材料复印件并加盖公章。</w:t>
      </w:r>
    </w:p>
    <w:p w14:paraId="4A5AF54F">
      <w:pPr>
        <w:numPr>
          <w:ilvl w:val="0"/>
          <w:numId w:val="22"/>
        </w:numPr>
        <w:spacing w:line="120" w:lineRule="atLeast"/>
        <w:outlineLvl w:val="1"/>
        <w:rPr>
          <w:rFonts w:ascii="宋体" w:hAnsi="宋体"/>
          <w:b/>
          <w:szCs w:val="21"/>
        </w:rPr>
      </w:pPr>
      <w:r>
        <w:rPr>
          <w:rFonts w:hint="eastAsia" w:ascii="宋体" w:hAnsi="宋体"/>
          <w:b/>
          <w:szCs w:val="21"/>
        </w:rPr>
        <w:t>附件</w:t>
      </w:r>
    </w:p>
    <w:p w14:paraId="6B8E31EC">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695860">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C7C4374">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F444DE2">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CBAE805">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2456C30">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3F02351">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68C8B487">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4B7F42D">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4BCF9A7">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1FD00DA">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1：综合管沟原系统单个控制柜IO点表</w:t>
      </w:r>
    </w:p>
    <w:p w14:paraId="7EA66B5D">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2：综合管沟原系统上位机监控画面样图</w:t>
      </w:r>
    </w:p>
    <w:p w14:paraId="5CEEF061">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3：综合管沟管廊平面图</w:t>
      </w:r>
    </w:p>
    <w:p w14:paraId="6085DB1D">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4：综合管沟新控制柜的设备监控IO信号类型</w:t>
      </w:r>
    </w:p>
    <w:p w14:paraId="071173E6">
      <w:pPr>
        <w:spacing w:before="120" w:beforeLines="50" w:after="120" w:afterLines="50" w:line="360" w:lineRule="auto"/>
        <w:ind w:left="5940" w:leftChars="200" w:hanging="5520" w:hangingChars="2300"/>
        <w:rPr>
          <w:rFonts w:ascii="宋体" w:hAnsi="宋体"/>
          <w:bCs/>
          <w:sz w:val="24"/>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4">
    <w:nsid w:val="17EA1890"/>
    <w:multiLevelType w:val="multilevel"/>
    <w:tmpl w:val="17EA1890"/>
    <w:lvl w:ilvl="0" w:tentative="0">
      <w:start w:val="1"/>
      <w:numFmt w:val="decimal"/>
      <w:lvlText w:val="%1."/>
      <w:lvlJc w:val="left"/>
      <w:pPr>
        <w:ind w:left="425" w:hanging="425"/>
      </w:pPr>
    </w:lvl>
    <w:lvl w:ilvl="1" w:tentative="0">
      <w:start w:val="1"/>
      <w:numFmt w:val="decimal"/>
      <w:lvlText w:val="%1.%2."/>
      <w:lvlJc w:val="left"/>
      <w:pPr>
        <w:ind w:left="567" w:hanging="567"/>
      </w:pPr>
      <w:rPr>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9452716"/>
    <w:multiLevelType w:val="multilevel"/>
    <w:tmpl w:val="19452716"/>
    <w:lvl w:ilvl="0" w:tentative="0">
      <w:start w:val="2"/>
      <w:numFmt w:val="decimal"/>
      <w:lvlText w:val="%1."/>
      <w:lvlJc w:val="left"/>
      <w:pPr>
        <w:ind w:left="360" w:hanging="360"/>
      </w:pPr>
      <w:rPr>
        <w:rFonts w:hint="default"/>
      </w:rPr>
    </w:lvl>
    <w:lvl w:ilvl="1" w:tentative="0">
      <w:start w:val="1"/>
      <w:numFmt w:val="decimal"/>
      <w:lvlText w:val="%2、"/>
      <w:lvlJc w:val="left"/>
      <w:pPr>
        <w:ind w:left="840" w:hanging="360"/>
      </w:pPr>
      <w:rPr>
        <w:rFonts w:eastAsia="宋体" w:cs="Arial" w:asciiTheme="minorEastAsia" w:hAnsiTheme="minor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6">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6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485A5F"/>
    <w:multiLevelType w:val="multilevel"/>
    <w:tmpl w:val="1B485A5F"/>
    <w:lvl w:ilvl="0" w:tentative="0">
      <w:start w:val="10"/>
      <w:numFmt w:val="decimal"/>
      <w:lvlText w:val="%1."/>
      <w:lvlJc w:val="left"/>
      <w:pPr>
        <w:ind w:left="480" w:hanging="480"/>
      </w:pPr>
      <w:rPr>
        <w:rFonts w:hint="default"/>
      </w:rPr>
    </w:lvl>
    <w:lvl w:ilvl="1" w:tentative="0">
      <w:start w:val="1"/>
      <w:numFmt w:val="decimal"/>
      <w:lvlText w:val="%2、"/>
      <w:lvlJc w:val="left"/>
      <w:pPr>
        <w:ind w:left="480" w:hanging="480"/>
      </w:pPr>
      <w:rPr>
        <w:rFonts w:ascii="Times New Roman" w:hAnsi="Times New Roman" w:eastAsia="宋体"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D5206AA"/>
    <w:multiLevelType w:val="multilevel"/>
    <w:tmpl w:val="1D5206A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A0E65FA"/>
    <w:multiLevelType w:val="multilevel"/>
    <w:tmpl w:val="3A0E65F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970033"/>
    <w:multiLevelType w:val="multilevel"/>
    <w:tmpl w:val="3A97003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3C3F7611"/>
    <w:multiLevelType w:val="multilevel"/>
    <w:tmpl w:val="3C3F7611"/>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731D51"/>
    <w:multiLevelType w:val="multilevel"/>
    <w:tmpl w:val="41731D5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447570AB"/>
    <w:multiLevelType w:val="multilevel"/>
    <w:tmpl w:val="447570AB"/>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21025F"/>
    <w:multiLevelType w:val="multilevel"/>
    <w:tmpl w:val="5221025F"/>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2F25748"/>
    <w:multiLevelType w:val="multilevel"/>
    <w:tmpl w:val="52F2574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572DE5B4"/>
    <w:multiLevelType w:val="singleLevel"/>
    <w:tmpl w:val="572DE5B4"/>
    <w:lvl w:ilvl="0" w:tentative="0">
      <w:start w:val="1"/>
      <w:numFmt w:val="decimal"/>
      <w:suff w:val="nothing"/>
      <w:lvlText w:val="%1."/>
      <w:lvlJc w:val="left"/>
    </w:lvl>
  </w:abstractNum>
  <w:abstractNum w:abstractNumId="18">
    <w:nsid w:val="620F1809"/>
    <w:multiLevelType w:val="multilevel"/>
    <w:tmpl w:val="620F180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25761F5"/>
    <w:multiLevelType w:val="multilevel"/>
    <w:tmpl w:val="625761F5"/>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67E055E8"/>
    <w:multiLevelType w:val="multilevel"/>
    <w:tmpl w:val="67E055E8"/>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6C0C5521"/>
    <w:multiLevelType w:val="multilevel"/>
    <w:tmpl w:val="6C0C552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6D48227E"/>
    <w:multiLevelType w:val="multilevel"/>
    <w:tmpl w:val="6D48227E"/>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6D5E7978"/>
    <w:multiLevelType w:val="multilevel"/>
    <w:tmpl w:val="6D5E7978"/>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8F4FFA"/>
    <w:multiLevelType w:val="multilevel"/>
    <w:tmpl w:val="6D8F4FF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6D9D6B5A"/>
    <w:multiLevelType w:val="multilevel"/>
    <w:tmpl w:val="6D9D6B5A"/>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74B056E9"/>
    <w:multiLevelType w:val="multilevel"/>
    <w:tmpl w:val="74B056E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75451D8E"/>
    <w:multiLevelType w:val="multilevel"/>
    <w:tmpl w:val="75451D8E"/>
    <w:lvl w:ilvl="0" w:tentative="0">
      <w:start w:val="1"/>
      <w:numFmt w:val="japaneseCounting"/>
      <w:lvlText w:val="%1、"/>
      <w:lvlJc w:val="left"/>
      <w:pPr>
        <w:tabs>
          <w:tab w:val="left" w:pos="420"/>
        </w:tabs>
        <w:ind w:left="420" w:hanging="420"/>
      </w:pPr>
      <w:rPr>
        <w:rFonts w:hint="default"/>
        <w:b/>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Letter"/>
      <w:lvlText w:val="%3)"/>
      <w:lvlJc w:val="left"/>
      <w:pPr>
        <w:tabs>
          <w:tab w:val="left" w:pos="1260"/>
        </w:tabs>
        <w:ind w:left="1260" w:hanging="42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29">
    <w:nsid w:val="7D642C53"/>
    <w:multiLevelType w:val="multilevel"/>
    <w:tmpl w:val="7D642C5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7FE84610"/>
    <w:multiLevelType w:val="multilevel"/>
    <w:tmpl w:val="7FE8461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hint="default"/>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3"/>
  </w:num>
  <w:num w:numId="3">
    <w:abstractNumId w:val="30"/>
  </w:num>
  <w:num w:numId="4">
    <w:abstractNumId w:val="5"/>
  </w:num>
  <w:num w:numId="5">
    <w:abstractNumId w:val="9"/>
  </w:num>
  <w:num w:numId="6">
    <w:abstractNumId w:val="14"/>
  </w:num>
  <w:num w:numId="7">
    <w:abstractNumId w:val="12"/>
  </w:num>
  <w:num w:numId="8">
    <w:abstractNumId w:val="29"/>
  </w:num>
  <w:num w:numId="9">
    <w:abstractNumId w:val="18"/>
  </w:num>
  <w:num w:numId="10">
    <w:abstractNumId w:val="11"/>
  </w:num>
  <w:num w:numId="11">
    <w:abstractNumId w:val="16"/>
  </w:num>
  <w:num w:numId="12">
    <w:abstractNumId w:val="25"/>
  </w:num>
  <w:num w:numId="13">
    <w:abstractNumId w:val="1"/>
  </w:num>
  <w:num w:numId="14">
    <w:abstractNumId w:val="6"/>
  </w:num>
  <w:num w:numId="15">
    <w:abstractNumId w:val="2"/>
  </w:num>
  <w:num w:numId="16">
    <w:abstractNumId w:val="28"/>
  </w:num>
  <w:num w:numId="17">
    <w:abstractNumId w:val="24"/>
  </w:num>
  <w:num w:numId="18">
    <w:abstractNumId w:val="10"/>
  </w:num>
  <w:num w:numId="19">
    <w:abstractNumId w:val="23"/>
  </w:num>
  <w:num w:numId="20">
    <w:abstractNumId w:val="7"/>
  </w:num>
  <w:num w:numId="21">
    <w:abstractNumId w:val="17"/>
  </w:num>
  <w:num w:numId="22">
    <w:abstractNumId w:val="27"/>
  </w:num>
  <w:num w:numId="23">
    <w:abstractNumId w:val="13"/>
  </w:num>
  <w:num w:numId="24">
    <w:abstractNumId w:val="21"/>
  </w:num>
  <w:num w:numId="25">
    <w:abstractNumId w:val="21"/>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6">
    <w:abstractNumId w:val="4"/>
  </w:num>
  <w:num w:numId="27">
    <w:abstractNumId w:val="26"/>
  </w:num>
  <w:num w:numId="28">
    <w:abstractNumId w:val="22"/>
  </w:num>
  <w:num w:numId="29">
    <w:abstractNumId w:val="26"/>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0" w:firstLine="0"/>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0">
    <w:abstractNumId w:val="8"/>
  </w:num>
  <w:num w:numId="31">
    <w:abstractNumId w:val="19"/>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C3CD8"/>
    <w:rsid w:val="002C4FE2"/>
    <w:rsid w:val="002C747C"/>
    <w:rsid w:val="002D0731"/>
    <w:rsid w:val="002D1376"/>
    <w:rsid w:val="002D14AE"/>
    <w:rsid w:val="002D2D8F"/>
    <w:rsid w:val="002D57AF"/>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5127"/>
    <w:rsid w:val="004360CA"/>
    <w:rsid w:val="00436830"/>
    <w:rsid w:val="004423AB"/>
    <w:rsid w:val="0044283D"/>
    <w:rsid w:val="0044360C"/>
    <w:rsid w:val="004436C3"/>
    <w:rsid w:val="00444368"/>
    <w:rsid w:val="00447931"/>
    <w:rsid w:val="00456BC1"/>
    <w:rsid w:val="00457458"/>
    <w:rsid w:val="0046297A"/>
    <w:rsid w:val="00473BB4"/>
    <w:rsid w:val="00476BF0"/>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320B"/>
    <w:rsid w:val="005E3449"/>
    <w:rsid w:val="005E373D"/>
    <w:rsid w:val="005E4E7C"/>
    <w:rsid w:val="005E69D0"/>
    <w:rsid w:val="005F227B"/>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2FAC"/>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4BA2"/>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02BA"/>
    <w:rsid w:val="00801178"/>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67DE"/>
    <w:rsid w:val="008E0BA4"/>
    <w:rsid w:val="008E2D5A"/>
    <w:rsid w:val="008E3344"/>
    <w:rsid w:val="008E34D5"/>
    <w:rsid w:val="008F1A38"/>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0C76"/>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1"/>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6865"/>
    <w:rsid w:val="00FB76BF"/>
    <w:rsid w:val="00FC33B2"/>
    <w:rsid w:val="00FC3A89"/>
    <w:rsid w:val="00FC3AC8"/>
    <w:rsid w:val="00FC4154"/>
    <w:rsid w:val="00FD09BE"/>
    <w:rsid w:val="00FD202C"/>
    <w:rsid w:val="00FD2526"/>
    <w:rsid w:val="00FD42A2"/>
    <w:rsid w:val="00FD50E2"/>
    <w:rsid w:val="00FD63AD"/>
    <w:rsid w:val="00FD70BE"/>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4F02505"/>
    <w:rsid w:val="05F33E19"/>
    <w:rsid w:val="08A607DC"/>
    <w:rsid w:val="13033C28"/>
    <w:rsid w:val="13B94E90"/>
    <w:rsid w:val="16FA62BC"/>
    <w:rsid w:val="17745CD9"/>
    <w:rsid w:val="214926E0"/>
    <w:rsid w:val="3C823756"/>
    <w:rsid w:val="3C9B5EFD"/>
    <w:rsid w:val="3E13186C"/>
    <w:rsid w:val="49703AE5"/>
    <w:rsid w:val="50055DC9"/>
    <w:rsid w:val="524B628E"/>
    <w:rsid w:val="5FA63A90"/>
    <w:rsid w:val="656F3231"/>
    <w:rsid w:val="691F79C3"/>
    <w:rsid w:val="697F115B"/>
    <w:rsid w:val="6AB5708C"/>
    <w:rsid w:val="7641394F"/>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5"/>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0"/>
    <w:unhideWhenUsed/>
    <w:qFormat/>
    <w:uiPriority w:val="99"/>
    <w:pPr>
      <w:spacing w:after="120"/>
    </w:pPr>
  </w:style>
  <w:style w:type="paragraph" w:styleId="9">
    <w:name w:val="Body Text Indent"/>
    <w:basedOn w:val="1"/>
    <w:link w:val="38"/>
    <w:qFormat/>
    <w:uiPriority w:val="0"/>
    <w:pPr>
      <w:spacing w:after="120"/>
      <w:ind w:left="420" w:leftChars="200"/>
    </w:pPr>
    <w:rPr>
      <w:rFonts w:ascii="Calibri" w:hAnsi="Calibri"/>
      <w:szCs w:val="22"/>
    </w:rPr>
  </w:style>
  <w:style w:type="paragraph" w:styleId="10">
    <w:name w:val="Plain Text"/>
    <w:basedOn w:val="1"/>
    <w:link w:val="3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0"/>
    <w:semiHidden/>
    <w:unhideWhenUsed/>
    <w:qFormat/>
    <w:uiPriority w:val="99"/>
    <w:pPr>
      <w:ind w:left="100" w:leftChars="2500"/>
    </w:pPr>
  </w:style>
  <w:style w:type="paragraph" w:styleId="12">
    <w:name w:val="endnote text"/>
    <w:basedOn w:val="1"/>
    <w:link w:val="49"/>
    <w:semiHidden/>
    <w:unhideWhenUsed/>
    <w:qFormat/>
    <w:uiPriority w:val="99"/>
    <w:pPr>
      <w:snapToGrid w:val="0"/>
      <w:jc w:val="left"/>
    </w:pPr>
  </w:style>
  <w:style w:type="paragraph" w:styleId="13">
    <w:name w:val="Balloon Text"/>
    <w:basedOn w:val="1"/>
    <w:link w:val="44"/>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6"/>
    <w:next w:val="6"/>
    <w:link w:val="36"/>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ndnote reference"/>
    <w:basedOn w:val="21"/>
    <w:semiHidden/>
    <w:unhideWhenUsed/>
    <w:qFormat/>
    <w:uiPriority w:val="99"/>
    <w:rPr>
      <w:vertAlign w:val="superscript"/>
    </w:rPr>
  </w:style>
  <w:style w:type="character" w:styleId="24">
    <w:name w:val="Emphasis"/>
    <w:qFormat/>
    <w:uiPriority w:val="20"/>
    <w:rPr>
      <w:i/>
      <w:iCs/>
    </w:rPr>
  </w:style>
  <w:style w:type="character" w:styleId="25">
    <w:name w:val="Hyperlink"/>
    <w:basedOn w:val="21"/>
    <w:unhideWhenUsed/>
    <w:qFormat/>
    <w:uiPriority w:val="0"/>
    <w:rPr>
      <w:color w:val="0000FF"/>
      <w:u w:val="single"/>
    </w:rPr>
  </w:style>
  <w:style w:type="character" w:styleId="26">
    <w:name w:val="annotation reference"/>
    <w:basedOn w:val="21"/>
    <w:semiHidden/>
    <w:unhideWhenUsed/>
    <w:qFormat/>
    <w:uiPriority w:val="99"/>
    <w:rPr>
      <w:sz w:val="21"/>
      <w:szCs w:val="21"/>
    </w:rPr>
  </w:style>
  <w:style w:type="paragraph" w:customStyle="1" w:styleId="27">
    <w:name w:val="纯文本1"/>
    <w:basedOn w:val="1"/>
    <w:qFormat/>
    <w:uiPriority w:val="0"/>
    <w:pPr>
      <w:widowControl/>
      <w:jc w:val="left"/>
    </w:pPr>
    <w:rPr>
      <w:rFonts w:ascii="宋体" w:hAnsi="Courier New" w:eastAsia="微软雅黑"/>
      <w:kern w:val="0"/>
      <w:sz w:val="20"/>
      <w:szCs w:val="21"/>
    </w:rPr>
  </w:style>
  <w:style w:type="paragraph" w:customStyle="1" w:styleId="28">
    <w:name w:val="1_0"/>
    <w:basedOn w:val="1"/>
    <w:next w:val="27"/>
    <w:qFormat/>
    <w:uiPriority w:val="0"/>
    <w:rPr>
      <w:rFonts w:ascii="宋体" w:hAnsi="Courier New"/>
      <w:szCs w:val="22"/>
    </w:rPr>
  </w:style>
  <w:style w:type="paragraph" w:customStyle="1" w:styleId="2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0">
    <w:name w:val="页脚 字符"/>
    <w:link w:val="14"/>
    <w:qFormat/>
    <w:uiPriority w:val="0"/>
    <w:rPr>
      <w:kern w:val="2"/>
      <w:sz w:val="18"/>
      <w:szCs w:val="18"/>
    </w:rPr>
  </w:style>
  <w:style w:type="character" w:customStyle="1" w:styleId="31">
    <w:name w:val="apple-style-span"/>
    <w:basedOn w:val="21"/>
    <w:qFormat/>
    <w:uiPriority w:val="0"/>
  </w:style>
  <w:style w:type="character" w:customStyle="1" w:styleId="32">
    <w:name w:val="页眉 字符"/>
    <w:link w:val="15"/>
    <w:qFormat/>
    <w:uiPriority w:val="0"/>
    <w:rPr>
      <w:kern w:val="2"/>
      <w:sz w:val="18"/>
      <w:szCs w:val="18"/>
    </w:rPr>
  </w:style>
  <w:style w:type="character" w:customStyle="1" w:styleId="33">
    <w:name w:val="style141"/>
    <w:qFormat/>
    <w:uiPriority w:val="0"/>
    <w:rPr>
      <w:rFonts w:hint="eastAsia" w:ascii="宋体" w:hAnsi="宋体" w:eastAsia="宋体"/>
      <w:sz w:val="18"/>
      <w:szCs w:val="18"/>
    </w:rPr>
  </w:style>
  <w:style w:type="character" w:customStyle="1" w:styleId="34">
    <w:name w:val="纯文本 字符"/>
    <w:basedOn w:val="21"/>
    <w:link w:val="10"/>
    <w:qFormat/>
    <w:uiPriority w:val="0"/>
    <w:rPr>
      <w:rFonts w:ascii="宋体" w:hAnsi="Courier New" w:eastAsia="微软雅黑" w:cs="Courier New"/>
      <w:sz w:val="22"/>
      <w:szCs w:val="21"/>
    </w:rPr>
  </w:style>
  <w:style w:type="character" w:customStyle="1" w:styleId="35">
    <w:name w:val="批注文字 字符"/>
    <w:basedOn w:val="21"/>
    <w:link w:val="6"/>
    <w:semiHidden/>
    <w:qFormat/>
    <w:uiPriority w:val="99"/>
    <w:rPr>
      <w:kern w:val="2"/>
      <w:sz w:val="21"/>
      <w:szCs w:val="24"/>
    </w:rPr>
  </w:style>
  <w:style w:type="character" w:customStyle="1" w:styleId="36">
    <w:name w:val="批注主题 字符"/>
    <w:basedOn w:val="35"/>
    <w:link w:val="18"/>
    <w:semiHidden/>
    <w:qFormat/>
    <w:uiPriority w:val="99"/>
    <w:rPr>
      <w:b/>
      <w:bCs/>
      <w:kern w:val="2"/>
      <w:sz w:val="21"/>
      <w:szCs w:val="24"/>
    </w:rPr>
  </w:style>
  <w:style w:type="paragraph" w:styleId="37">
    <w:name w:val="List Paragraph"/>
    <w:basedOn w:val="1"/>
    <w:qFormat/>
    <w:uiPriority w:val="34"/>
    <w:pPr>
      <w:ind w:firstLine="420" w:firstLineChars="200"/>
    </w:pPr>
  </w:style>
  <w:style w:type="character" w:customStyle="1" w:styleId="38">
    <w:name w:val="正文文本缩进 字符"/>
    <w:basedOn w:val="21"/>
    <w:link w:val="9"/>
    <w:qFormat/>
    <w:uiPriority w:val="0"/>
    <w:rPr>
      <w:rFonts w:ascii="Calibri" w:hAnsi="Calibri"/>
      <w:kern w:val="2"/>
      <w:sz w:val="21"/>
      <w:szCs w:val="22"/>
    </w:rPr>
  </w:style>
  <w:style w:type="paragraph" w:customStyle="1" w:styleId="39">
    <w:name w:val="p18"/>
    <w:basedOn w:val="1"/>
    <w:qFormat/>
    <w:uiPriority w:val="0"/>
    <w:pPr>
      <w:widowControl/>
      <w:adjustRightInd w:val="0"/>
      <w:spacing w:line="312" w:lineRule="atLeast"/>
    </w:pPr>
    <w:rPr>
      <w:rFonts w:ascii="宋体" w:hAnsi="宋体" w:cs="宋体"/>
      <w:kern w:val="0"/>
      <w:sz w:val="24"/>
    </w:rPr>
  </w:style>
  <w:style w:type="character" w:customStyle="1" w:styleId="40">
    <w:name w:val="正文文本 字符"/>
    <w:basedOn w:val="21"/>
    <w:link w:val="8"/>
    <w:semiHidden/>
    <w:qFormat/>
    <w:uiPriority w:val="99"/>
    <w:rPr>
      <w:kern w:val="2"/>
      <w:sz w:val="21"/>
      <w:szCs w:val="24"/>
    </w:rPr>
  </w:style>
  <w:style w:type="character" w:customStyle="1" w:styleId="41">
    <w:name w:val="标题 1 字符"/>
    <w:basedOn w:val="21"/>
    <w:qFormat/>
    <w:uiPriority w:val="0"/>
    <w:rPr>
      <w:b/>
      <w:bCs/>
      <w:kern w:val="44"/>
      <w:sz w:val="44"/>
      <w:szCs w:val="44"/>
    </w:rPr>
  </w:style>
  <w:style w:type="character" w:customStyle="1" w:styleId="42">
    <w:name w:val="标题 2 字符"/>
    <w:basedOn w:val="21"/>
    <w:link w:val="3"/>
    <w:qFormat/>
    <w:uiPriority w:val="0"/>
    <w:rPr>
      <w:rFonts w:ascii="Arial" w:hAnsi="Arial" w:eastAsia="黑体"/>
      <w:b/>
      <w:bCs/>
      <w:kern w:val="2"/>
      <w:sz w:val="32"/>
      <w:szCs w:val="32"/>
    </w:rPr>
  </w:style>
  <w:style w:type="character" w:customStyle="1" w:styleId="43">
    <w:name w:val="标题 3 字符"/>
    <w:basedOn w:val="21"/>
    <w:link w:val="4"/>
    <w:qFormat/>
    <w:uiPriority w:val="0"/>
    <w:rPr>
      <w:b/>
      <w:bCs/>
      <w:kern w:val="2"/>
      <w:sz w:val="32"/>
      <w:szCs w:val="32"/>
    </w:rPr>
  </w:style>
  <w:style w:type="character" w:customStyle="1" w:styleId="44">
    <w:name w:val="批注框文本 字符"/>
    <w:basedOn w:val="21"/>
    <w:link w:val="13"/>
    <w:qFormat/>
    <w:uiPriority w:val="0"/>
    <w:rPr>
      <w:kern w:val="2"/>
      <w:sz w:val="18"/>
      <w:szCs w:val="18"/>
    </w:rPr>
  </w:style>
  <w:style w:type="character" w:customStyle="1" w:styleId="45">
    <w:name w:val="HTML 预设格式 字符"/>
    <w:basedOn w:val="21"/>
    <w:link w:val="16"/>
    <w:qFormat/>
    <w:uiPriority w:val="99"/>
    <w:rPr>
      <w:rFonts w:ascii="宋体" w:hAnsi="宋体" w:cs="宋体"/>
      <w:sz w:val="24"/>
      <w:szCs w:val="24"/>
    </w:rPr>
  </w:style>
  <w:style w:type="character" w:customStyle="1" w:styleId="46">
    <w:name w:val="标题 1 字符1"/>
    <w:link w:val="2"/>
    <w:qFormat/>
    <w:uiPriority w:val="0"/>
    <w:rPr>
      <w:b/>
      <w:bCs/>
      <w:kern w:val="44"/>
      <w:sz w:val="44"/>
      <w:szCs w:val="44"/>
    </w:rPr>
  </w:style>
  <w:style w:type="character" w:customStyle="1" w:styleId="47">
    <w:name w:val="页眉 Char"/>
    <w:qFormat/>
    <w:uiPriority w:val="0"/>
    <w:rPr>
      <w:kern w:val="2"/>
      <w:sz w:val="18"/>
      <w:szCs w:val="18"/>
      <w:lang w:val="zh-CN" w:eastAsia="zh-CN"/>
    </w:rPr>
  </w:style>
  <w:style w:type="character" w:customStyle="1" w:styleId="48">
    <w:name w:val="页脚 Char"/>
    <w:qFormat/>
    <w:uiPriority w:val="0"/>
    <w:rPr>
      <w:kern w:val="2"/>
      <w:sz w:val="18"/>
      <w:szCs w:val="18"/>
      <w:lang w:val="zh-CN" w:eastAsia="zh-CN"/>
    </w:rPr>
  </w:style>
  <w:style w:type="character" w:customStyle="1" w:styleId="49">
    <w:name w:val="尾注文本 字符"/>
    <w:basedOn w:val="21"/>
    <w:link w:val="12"/>
    <w:semiHidden/>
    <w:qFormat/>
    <w:uiPriority w:val="99"/>
    <w:rPr>
      <w:kern w:val="2"/>
      <w:sz w:val="21"/>
      <w:szCs w:val="24"/>
    </w:rPr>
  </w:style>
  <w:style w:type="character" w:customStyle="1" w:styleId="50">
    <w:name w:val="日期 字符"/>
    <w:basedOn w:val="21"/>
    <w:link w:val="11"/>
    <w:semiHidden/>
    <w:qFormat/>
    <w:uiPriority w:val="99"/>
    <w:rPr>
      <w:kern w:val="2"/>
      <w:sz w:val="21"/>
      <w:szCs w:val="24"/>
    </w:rPr>
  </w:style>
  <w:style w:type="character" w:customStyle="1" w:styleId="51">
    <w:name w:val="kb1flw22"/>
    <w:basedOn w:val="21"/>
    <w:qFormat/>
    <w:uiPriority w:val="0"/>
  </w:style>
  <w:style w:type="character" w:customStyle="1" w:styleId="52">
    <w:name w:val="j11z462ze59"/>
    <w:basedOn w:val="21"/>
    <w:qFormat/>
    <w:uiPriority w:val="0"/>
  </w:style>
  <w:style w:type="character" w:customStyle="1" w:styleId="53">
    <w:name w:val="HTML 预设格式 Char"/>
    <w:basedOn w:val="21"/>
    <w:qFormat/>
    <w:uiPriority w:val="99"/>
    <w:rPr>
      <w:rFonts w:ascii="宋体" w:hAnsi="宋体" w:cs="宋体"/>
      <w:sz w:val="24"/>
      <w:szCs w:val="24"/>
    </w:rPr>
  </w:style>
  <w:style w:type="paragraph" w:customStyle="1" w:styleId="54">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5">
    <w:name w:val="_Style 53"/>
    <w:basedOn w:val="1"/>
    <w:next w:val="37"/>
    <w:autoRedefine/>
    <w:qFormat/>
    <w:uiPriority w:val="99"/>
    <w:pPr>
      <w:widowControl/>
      <w:ind w:firstLine="420" w:firstLineChars="200"/>
      <w:jc w:val="left"/>
    </w:pPr>
    <w:rPr>
      <w:rFonts w:ascii="Calibri" w:hAnsi="Calibri" w:eastAsia="仿宋"/>
      <w:kern w:val="0"/>
      <w:sz w:val="28"/>
      <w:lang w:eastAsia="en-US"/>
    </w:rPr>
  </w:style>
  <w:style w:type="paragraph" w:customStyle="1" w:styleId="56">
    <w:name w:val="_Style 54"/>
    <w:basedOn w:val="1"/>
    <w:next w:val="37"/>
    <w:autoRedefine/>
    <w:qFormat/>
    <w:uiPriority w:val="99"/>
    <w:pPr>
      <w:widowControl/>
      <w:ind w:firstLine="420" w:firstLineChars="200"/>
      <w:jc w:val="left"/>
    </w:pPr>
    <w:rPr>
      <w:rFonts w:ascii="Calibri" w:hAnsi="Calibri" w:eastAsia="仿宋"/>
      <w:kern w:val="0"/>
      <w:sz w:val="28"/>
      <w:lang w:eastAsia="en-US"/>
    </w:rPr>
  </w:style>
  <w:style w:type="paragraph" w:customStyle="1" w:styleId="57">
    <w:name w:val="_Style 55"/>
    <w:basedOn w:val="1"/>
    <w:next w:val="37"/>
    <w:autoRedefine/>
    <w:qFormat/>
    <w:uiPriority w:val="99"/>
    <w:pPr>
      <w:widowControl/>
      <w:ind w:firstLine="420" w:firstLineChars="200"/>
      <w:jc w:val="left"/>
    </w:pPr>
    <w:rPr>
      <w:rFonts w:ascii="Calibri" w:hAnsi="Calibri" w:eastAsia="仿宋"/>
      <w:kern w:val="0"/>
      <w:sz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30B1-C9F7-4070-AD4E-9706A877A02F}">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29</Pages>
  <Words>1548</Words>
  <Characters>1687</Characters>
  <Lines>130</Lines>
  <Paragraphs>36</Paragraphs>
  <TotalTime>10</TotalTime>
  <ScaleCrop>false</ScaleCrop>
  <LinksUpToDate>false</LinksUpToDate>
  <CharactersWithSpaces>1689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2024-04-07T08:31:00Z</dcterms:created>
  <dc:creator>abc</dc:creator>
  <cp:lastModifiedBy>云上晴</cp:lastModifiedBy>
  <cp:lastPrinted>2024-10-24T07:11:50Z</cp:lastPrinted>
  <dcterms:modified xsi:type="dcterms:W3CDTF">2024-10-24T07:12:31Z</dcterms:modified>
  <dc:title>广州大学城投资经营管理有限公司</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EF3DCAA066F642D69E8431C80D59F98E_12</vt:lpwstr>
  </property>
</Properties>
</file>