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广州城投综合能源投资经营管理有限公司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广州美术学院跨学科艺术实验室（排练空间）安装中央空调工程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广州美术学院跨学科艺术实验室（排练空间）安装中央空调工程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大学城</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7.5</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配合广州美术学院跨学科艺术共享教学实验中心升级改造项目，对实验室（排练空间）这一场所进行安装中央空调，以满足场所空调使用需求。另外，跨学科数字艺术共享教学实验中心新安装的两套新风机组冷冻水进出水管没有安装电动阀，导致冷冻水长期流通，造成能耗较大，需对工艺进行改进。具体项目内容为：</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1、两套新风机组改进工艺：</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在两套新风机组供水或回水管道上安装电动调节阀及控制线路安装。</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2、舞美空间场所中央空调系统安装：</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（1）切割及恢复石膏板天花板，安装检修口。</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（2）吊顶卡式四出风型风机盘管机组设备安装。</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（3）冷冻水系列管道安装，包括保温层安装。</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（4）风机盘管机组设备电源、温控系统安装。</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合格投标人资格要求</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highlight w:val="none"/>
        </w:rPr>
        <w:t>已办理合法税务登记，具有开具相应增值税专用发票资格</w:t>
      </w:r>
      <w:r>
        <w:rPr>
          <w:rFonts w:hint="eastAsia"/>
          <w:sz w:val="24"/>
          <w:highlight w:val="none"/>
        </w:rPr>
        <w:t>。</w:t>
      </w:r>
      <w:bookmarkStart w:id="1" w:name="_Hlk45716001"/>
      <w:bookmarkStart w:id="2" w:name="_Hlk50641340"/>
    </w:p>
    <w:p>
      <w:pPr>
        <w:numPr>
          <w:ilvl w:val="0"/>
          <w:numId w:val="3"/>
        </w:numPr>
        <w:spacing w:before="120" w:beforeLines="50" w:after="120" w:afterLines="50" w:line="360" w:lineRule="auto"/>
        <w:ind w:left="0" w:firstLine="480" w:firstLineChars="200"/>
        <w:rPr>
          <w:sz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有机电工程施工总承包</w:t>
      </w:r>
      <w:r>
        <w:rPr>
          <w:rFonts w:hint="eastAsia" w:ascii="宋体" w:hAnsi="宋体" w:eastAsia="宋体"/>
          <w:sz w:val="24"/>
          <w:szCs w:val="24"/>
          <w:highlight w:val="none"/>
        </w:rPr>
        <w:t>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highlight w:val="none"/>
          <w:lang w:val="en-US" w:eastAsia="zh-CN"/>
        </w:rPr>
        <w:t>建筑机电安装工程专业承</w:t>
      </w:r>
      <w:r>
        <w:rPr>
          <w:rFonts w:hint="eastAsia"/>
          <w:sz w:val="24"/>
          <w:highlight w:val="none"/>
        </w:rPr>
        <w:t>包</w:t>
      </w:r>
      <w:r>
        <w:rPr>
          <w:rFonts w:hint="eastAsia"/>
          <w:sz w:val="24"/>
          <w:highlight w:val="none"/>
          <w:lang w:val="en-US" w:eastAsia="zh-CN"/>
        </w:rPr>
        <w:t>叁</w:t>
      </w:r>
      <w:r>
        <w:rPr>
          <w:rFonts w:hint="eastAsia"/>
          <w:sz w:val="24"/>
          <w:highlight w:val="none"/>
        </w:rPr>
        <w:t>级</w:t>
      </w:r>
      <w:r>
        <w:rPr>
          <w:rFonts w:hint="eastAsia"/>
          <w:sz w:val="24"/>
          <w:highlight w:val="none"/>
          <w:lang w:val="en-US" w:eastAsia="zh-CN"/>
        </w:rPr>
        <w:t>及</w:t>
      </w:r>
      <w:r>
        <w:rPr>
          <w:rFonts w:hint="eastAsia"/>
          <w:sz w:val="24"/>
          <w:highlight w:val="none"/>
        </w:rPr>
        <w:t>以上资质</w:t>
      </w:r>
      <w:r>
        <w:rPr>
          <w:rFonts w:hint="eastAsia"/>
          <w:sz w:val="24"/>
          <w:highlight w:val="none"/>
          <w:lang w:eastAsia="zh-CN"/>
        </w:rPr>
        <w:t>。</w:t>
      </w:r>
    </w:p>
    <w:bookmarkEnd w:id="1"/>
    <w:bookmarkEnd w:id="2"/>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投标人近3年内(20</w:t>
      </w:r>
      <w:r>
        <w:rPr>
          <w:rFonts w:hint="eastAsia"/>
          <w:sz w:val="24"/>
          <w:highlight w:val="none"/>
          <w:lang w:val="en-US" w:eastAsia="zh-CN"/>
        </w:rPr>
        <w:t>20</w:t>
      </w:r>
      <w:r>
        <w:rPr>
          <w:rFonts w:hint="eastAsia"/>
          <w:sz w:val="24"/>
          <w:highlight w:val="none"/>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不接受联合体报价。</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项目内容及要求</w:t>
      </w:r>
    </w:p>
    <w:tbl>
      <w:tblPr>
        <w:tblStyle w:val="2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2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top"/>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229" w:type="dxa"/>
            <w:noWrap w:val="0"/>
            <w:vAlign w:val="top"/>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工程施工项目</w:t>
            </w:r>
          </w:p>
        </w:tc>
        <w:tc>
          <w:tcPr>
            <w:tcW w:w="1418" w:type="dxa"/>
            <w:noWrap w:val="0"/>
            <w:vAlign w:val="top"/>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DN50电动比例积分调节阀安装及电源控制线路安装。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切割及恢复石膏板天花板及安装检修口</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安装检修口</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KW吊顶卡式四出风型风机盘管空调机设备安装。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冷冻水供回水、排水钢质管道（DN 50、DN32、DN20）安装。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风机盘管空调机控制电源、温控路线设备安装。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现场清理</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r>
    </w:tbl>
    <w:p>
      <w:pPr>
        <w:spacing w:line="240" w:lineRule="atLeast"/>
        <w:jc w:val="center"/>
        <w:rPr>
          <w:rFonts w:hint="default" w:ascii="仿宋" w:hAnsi="仿宋" w:eastAsia="仿宋"/>
          <w:sz w:val="30"/>
          <w:szCs w:val="30"/>
          <w:lang w:val="en-US" w:eastAsia="zh-CN"/>
        </w:rPr>
      </w:pP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工程量及材料说明</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以下工程量仅作参考，本项目由投标人包工包料，投标人</w:t>
      </w:r>
      <w:r>
        <w:rPr>
          <w:rFonts w:hint="eastAsia" w:ascii="宋体" w:hAnsi="宋体"/>
          <w:sz w:val="24"/>
          <w:highlight w:val="none"/>
          <w:lang w:val="en-US" w:eastAsia="zh-CN"/>
        </w:rPr>
        <w:t>应</w:t>
      </w:r>
      <w:r>
        <w:rPr>
          <w:rFonts w:hint="eastAsia" w:ascii="宋体" w:hAnsi="宋体"/>
          <w:sz w:val="24"/>
          <w:highlight w:val="none"/>
        </w:rPr>
        <w:t>勘踏现场后，应根据下表及结合现场实际情况综合考虑再进行报价。</w:t>
      </w:r>
    </w:p>
    <w:p>
      <w:pPr>
        <w:spacing w:before="120" w:beforeLines="50" w:after="120" w:afterLines="50" w:line="360" w:lineRule="auto"/>
        <w:jc w:val="center"/>
        <w:rPr>
          <w:rFonts w:hint="eastAsia" w:ascii="宋体" w:hAnsi="宋体"/>
          <w:b/>
          <w:sz w:val="28"/>
          <w:szCs w:val="28"/>
          <w:highlight w:val="none"/>
        </w:rPr>
      </w:pPr>
      <w:r>
        <w:rPr>
          <w:rFonts w:hint="eastAsia" w:ascii="宋体" w:hAnsi="宋体"/>
          <w:b/>
          <w:sz w:val="28"/>
          <w:szCs w:val="28"/>
          <w:highlight w:val="none"/>
        </w:rPr>
        <w:t>主要工程量清单</w:t>
      </w:r>
    </w:p>
    <w:tbl>
      <w:tblPr>
        <w:tblStyle w:val="23"/>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666"/>
        <w:gridCol w:w="2692"/>
        <w:gridCol w:w="2886"/>
        <w:gridCol w:w="1191"/>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vMerge w:val="restart"/>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bookmarkStart w:id="3" w:name="_Hlk134546229"/>
            <w:r>
              <w:rPr>
                <w:rFonts w:hint="eastAsia" w:asciiTheme="minorEastAsia" w:hAnsiTheme="minorEastAsia" w:eastAsiaTheme="minorEastAsia" w:cstheme="minorEastAsia"/>
                <w:sz w:val="24"/>
                <w:szCs w:val="24"/>
              </w:rPr>
              <w:t>序号</w:t>
            </w:r>
          </w:p>
        </w:tc>
        <w:tc>
          <w:tcPr>
            <w:tcW w:w="1666" w:type="dxa"/>
            <w:vMerge w:val="restart"/>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5578" w:type="dxa"/>
            <w:gridSpan w:val="2"/>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主要描述</w:t>
            </w:r>
          </w:p>
        </w:tc>
        <w:tc>
          <w:tcPr>
            <w:tcW w:w="1191" w:type="dxa"/>
            <w:vMerge w:val="restart"/>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w:t>
            </w:r>
          </w:p>
        </w:tc>
        <w:tc>
          <w:tcPr>
            <w:tcW w:w="885" w:type="dxa"/>
            <w:vMerge w:val="restart"/>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pPr>
              <w:tabs>
                <w:tab w:val="left" w:pos="1800"/>
              </w:tabs>
              <w:spacing w:line="0" w:lineRule="atLeast"/>
              <w:jc w:val="both"/>
              <w:rPr>
                <w:rFonts w:hint="eastAsia" w:asciiTheme="minorEastAsia" w:hAnsiTheme="minorEastAsia" w:eastAsiaTheme="minorEastAsia" w:cstheme="minorEastAsia"/>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vMerge w:val="continue"/>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1666" w:type="dxa"/>
            <w:vMerge w:val="continue"/>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2692"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施工内容</w:t>
            </w:r>
          </w:p>
        </w:tc>
        <w:tc>
          <w:tcPr>
            <w:tcW w:w="288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设备材料</w:t>
            </w:r>
          </w:p>
        </w:tc>
        <w:tc>
          <w:tcPr>
            <w:tcW w:w="1191" w:type="dxa"/>
            <w:vMerge w:val="continue"/>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885" w:type="dxa"/>
            <w:vMerge w:val="continue"/>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9776" w:type="dxa"/>
            <w:gridSpan w:val="6"/>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新风机组安装电动调节阀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回水管切割及法兰片安装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1、切割管道。</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2、法兰焊接。</w:t>
            </w:r>
          </w:p>
        </w:tc>
        <w:tc>
          <w:tcPr>
            <w:tcW w:w="288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法兰：</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碳钢、DN50、16PA。</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4片</w:t>
            </w:r>
          </w:p>
        </w:tc>
        <w:tc>
          <w:tcPr>
            <w:tcW w:w="8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新风机组回水管安装DN50电动调节阀</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1、阀门安装及控制线路敷设。</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2、保温层拆除及恢复。</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3、调试。</w:t>
            </w:r>
          </w:p>
        </w:tc>
        <w:tc>
          <w:tcPr>
            <w:tcW w:w="288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1、电动调节阀:</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不锈钢球阀、品牌：汉诺尔/三和易通、DN50、16PA、具积分比例调节及停电自动复位功能、220V电源信号、法兰连接。</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2、控制线路：按产品安装要求。</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2套</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9776" w:type="dxa"/>
            <w:gridSpan w:val="6"/>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舞美空间场所中央空调系统安装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vMerge w:val="restart"/>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6" w:type="dxa"/>
            <w:vMerge w:val="restart"/>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DN50供回水管道安装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1、石膏板天花层切割安装管道，管道安装完后恢复。</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1、按原状石膏板天花恢复。</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2、扇灰与原状一致。</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5平方米</w:t>
            </w:r>
          </w:p>
        </w:tc>
        <w:tc>
          <w:tcPr>
            <w:tcW w:w="8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vMerge w:val="continue"/>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p>
        </w:tc>
        <w:tc>
          <w:tcPr>
            <w:tcW w:w="1666" w:type="dxa"/>
            <w:vMerge w:val="continue"/>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石膏板天花层安装检修口。</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检修口：</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铝合金材质、450*450；托板式</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3个</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vMerge w:val="continue"/>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p>
        </w:tc>
        <w:tc>
          <w:tcPr>
            <w:tcW w:w="1666" w:type="dxa"/>
            <w:vMerge w:val="continue"/>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1、吊支架焊接制作安装及油漆。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2、管道焊接安装。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1、管道：</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无缝钢管、DN50、厚度3.5mm。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橡塑保温棉、B1级、华美品牌、厚度40mm。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4、吊支架：钢质、油漆。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5、管托：</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PE橡塑材质、DN50。</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77米</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66" w:type="dxa"/>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DN20供回水管道安装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1、吊支架焊接制作安装及油漆。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2、管道焊接安装。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1、管道：</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无缝钢管、DN20、厚度3mm。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橡塑保温棉、B1级、华美品牌、厚度25mm。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3、吊支架：钢质、油漆。。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4、管托：</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PE橡塑材质、DN20。</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59米</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66" w:type="dxa"/>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DN20排水管道安装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1、吊支架焊接制作安装。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2、管道安装。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1、管道：</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PVC排水管、DN20、联塑品牌</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3、吊支架：钢质、油漆。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4、管托：</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PE橡塑材质、DN20。</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36米</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66" w:type="dxa"/>
            <w:shd w:val="clear" w:color="auto" w:fill="auto"/>
            <w:noWrap w:val="0"/>
            <w:vAlign w:val="center"/>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DN32排水管道安装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1、吊支架焊接制作安装。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2、管道安装。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1、管道：</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PVC排水管、DN32、联塑品牌</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3、吊支架：钢质、油漆。。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4、管托：</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PE橡塑材质、DN32。</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30米</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6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风机盘管空调机主设备安装</w:t>
            </w:r>
          </w:p>
        </w:tc>
        <w:tc>
          <w:tcPr>
            <w:tcW w:w="2692" w:type="dxa"/>
            <w:shd w:val="clear" w:color="auto" w:fill="auto"/>
            <w:noWrap w:val="0"/>
            <w:vAlign w:val="top"/>
          </w:tcPr>
          <w:p>
            <w:pPr>
              <w:tabs>
                <w:tab w:val="left" w:pos="1800"/>
              </w:tabs>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1、吊杆安装。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2、主机吊装。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1、风机盘管空调机：</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西屋康达品牌、吊顶卡式四出风型、强排式、单机额定供冷量9.2 KW。</w:t>
            </w:r>
            <w:bookmarkStart w:id="4" w:name="_Hlk134545363"/>
            <w:r>
              <w:rPr>
                <w:rFonts w:hint="eastAsia" w:asciiTheme="minorEastAsia" w:hAnsiTheme="minorEastAsia" w:eastAsiaTheme="minorEastAsia" w:cstheme="minorEastAsia"/>
                <w:sz w:val="24"/>
                <w:szCs w:val="24"/>
              </w:rPr>
              <w:t>最大风量1700m/h。</w:t>
            </w:r>
          </w:p>
          <w:bookmarkEnd w:id="4"/>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2、吊杆：</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镀锌材质、M10。</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9套</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电动二通阀安装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1、丝口安装。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3、接线。</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1、二通阀：</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汉诺尔品牌、DN20。</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9套</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空调机进出水管波纹管安装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1、丝口安装。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1、波纹管</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304不锈钢材质、DN20。</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18条</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冷冻水管阀门安装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1、丝口安装。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1、阀门：</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丝口闸阀、黄铜材质、埃美柯品牌、DN50。</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2套</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冷冻水管阀门安装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1、丝口安装。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2、保温层安装</w:t>
            </w: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1、阀门：</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丝口闸阀、黄铜材质、埃美柯品牌、DN20。</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2、保温层：</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橡塑保温棉、B1级、华美品牌、厚度20mm。</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lang w:val="en-US" w:eastAsia="zh-CN"/>
              </w:rPr>
              <w:t>个</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66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电源配电配电箱安装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1、安装。</w:t>
            </w:r>
          </w:p>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2、接线。</w:t>
            </w:r>
          </w:p>
        </w:tc>
        <w:tc>
          <w:tcPr>
            <w:tcW w:w="288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规格：6回路、明装</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2个</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666" w:type="dxa"/>
            <w:shd w:val="clear" w:color="auto" w:fill="auto"/>
            <w:noWrap w:val="0"/>
            <w:vAlign w:val="center"/>
          </w:tcPr>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漏电开关安装</w:t>
            </w:r>
          </w:p>
        </w:tc>
        <w:tc>
          <w:tcPr>
            <w:tcW w:w="2692"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1、安装。</w:t>
            </w:r>
          </w:p>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2、接线。</w:t>
            </w:r>
          </w:p>
        </w:tc>
        <w:tc>
          <w:tcPr>
            <w:tcW w:w="2886" w:type="dxa"/>
            <w:shd w:val="clear" w:color="auto" w:fill="auto"/>
            <w:noWrap w:val="0"/>
            <w:vAlign w:val="center"/>
          </w:tcPr>
          <w:p>
            <w:pPr>
              <w:tabs>
                <w:tab w:val="left" w:pos="1800"/>
              </w:tabs>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规格：220V、2P、16A</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9个</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666" w:type="dxa"/>
            <w:shd w:val="clear" w:color="auto" w:fill="auto"/>
            <w:noWrap w:val="0"/>
            <w:vAlign w:val="center"/>
          </w:tcPr>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电源电缆敷设安装</w:t>
            </w:r>
          </w:p>
        </w:tc>
        <w:tc>
          <w:tcPr>
            <w:tcW w:w="2692" w:type="dxa"/>
            <w:shd w:val="clear" w:color="auto" w:fill="auto"/>
            <w:noWrap w:val="0"/>
            <w:vAlign w:val="center"/>
          </w:tcPr>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1、线槽或线管安装。                2、电源线敷设。</w:t>
            </w:r>
          </w:p>
        </w:tc>
        <w:tc>
          <w:tcPr>
            <w:tcW w:w="2886" w:type="dxa"/>
            <w:shd w:val="clear" w:color="auto" w:fill="auto"/>
            <w:noWrap w:val="0"/>
            <w:vAlign w:val="center"/>
          </w:tcPr>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1、电源线路：</w:t>
            </w:r>
          </w:p>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乐光品牌；3芯*1平方</w:t>
            </w:r>
          </w:p>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2、线槽：</w:t>
            </w:r>
          </w:p>
          <w:p>
            <w:pPr>
              <w:spacing w:line="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品牌：联塑</w:t>
            </w: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97米</w:t>
            </w:r>
          </w:p>
        </w:tc>
        <w:tc>
          <w:tcPr>
            <w:tcW w:w="885"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trPr>
        <w:tc>
          <w:tcPr>
            <w:tcW w:w="45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1666"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2692"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2886" w:type="dxa"/>
            <w:shd w:val="clear" w:color="auto" w:fill="auto"/>
            <w:noWrap w:val="0"/>
            <w:vAlign w:val="top"/>
          </w:tcPr>
          <w:p>
            <w:pPr>
              <w:tabs>
                <w:tab w:val="left" w:pos="1800"/>
              </w:tabs>
              <w:spacing w:line="0" w:lineRule="atLeast"/>
              <w:rPr>
                <w:rFonts w:hint="eastAsia" w:asciiTheme="minorEastAsia" w:hAnsiTheme="minorEastAsia" w:eastAsiaTheme="minorEastAsia" w:cstheme="minorEastAsia"/>
                <w:sz w:val="24"/>
                <w:szCs w:val="24"/>
              </w:rPr>
            </w:pPr>
          </w:p>
        </w:tc>
        <w:tc>
          <w:tcPr>
            <w:tcW w:w="1191"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p>
        </w:tc>
        <w:tc>
          <w:tcPr>
            <w:tcW w:w="885" w:type="dxa"/>
            <w:shd w:val="clear" w:color="auto" w:fill="auto"/>
            <w:noWrap w:val="0"/>
            <w:vAlign w:val="center"/>
          </w:tcPr>
          <w:p>
            <w:pPr>
              <w:tabs>
                <w:tab w:val="left" w:pos="1800"/>
              </w:tabs>
              <w:spacing w:line="0" w:lineRule="atLeast"/>
              <w:jc w:val="center"/>
              <w:rPr>
                <w:rFonts w:hint="eastAsia" w:asciiTheme="minorEastAsia" w:hAnsiTheme="minorEastAsia" w:eastAsiaTheme="minorEastAsia" w:cstheme="minorEastAsia"/>
                <w:sz w:val="24"/>
                <w:szCs w:val="24"/>
              </w:rPr>
            </w:pPr>
          </w:p>
        </w:tc>
      </w:tr>
      <w:bookmarkEnd w:id="3"/>
    </w:tbl>
    <w:p>
      <w:pPr>
        <w:spacing w:before="120" w:beforeLines="50" w:after="120" w:afterLines="50" w:line="360" w:lineRule="auto"/>
        <w:jc w:val="center"/>
        <w:rPr>
          <w:rFonts w:hint="eastAsia" w:ascii="宋体" w:hAnsi="宋体"/>
          <w:b/>
          <w:sz w:val="28"/>
          <w:szCs w:val="28"/>
          <w:highlight w:val="none"/>
        </w:rPr>
      </w:pPr>
    </w:p>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szCs w:val="24"/>
          <w:highlight w:val="none"/>
        </w:rPr>
        <w:t>备注：</w:t>
      </w:r>
      <w:r>
        <w:rPr>
          <w:rFonts w:hint="eastAsia" w:ascii="宋体" w:hAnsi="宋体"/>
          <w:sz w:val="24"/>
          <w:szCs w:val="24"/>
        </w:rPr>
        <w:t>本项目材料、机械、器具等均由乙方提供</w:t>
      </w:r>
      <w:r>
        <w:rPr>
          <w:rFonts w:hint="eastAsia" w:ascii="宋体" w:hAnsi="宋体"/>
          <w:sz w:val="24"/>
          <w:szCs w:val="24"/>
          <w:lang w:eastAsia="zh-CN"/>
        </w:rPr>
        <w:t>，</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sz w:val="24"/>
          <w:highlight w:val="none"/>
        </w:rPr>
      </w:pPr>
      <w:r>
        <w:rPr>
          <w:rFonts w:hint="eastAsia"/>
          <w:sz w:val="24"/>
          <w:highlight w:val="none"/>
          <w:lang w:val="en-US" w:eastAsia="zh-CN"/>
        </w:rPr>
        <w:t>材料及施工要求说明</w:t>
      </w:r>
    </w:p>
    <w:p>
      <w:pPr>
        <w:numPr>
          <w:ilvl w:val="0"/>
          <w:numId w:val="0"/>
        </w:numPr>
        <w:spacing w:before="120" w:beforeLines="50" w:after="120" w:afterLines="50" w:line="360" w:lineRule="auto"/>
        <w:ind w:leftChars="200"/>
        <w:rPr>
          <w:rFonts w:hint="eastAsia"/>
          <w:sz w:val="24"/>
          <w:highlight w:val="none"/>
          <w:lang w:eastAsia="zh-CN"/>
        </w:rPr>
      </w:pPr>
      <w:r>
        <w:rPr>
          <w:rFonts w:hint="eastAsia"/>
          <w:sz w:val="24"/>
          <w:highlight w:val="none"/>
          <w:lang w:eastAsia="zh-CN"/>
        </w:rPr>
        <w:t>（一）新风机组安装电动调节阀：</w:t>
      </w:r>
    </w:p>
    <w:p>
      <w:pPr>
        <w:numPr>
          <w:ilvl w:val="0"/>
          <w:numId w:val="0"/>
        </w:numPr>
        <w:spacing w:before="120" w:beforeLines="50" w:after="120" w:afterLines="50" w:line="360" w:lineRule="auto"/>
        <w:ind w:leftChars="200"/>
        <w:rPr>
          <w:rFonts w:hint="eastAsia"/>
          <w:sz w:val="24"/>
          <w:highlight w:val="none"/>
          <w:lang w:eastAsia="zh-CN"/>
        </w:rPr>
      </w:pPr>
      <w:r>
        <w:rPr>
          <w:rFonts w:hint="eastAsia"/>
          <w:sz w:val="24"/>
          <w:highlight w:val="none"/>
          <w:lang w:eastAsia="zh-CN"/>
        </w:rPr>
        <w:t>1、电动调节阀安装位置为新风机组的回水管上，采用切管焊接法兰安装。2、电动调节阀电气控制系统与新风机组电源箱连接，达到启停联动功能。</w:t>
      </w:r>
    </w:p>
    <w:p>
      <w:pPr>
        <w:numPr>
          <w:ilvl w:val="0"/>
          <w:numId w:val="0"/>
        </w:numPr>
        <w:spacing w:before="120" w:beforeLines="50" w:after="120" w:afterLines="50" w:line="360" w:lineRule="auto"/>
        <w:ind w:leftChars="200"/>
        <w:rPr>
          <w:rFonts w:hint="eastAsia"/>
          <w:sz w:val="24"/>
          <w:highlight w:val="none"/>
          <w:lang w:eastAsia="zh-CN"/>
        </w:rPr>
      </w:pPr>
      <w:r>
        <w:rPr>
          <w:rFonts w:hint="eastAsia"/>
          <w:sz w:val="24"/>
          <w:highlight w:val="none"/>
          <w:lang w:eastAsia="zh-CN"/>
        </w:rPr>
        <w:t>（二）舞美空间场所中央空调系统安装：</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1、风机盘管空调机选用吊顶卡式四出风型，品牌选用西屋康达，额定供冷量：9.2 KW，最大风量1700m/h。</w:t>
      </w:r>
    </w:p>
    <w:p>
      <w:pPr>
        <w:numPr>
          <w:ilvl w:val="0"/>
          <w:numId w:val="0"/>
        </w:numPr>
        <w:spacing w:before="120" w:beforeLines="50" w:after="120" w:afterLines="50" w:line="360" w:lineRule="auto"/>
        <w:ind w:leftChars="200"/>
        <w:rPr>
          <w:rFonts w:hint="eastAsia"/>
          <w:sz w:val="24"/>
          <w:highlight w:val="none"/>
          <w:lang w:eastAsia="zh-CN"/>
        </w:rPr>
      </w:pPr>
      <w:r>
        <w:rPr>
          <w:rFonts w:hint="eastAsia"/>
          <w:sz w:val="24"/>
          <w:highlight w:val="none"/>
          <w:lang w:eastAsia="zh-CN"/>
        </w:rPr>
        <w:t>2、风机盘管空调机安装位置根据场所平均分布安装。（见</w:t>
      </w:r>
      <w:r>
        <w:rPr>
          <w:rFonts w:hint="eastAsia"/>
          <w:sz w:val="24"/>
          <w:highlight w:val="none"/>
          <w:lang w:val="en-US" w:eastAsia="zh-CN"/>
        </w:rPr>
        <w:t>附件1</w:t>
      </w:r>
      <w:r>
        <w:rPr>
          <w:rFonts w:hint="eastAsia"/>
          <w:sz w:val="24"/>
          <w:highlight w:val="none"/>
          <w:lang w:eastAsia="zh-CN"/>
        </w:rPr>
        <w:t>示意图）</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3、风机盘管机组采用吊杆四角吊装，安装要求水平对中，室内所有风机盘管机组要求整体水平对中一致，以达到美观。</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4、风机盘管空调机冷冻水管线接驳于跨学科数字艺术共享教学实验中心内的冷冻水管线，排水排向室外。</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5、风机盘管空调机供回水管采用钢质管道焊接安装，冷凝水排水管采用PVC管道安装。其中单列供回水主管管径为DN50，空调机供回水、排水分支管管径为DN20，单列排水主管管径为DN32。</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6、所有管线全程要求安装橡塑保温层，保温层材质要求B1级，各类管的保温层厚度要求： DN50供回水管40mm，DN20供回水管25mm，DN32排水水管25mm，DN20排水水管20mm。包（套）保温层要求严密确保冷凝水不外渗漏。</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7、供回水管线安装工艺要求水平工整，排水管安装要求有一定坡度确保排水顺畅。所有管线按规范安装钢质支架或吊架、管托以达到管线稳固。管托材质要求为PE橡塑。支架或吊架要求油两层防锈漆。</w:t>
      </w:r>
    </w:p>
    <w:p>
      <w:pPr>
        <w:numPr>
          <w:ilvl w:val="0"/>
          <w:numId w:val="0"/>
        </w:numPr>
        <w:spacing w:before="120" w:beforeLines="50" w:after="120" w:afterLines="50" w:line="360" w:lineRule="auto"/>
        <w:ind w:firstLine="240" w:firstLineChars="100"/>
        <w:rPr>
          <w:rFonts w:hint="eastAsia"/>
          <w:sz w:val="24"/>
          <w:highlight w:val="none"/>
          <w:lang w:eastAsia="zh-CN"/>
        </w:rPr>
      </w:pPr>
      <w:r>
        <w:rPr>
          <w:rFonts w:hint="eastAsia"/>
          <w:sz w:val="24"/>
          <w:highlight w:val="none"/>
          <w:lang w:eastAsia="zh-CN"/>
        </w:rPr>
        <w:t xml:space="preserve"> 8、冷冻水供回水管与风机盘管空调机对接口采用波纹短管连接，方便日后设备检修。</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eastAsia="zh-CN"/>
        </w:rPr>
        <w:t>9、电动二通阀安装在空调机供回水支管上。</w:t>
      </w:r>
    </w:p>
    <w:p>
      <w:pPr>
        <w:numPr>
          <w:ilvl w:val="0"/>
          <w:numId w:val="0"/>
        </w:numPr>
        <w:spacing w:before="120" w:beforeLines="50" w:after="120" w:afterLines="50" w:line="360" w:lineRule="auto"/>
        <w:ind w:firstLine="480" w:firstLineChars="200"/>
        <w:rPr>
          <w:rFonts w:hint="eastAsia"/>
          <w:sz w:val="24"/>
          <w:highlight w:val="none"/>
          <w:lang w:eastAsia="zh-CN"/>
        </w:rPr>
      </w:pPr>
      <w:r>
        <w:rPr>
          <w:rFonts w:hint="eastAsia"/>
          <w:sz w:val="24"/>
          <w:highlight w:val="none"/>
          <w:lang w:val="en-US" w:eastAsia="zh-CN"/>
        </w:rPr>
        <w:t>1</w:t>
      </w:r>
      <w:r>
        <w:rPr>
          <w:rFonts w:hint="eastAsia"/>
          <w:sz w:val="24"/>
          <w:highlight w:val="none"/>
          <w:lang w:eastAsia="zh-CN"/>
        </w:rPr>
        <w:t>0、每台风机盘管机组的供回水管要求各安装一个铜闸阀，便日后设备检修。每台风机盘管机组的供水管要求安装Y型过滤器，过滤冷冻水杂质。</w:t>
      </w:r>
    </w:p>
    <w:p>
      <w:pPr>
        <w:numPr>
          <w:ilvl w:val="0"/>
          <w:numId w:val="0"/>
        </w:numPr>
        <w:spacing w:before="120" w:beforeLines="50" w:after="120" w:afterLines="50" w:line="360" w:lineRule="auto"/>
        <w:rPr>
          <w:rFonts w:hint="eastAsia"/>
          <w:sz w:val="24"/>
          <w:highlight w:val="none"/>
          <w:lang w:eastAsia="zh-CN"/>
        </w:rPr>
      </w:pPr>
      <w:r>
        <w:rPr>
          <w:rFonts w:hint="eastAsia"/>
          <w:sz w:val="24"/>
          <w:highlight w:val="none"/>
          <w:lang w:eastAsia="zh-CN"/>
        </w:rPr>
        <w:t>11、风机盘管机组电源控制线按规范安装，电源控制线采用线槽安装，布线要求整体合理、整洁。电源开关和温控开关安装位置按校方要求安装，确保操作方便。</w:t>
      </w:r>
    </w:p>
    <w:p>
      <w:pPr>
        <w:numPr>
          <w:ilvl w:val="0"/>
          <w:numId w:val="0"/>
        </w:numPr>
        <w:spacing w:before="120" w:beforeLines="50" w:after="120" w:afterLines="50" w:line="360" w:lineRule="auto"/>
        <w:ind w:leftChars="200"/>
        <w:rPr>
          <w:rFonts w:hint="eastAsia" w:asciiTheme="minorEastAsia" w:hAnsiTheme="minorEastAsia" w:eastAsiaTheme="minorEastAsia" w:cstheme="minorEastAsia"/>
          <w:b/>
          <w:sz w:val="24"/>
          <w:szCs w:val="24"/>
          <w:highlight w:val="none"/>
        </w:rPr>
      </w:pPr>
      <w:r>
        <w:rPr>
          <w:rFonts w:hint="eastAsia"/>
          <w:sz w:val="24"/>
          <w:highlight w:val="none"/>
          <w:lang w:eastAsia="zh-CN"/>
        </w:rPr>
        <w:t>12、整体工程完毕后要求进行通水通电试机。</w: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工程施工时需注意的事项</w:t>
      </w:r>
    </w:p>
    <w:p>
      <w:pPr>
        <w:spacing w:line="360" w:lineRule="auto"/>
        <w:ind w:left="141" w:hanging="120" w:hanging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（一）如涉及</w:t>
      </w:r>
      <w:r>
        <w:rPr>
          <w:rFonts w:hint="eastAsia" w:asciiTheme="minorEastAsia" w:hAnsiTheme="minorEastAsia" w:eastAsiaTheme="minorEastAsia" w:cstheme="minorEastAsia"/>
          <w:sz w:val="24"/>
          <w:szCs w:val="24"/>
          <w:highlight w:val="none"/>
        </w:rPr>
        <w:t>特殊作业，施工前必须向我司申请办理起重、动火、有限空间及临时用电等相关作业票方可施工；</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安全第一，服从我司的安全管理规章制度，严格按施工方案进行施工，如改变施工方案须经我司批准后方可实施，雷雨大风天气禁止户外作业；</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指定专人为项目安全责任人，全面负责本项目安全生产管理工作，逐级落实安全生产责任制。</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施工单位要为工程项目安全管理配备充足的资源，包括作业人员的劳保用品、施工用的工器具等，如配电箱、焊接设备、安全带及起重机具等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并采取措施确保所有劳保用品、安全用具处于良好状态。</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bCs/>
          <w:sz w:val="24"/>
          <w:szCs w:val="24"/>
          <w:highlight w:val="none"/>
        </w:rPr>
        <w:t>本工程管道施工时要与</w:t>
      </w:r>
      <w:r>
        <w:rPr>
          <w:rFonts w:hint="eastAsia" w:asciiTheme="minorEastAsia" w:hAnsiTheme="minorEastAsia" w:eastAsiaTheme="minorEastAsia" w:cstheme="minorEastAsia"/>
          <w:b/>
          <w:bCs/>
          <w:sz w:val="24"/>
          <w:szCs w:val="24"/>
          <w:highlight w:val="none"/>
          <w:lang w:val="en-US" w:eastAsia="zh-CN"/>
        </w:rPr>
        <w:t>提前与</w:t>
      </w:r>
      <w:r>
        <w:rPr>
          <w:rFonts w:hint="eastAsia" w:asciiTheme="minorEastAsia" w:hAnsiTheme="minorEastAsia" w:eastAsiaTheme="minorEastAsia" w:cstheme="minorEastAsia"/>
          <w:b/>
          <w:bCs/>
          <w:sz w:val="24"/>
          <w:szCs w:val="24"/>
          <w:highlight w:val="none"/>
        </w:rPr>
        <w:t>校方沟通好停水、放水相关事</w:t>
      </w:r>
      <w:r>
        <w:rPr>
          <w:rFonts w:hint="eastAsia" w:asciiTheme="minorEastAsia" w:hAnsiTheme="minorEastAsia" w:eastAsiaTheme="minorEastAsia" w:cstheme="minorEastAsia"/>
          <w:sz w:val="24"/>
          <w:szCs w:val="24"/>
          <w:highlight w:val="none"/>
        </w:rPr>
        <w:t>宜。</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4"/>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为12天，</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4"/>
        </w:numPr>
        <w:spacing w:before="120" w:beforeLines="50" w:after="120" w:afterLines="50" w:line="360" w:lineRule="auto"/>
        <w:ind w:left="0" w:firstLine="480" w:firstLineChars="200"/>
        <w:rPr>
          <w:sz w:val="24"/>
          <w:highlight w:val="none"/>
        </w:rPr>
      </w:pPr>
      <w:r>
        <w:rPr>
          <w:rFonts w:hint="eastAsia"/>
          <w:sz w:val="24"/>
          <w:highlight w:val="none"/>
        </w:rPr>
        <w:t>工程验收标准</w:t>
      </w:r>
    </w:p>
    <w:p>
      <w:pPr>
        <w:numPr>
          <w:ilvl w:val="0"/>
          <w:numId w:val="5"/>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项目验收按最新施工质量和验收标准按《（GB50738-2011）通风与空调工程施工规范》、（CJJ 28-2004）《城镇供热管网工程施工及验收规范》、（GB50235-2010）《工业金属管道施工规范》要求</w:t>
      </w:r>
      <w:r>
        <w:rPr>
          <w:rFonts w:hint="eastAsia" w:asciiTheme="minorEastAsia" w:hAnsiTheme="minorEastAsia" w:eastAsiaTheme="minorEastAsia" w:cstheme="minorEastAsia"/>
          <w:bCs/>
          <w:kern w:val="0"/>
          <w:sz w:val="24"/>
          <w:szCs w:val="24"/>
          <w:highlight w:val="none"/>
          <w:lang w:val="en-US" w:eastAsia="zh-CN"/>
        </w:rPr>
        <w:t>及</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5"/>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风机盘管机组设备正常启动运行，并达到机组设计运行参数</w:t>
      </w:r>
    </w:p>
    <w:p>
      <w:pPr>
        <w:numPr>
          <w:ilvl w:val="0"/>
          <w:numId w:val="4"/>
        </w:numPr>
        <w:spacing w:before="120" w:beforeLines="50" w:after="120" w:afterLines="50" w:line="360" w:lineRule="auto"/>
        <w:ind w:left="0" w:firstLine="480" w:firstLineChars="200"/>
        <w:rPr>
          <w:sz w:val="24"/>
          <w:highlight w:val="none"/>
        </w:rPr>
      </w:pPr>
      <w:r>
        <w:rPr>
          <w:rFonts w:hint="eastAsia"/>
          <w:sz w:val="24"/>
          <w:highlight w:val="none"/>
        </w:rPr>
        <w:t>工程验收的方式：</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施工单位在完工后，须提前3天提交工程验收进度计划给采购人，以便采购人组织相关人员对项目进行验收。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经采购人组织相关人员进行验收合格后，签发验收合格证明文件。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sz w:val="24"/>
          <w:szCs w:val="24"/>
          <w:highlight w:val="none"/>
        </w:rPr>
        <w:t>施工单位必须将产品所有随机资料（包括但不限于设备及材料检验合格证书、3C认证证书等）提交业主，同时将与项目有关的竣工资料一式两份一起提交给</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bCs/>
          <w:kern w:val="0"/>
          <w:sz w:val="24"/>
          <w:szCs w:val="24"/>
          <w:highlight w:val="none"/>
        </w:rPr>
        <w:t>。</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来料验收、过程验收及竣工验收。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color w:val="000000"/>
          <w:sz w:val="24"/>
          <w:szCs w:val="24"/>
          <w:highlight w:val="none"/>
        </w:rPr>
        <w:t>质保期为</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年,质保期自工程验收合格之日起计。</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val="0"/>
          <w:bCs w:val="0"/>
          <w:sz w:val="24"/>
          <w:highlight w:val="none"/>
          <w:lang w:val="en-US" w:eastAsia="zh-CN"/>
        </w:rPr>
        <w:t>包现场卫生清洁</w:t>
      </w:r>
      <w:r>
        <w:rPr>
          <w:rFonts w:hint="eastAsia"/>
          <w:sz w:val="24"/>
          <w:highlight w:val="none"/>
          <w:lang w:val="en-US" w:eastAsia="zh-CN"/>
        </w:rPr>
        <w:t>、</w:t>
      </w:r>
      <w:r>
        <w:rPr>
          <w:rFonts w:hint="eastAsia"/>
          <w:sz w:val="24"/>
          <w:highlight w:val="none"/>
        </w:rPr>
        <w:t>包风险、包利润和管理费等完成本项目的全部费用</w:t>
      </w:r>
      <w:r>
        <w:rPr>
          <w:sz w:val="24"/>
          <w:highlight w:val="none"/>
        </w:rPr>
        <w:t>。</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项目竣工验收合格并按甲方要求完成合同结算手续后，甲方收到乙方请款资料后15个工作日内支付工程款至合同结算总造价的95%。</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bookmarkStart w:id="5"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0"/>
        </w:numPr>
        <w:spacing w:before="120" w:beforeLines="50" w:after="120" w:afterLines="50" w:line="360" w:lineRule="auto"/>
        <w:ind w:left="0" w:firstLine="480" w:firstLineChars="200"/>
        <w:rPr>
          <w:rFonts w:ascii="宋体" w:hAnsi="宋体" w:cs="Arial"/>
          <w:b w:val="0"/>
          <w:bCs w:val="0"/>
          <w:color w:val="000000"/>
          <w:sz w:val="24"/>
          <w:highlight w:val="none"/>
        </w:rPr>
      </w:pPr>
      <w:r>
        <w:rPr>
          <w:rFonts w:hint="eastAsia" w:ascii="宋体" w:hAnsi="宋体" w:cs="Arial"/>
          <w:b w:val="0"/>
          <w:bCs w:val="0"/>
          <w:color w:val="000000"/>
          <w:sz w:val="24"/>
          <w:highlight w:val="none"/>
        </w:rPr>
        <w:t>专职安全员具有有效的安全生产考核合格证（C类）或建筑施工企业专职安全生产管理人员有安全生产考核合格证书（C3），提供复印件</w:t>
      </w:r>
      <w:r>
        <w:rPr>
          <w:rFonts w:hint="eastAsia" w:ascii="宋体" w:hAnsi="宋体" w:cs="Arial"/>
          <w:b w:val="0"/>
          <w:bCs w:val="0"/>
          <w:color w:val="000000"/>
          <w:sz w:val="24"/>
          <w:highlight w:val="none"/>
          <w:lang w:eastAsia="zh-CN"/>
        </w:rPr>
        <w:t>。</w:t>
      </w:r>
    </w:p>
    <w:p>
      <w:pPr>
        <w:numPr>
          <w:ilvl w:val="0"/>
          <w:numId w:val="10"/>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5"/>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bookmarkStart w:id="6" w:name="_Hlk33472829"/>
      <w:r>
        <w:rPr>
          <w:rFonts w:hint="eastAsia" w:ascii="宋体" w:hAnsi="宋体" w:cs="Arial"/>
          <w:color w:val="000000"/>
          <w:sz w:val="24"/>
          <w:highlight w:val="none"/>
        </w:rPr>
        <w:t>总体实施方案；</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6"/>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7" w:name="_Hlk33472852"/>
      <w:r>
        <w:rPr>
          <w:rFonts w:hint="eastAsia" w:ascii="宋体" w:hAnsi="宋体" w:cs="Arial"/>
          <w:color w:val="000000"/>
          <w:sz w:val="24"/>
          <w:highlight w:val="none"/>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w:t>
      </w:r>
      <w:r>
        <w:rPr>
          <w:rFonts w:hint="eastAsia" w:ascii="宋体" w:hAnsi="宋体" w:cs="Arial"/>
          <w:color w:val="000000"/>
          <w:sz w:val="24"/>
          <w:highlight w:val="none"/>
          <w:lang w:eastAsia="zh-CN"/>
        </w:rPr>
        <w:t>，</w:t>
      </w:r>
      <w:r>
        <w:rPr>
          <w:rFonts w:hint="eastAsia" w:ascii="宋体" w:hAnsi="宋体" w:cs="Arial"/>
          <w:color w:val="000000"/>
          <w:sz w:val="24"/>
          <w:highlight w:val="none"/>
        </w:rPr>
        <w:t>按本竞选文件所附工程量清单和乙供主要材料清单报价，并以此作为结算依据，包括但不限于工程量清单和乙供主要材料清单各项目单价及综合总报价，并注明未含税总价、税率和含税总价</w:t>
      </w:r>
      <w:bookmarkEnd w:id="7"/>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8"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8"/>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9"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sz w:val="24"/>
          <w:highlight w:val="none"/>
        </w:rPr>
        <w:t>。勘踏现场时间：</w:t>
      </w:r>
      <w:r>
        <w:rPr>
          <w:sz w:val="24"/>
          <w:highlight w:val="none"/>
        </w:rPr>
        <w:t>202</w:t>
      </w:r>
      <w:r>
        <w:rPr>
          <w:rFonts w:hint="eastAsia"/>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9</w:t>
      </w:r>
      <w:r>
        <w:rPr>
          <w:rFonts w:hint="eastAsia"/>
          <w:color w:val="FF0000"/>
          <w:sz w:val="24"/>
          <w:highlight w:val="none"/>
        </w:rPr>
        <w:t>月</w:t>
      </w:r>
      <w:r>
        <w:rPr>
          <w:rFonts w:hint="eastAsia"/>
          <w:color w:val="FF0000"/>
          <w:sz w:val="24"/>
          <w:highlight w:val="none"/>
          <w:lang w:val="en-US" w:eastAsia="zh-CN"/>
        </w:rPr>
        <w:t>8</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陈</w:t>
      </w:r>
      <w:r>
        <w:rPr>
          <w:rFonts w:hint="eastAsia"/>
          <w:sz w:val="24"/>
          <w:highlight w:val="none"/>
        </w:rPr>
        <w:t>工，联系电话：</w:t>
      </w:r>
      <w:r>
        <w:rPr>
          <w:rFonts w:hint="eastAsia"/>
          <w:sz w:val="24"/>
          <w:highlight w:val="none"/>
          <w:lang w:val="en-US" w:eastAsia="zh-CN"/>
        </w:rPr>
        <w:t>020-39302026</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10" w:name="_Hlk33473031"/>
      <w:r>
        <w:rPr>
          <w:rFonts w:hint="eastAsia" w:ascii="宋体" w:hAnsi="宋体"/>
          <w:b/>
          <w:sz w:val="24"/>
          <w:highlight w:val="none"/>
        </w:rPr>
        <w:t>递交投标文件</w:t>
      </w:r>
    </w:p>
    <w:p>
      <w:pPr>
        <w:numPr>
          <w:ilvl w:val="0"/>
          <w:numId w:val="13"/>
        </w:numPr>
        <w:spacing w:before="120" w:beforeLines="50" w:after="120" w:afterLines="50" w:line="360" w:lineRule="auto"/>
        <w:ind w:left="0" w:firstLine="480" w:firstLineChars="200"/>
        <w:rPr>
          <w:sz w:val="24"/>
          <w:highlight w:val="none"/>
        </w:rPr>
      </w:pPr>
      <w:bookmarkStart w:id="11" w:name="_Hlk33472917"/>
      <w:bookmarkStart w:id="12"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3</w:t>
      </w:r>
      <w:r>
        <w:rPr>
          <w:color w:val="FF0000"/>
          <w:sz w:val="24"/>
          <w:highlight w:val="none"/>
        </w:rPr>
        <w:t xml:space="preserve"> </w:t>
      </w:r>
      <w:r>
        <w:rPr>
          <w:rFonts w:hint="eastAsia"/>
          <w:color w:val="FF0000"/>
          <w:sz w:val="24"/>
          <w:highlight w:val="none"/>
        </w:rPr>
        <w:t>年</w:t>
      </w:r>
      <w:r>
        <w:rPr>
          <w:rFonts w:hint="eastAsia"/>
          <w:color w:val="FF0000"/>
          <w:sz w:val="24"/>
          <w:highlight w:val="none"/>
          <w:lang w:val="en-US" w:eastAsia="zh-CN"/>
        </w:rPr>
        <w:t>9</w:t>
      </w:r>
      <w:r>
        <w:rPr>
          <w:rFonts w:hint="eastAsia"/>
          <w:color w:val="FF0000"/>
          <w:sz w:val="24"/>
          <w:highlight w:val="none"/>
        </w:rPr>
        <w:t>月</w:t>
      </w:r>
      <w:r>
        <w:rPr>
          <w:rFonts w:hint="eastAsia"/>
          <w:color w:val="FF0000"/>
          <w:sz w:val="24"/>
          <w:highlight w:val="none"/>
          <w:lang w:val="en-US" w:eastAsia="zh-CN"/>
        </w:rPr>
        <w:t>13</w:t>
      </w:r>
      <w:r>
        <w:rPr>
          <w:rFonts w:hint="eastAsia"/>
          <w:color w:val="FF0000"/>
          <w:sz w:val="24"/>
          <w:highlight w:val="none"/>
        </w:rPr>
        <w:t>日</w:t>
      </w:r>
      <w:r>
        <w:rPr>
          <w:rFonts w:hint="eastAsia"/>
          <w:sz w:val="24"/>
          <w:highlight w:val="none"/>
        </w:rPr>
        <w:t>北京时间15时</w:t>
      </w:r>
      <w:r>
        <w:rPr>
          <w:rFonts w:hint="eastAsia"/>
          <w:sz w:val="24"/>
          <w:highlight w:val="none"/>
          <w:lang w:val="en-US" w:eastAsia="zh-CN"/>
        </w:rPr>
        <w:t>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广州美术学院跨学科艺术实验室（排练空间）安装中央空调工程</w:t>
      </w:r>
      <w:r>
        <w:rPr>
          <w:rFonts w:hint="eastAsia"/>
          <w:sz w:val="24"/>
          <w:highlight w:val="none"/>
        </w:rPr>
        <w:t>”字样。投标人递交投标文件后，请联系采购人确认。</w:t>
      </w:r>
    </w:p>
    <w:p>
      <w:pPr>
        <w:numPr>
          <w:ilvl w:val="0"/>
          <w:numId w:val="13"/>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11"/>
      <w:r>
        <w:rPr>
          <w:sz w:val="24"/>
          <w:highlight w:val="none"/>
        </w:rPr>
        <w:t>。</w:t>
      </w:r>
    </w:p>
    <w:bookmarkEnd w:id="12"/>
    <w:p>
      <w:pPr>
        <w:numPr>
          <w:ilvl w:val="0"/>
          <w:numId w:val="1"/>
        </w:numPr>
        <w:spacing w:before="120" w:beforeLines="50" w:after="120" w:afterLines="50" w:line="360" w:lineRule="auto"/>
        <w:ind w:left="0" w:firstLine="482" w:firstLineChars="200"/>
        <w:rPr>
          <w:rFonts w:ascii="宋体" w:hAnsi="宋体"/>
          <w:b/>
          <w:sz w:val="24"/>
          <w:highlight w:val="none"/>
        </w:rPr>
      </w:pPr>
      <w:bookmarkStart w:id="13" w:name="_Hlk33473147"/>
      <w:bookmarkStart w:id="14"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w:t>
      </w:r>
      <w:r>
        <w:rPr>
          <w:rFonts w:hint="eastAsia"/>
          <w:color w:val="auto"/>
          <w:sz w:val="24"/>
          <w:szCs w:val="24"/>
          <w:highlight w:val="none"/>
        </w:rPr>
        <w:t>（http://ygcg.gzggzy.cn</w:t>
      </w:r>
      <w:r>
        <w:rPr>
          <w:rFonts w:hint="eastAsia"/>
          <w:color w:val="auto"/>
          <w:sz w:val="24"/>
          <w:szCs w:val="24"/>
        </w:rPr>
        <w:t>））</w:t>
      </w:r>
      <w:r>
        <w:rPr>
          <w:rFonts w:hint="eastAsia"/>
          <w:sz w:val="24"/>
          <w:highlight w:val="none"/>
        </w:rPr>
        <w:t>、广州</w:t>
      </w:r>
      <w:r>
        <w:rPr>
          <w:rFonts w:hint="eastAsia"/>
          <w:sz w:val="24"/>
          <w:highlight w:val="none"/>
          <w:lang w:val="en-US" w:eastAsia="zh-CN"/>
        </w:rPr>
        <w:t>城投综合能源</w:t>
      </w:r>
      <w:r>
        <w:rPr>
          <w:rFonts w:hint="eastAsia"/>
          <w:sz w:val="24"/>
          <w:highlight w:val="none"/>
        </w:rPr>
        <w:t>投资经营管理有限公司网站（网址：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3"/>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hint="eastAsia" w:ascii="宋体" w:hAnsi="宋体" w:eastAsia="宋体"/>
          <w:sz w:val="24"/>
          <w:highlight w:val="none"/>
          <w:lang w:val="en-US" w:eastAsia="zh-CN"/>
        </w:rPr>
      </w:pPr>
      <w:bookmarkStart w:id="15" w:name="_Hlk33473223"/>
      <w:r>
        <w:rPr>
          <w:rFonts w:hint="eastAsia" w:ascii="宋体" w:hAnsi="宋体"/>
          <w:sz w:val="24"/>
          <w:highlight w:val="none"/>
        </w:rPr>
        <w:t>附件1：风机盘管空调机安装位置</w:t>
      </w:r>
      <w:r>
        <w:rPr>
          <w:rFonts w:hint="eastAsia" w:ascii="宋体" w:hAnsi="宋体"/>
          <w:sz w:val="24"/>
          <w:highlight w:val="none"/>
          <w:lang w:val="en-US" w:eastAsia="zh-CN"/>
        </w:rPr>
        <w:t>示意图</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lang w:val="en-US" w:eastAsia="zh-CN"/>
        </w:rPr>
        <w:t>附件2：</w:t>
      </w:r>
      <w:r>
        <w:rPr>
          <w:rFonts w:hint="eastAsia" w:ascii="宋体" w:hAnsi="宋体"/>
          <w:sz w:val="24"/>
          <w:highlight w:val="none"/>
        </w:rPr>
        <w:t>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:3</w:t>
      </w:r>
      <w:r>
        <w:rPr>
          <w:rFonts w:hint="eastAsia" w:ascii="宋体" w:hAnsi="宋体"/>
          <w:sz w:val="24"/>
          <w:highlight w:val="none"/>
        </w:rPr>
        <w:t>：供应商调查表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4</w:t>
      </w:r>
      <w:r>
        <w:rPr>
          <w:rFonts w:hint="eastAsia" w:ascii="宋体" w:hAnsi="宋体"/>
          <w:sz w:val="24"/>
          <w:highlight w:val="none"/>
        </w:rPr>
        <w:t>：法定代表人身份证明书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5</w:t>
      </w:r>
      <w:r>
        <w:rPr>
          <w:rFonts w:hint="eastAsia" w:ascii="宋体" w:hAnsi="宋体"/>
          <w:sz w:val="24"/>
          <w:highlight w:val="none"/>
        </w:rPr>
        <w:t>：法定代表人授权委托证明书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6</w:t>
      </w:r>
      <w:r>
        <w:rPr>
          <w:rFonts w:hint="eastAsia" w:ascii="宋体" w:hAnsi="宋体"/>
          <w:sz w:val="24"/>
          <w:highlight w:val="none"/>
        </w:rPr>
        <w:t>：投标人资格审查表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7</w:t>
      </w:r>
      <w:r>
        <w:rPr>
          <w:rFonts w:hint="eastAsia" w:ascii="宋体" w:hAnsi="宋体"/>
          <w:sz w:val="24"/>
          <w:highlight w:val="none"/>
        </w:rPr>
        <w:t>：投标文件有效性审查表</w:t>
      </w:r>
    </w:p>
    <w:p>
      <w:pPr>
        <w:pStyle w:val="7"/>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广州城投综合能源投资经营管理有限公司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7</w:t>
      </w:r>
      <w:bookmarkStart w:id="20" w:name="_GoBack"/>
      <w:bookmarkEnd w:id="20"/>
      <w:r>
        <w:rPr>
          <w:rFonts w:hint="eastAsia"/>
          <w:highlight w:val="none"/>
        </w:rPr>
        <w:t>日</w:t>
      </w:r>
      <w:bookmarkEnd w:id="10"/>
    </w:p>
    <w:bookmarkEnd w:id="14"/>
    <w:bookmarkEnd w:id="15"/>
    <w:p>
      <w:pPr>
        <w:spacing w:before="120" w:beforeLines="50" w:after="120" w:afterLines="50" w:line="360" w:lineRule="auto"/>
        <w:jc w:val="both"/>
        <w:rPr>
          <w:rFonts w:hint="default" w:ascii="宋体" w:hAnsi="宋体" w:eastAsia="宋体" w:cs="Arial"/>
          <w:color w:val="000000"/>
          <w:sz w:val="30"/>
          <w:szCs w:val="30"/>
          <w:highlight w:val="none"/>
          <w:lang w:val="en-US" w:eastAsia="zh-CN"/>
        </w:rPr>
        <w:sectPr>
          <w:pgSz w:w="11906" w:h="16838"/>
          <w:pgMar w:top="1418" w:right="1418" w:bottom="1418" w:left="1418" w:header="851" w:footer="992" w:gutter="0"/>
          <w:cols w:space="720" w:num="1"/>
          <w:docGrid w:linePitch="312" w:charSpace="0"/>
        </w:sectPr>
      </w:pPr>
    </w:p>
    <w:p>
      <w:pPr>
        <w:spacing w:before="120" w:beforeLines="50" w:after="120" w:afterLines="50" w:line="360" w:lineRule="auto"/>
        <w:ind w:firstLine="420" w:firstLineChars="200"/>
        <w:rPr>
          <w:rFonts w:hint="eastAsia" w:ascii="宋体" w:hAnsi="宋体" w:eastAsia="宋体"/>
          <w:sz w:val="24"/>
          <w:highlight w:val="none"/>
          <w:lang w:val="en-US" w:eastAsia="zh-CN"/>
        </w:rPr>
      </w:pPr>
      <w:r>
        <w:rPr>
          <w:rFonts w:ascii="Calibri" w:hAnsi="Calibri"/>
          <w:szCs w:val="22"/>
        </w:rPr>
        <w:drawing>
          <wp:anchor distT="0" distB="0" distL="114300" distR="114300" simplePos="0" relativeHeight="251659264" behindDoc="1" locked="0" layoutInCell="1" allowOverlap="1">
            <wp:simplePos x="0" y="0"/>
            <wp:positionH relativeFrom="column">
              <wp:posOffset>-941705</wp:posOffset>
            </wp:positionH>
            <wp:positionV relativeFrom="paragraph">
              <wp:posOffset>2313940</wp:posOffset>
            </wp:positionV>
            <wp:extent cx="7562215" cy="4832350"/>
            <wp:effectExtent l="0" t="0" r="6350" b="635"/>
            <wp:wrapTight wrapText="bothSides">
              <wp:wrapPolygon>
                <wp:start x="2" y="21600"/>
                <wp:lineTo x="21549" y="21600"/>
                <wp:lineTo x="21549" y="57"/>
                <wp:lineTo x="2" y="57"/>
                <wp:lineTo x="2" y="21600"/>
              </wp:wrapPolygon>
            </wp:wrapTight>
            <wp:docPr id="2" name="图片 2" descr="C:\Users\chenjb\AppData\Local\Temp\WeChat Files\429e02c8e4635b84e3f65ac7bf6ed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henjb\AppData\Local\Temp\WeChat Files\429e02c8e4635b84e3f65ac7bf6edca.png"/>
                    <pic:cNvPicPr>
                      <a:picLocks noChangeAspect="1"/>
                    </pic:cNvPicPr>
                  </pic:nvPicPr>
                  <pic:blipFill>
                    <a:blip r:embed="rId4"/>
                    <a:stretch>
                      <a:fillRect/>
                    </a:stretch>
                  </pic:blipFill>
                  <pic:spPr>
                    <a:xfrm rot="5400000">
                      <a:off x="0" y="0"/>
                      <a:ext cx="7562215" cy="4832350"/>
                    </a:xfrm>
                    <a:prstGeom prst="rect">
                      <a:avLst/>
                    </a:prstGeom>
                    <a:noFill/>
                    <a:ln>
                      <a:noFill/>
                    </a:ln>
                  </pic:spPr>
                </pic:pic>
              </a:graphicData>
            </a:graphic>
          </wp:anchor>
        </w:drawing>
      </w:r>
      <w:r>
        <w:rPr>
          <w:rFonts w:hint="eastAsia" w:ascii="宋体" w:hAnsi="宋体" w:cs="Arial"/>
          <w:color w:val="000000"/>
          <w:sz w:val="30"/>
          <w:szCs w:val="30"/>
          <w:highlight w:val="none"/>
        </w:rPr>
        <w:t>附件1</w:t>
      </w:r>
      <w:r>
        <w:rPr>
          <w:rFonts w:hint="eastAsia" w:ascii="宋体" w:hAnsi="宋体" w:cs="Arial"/>
          <w:color w:val="000000"/>
          <w:sz w:val="30"/>
          <w:szCs w:val="30"/>
          <w:highlight w:val="none"/>
          <w:lang w:val="en-US" w:eastAsia="zh-CN"/>
        </w:rPr>
        <w:t xml:space="preserve">  </w:t>
      </w:r>
      <w:r>
        <w:rPr>
          <w:rFonts w:hint="eastAsia" w:ascii="宋体" w:hAnsi="宋体"/>
          <w:sz w:val="24"/>
          <w:highlight w:val="none"/>
        </w:rPr>
        <w:t>风机盘管空调机安装位置</w:t>
      </w:r>
      <w:r>
        <w:rPr>
          <w:rFonts w:hint="eastAsia" w:ascii="宋体" w:hAnsi="宋体"/>
          <w:sz w:val="24"/>
          <w:highlight w:val="none"/>
          <w:lang w:val="en-US" w:eastAsia="zh-CN"/>
        </w:rPr>
        <w:t>示意图</w:t>
      </w:r>
    </w:p>
    <w:p>
      <w:pPr>
        <w:spacing w:before="120" w:beforeLines="50" w:after="120" w:afterLines="50" w:line="360" w:lineRule="auto"/>
        <w:ind w:firstLine="420" w:firstLineChars="200"/>
        <w:rPr>
          <w:rFonts w:hint="default" w:ascii="宋体" w:hAnsi="宋体" w:eastAsia="宋体" w:cs="Arial"/>
          <w:color w:val="000000"/>
          <w:sz w:val="30"/>
          <w:szCs w:val="30"/>
          <w:highlight w:val="none"/>
          <w:lang w:val="en-US" w:eastAsia="zh-CN"/>
        </w:rPr>
        <w:sectPr>
          <w:pgSz w:w="11906" w:h="16838"/>
          <w:pgMar w:top="1418" w:right="1418" w:bottom="1418" w:left="1418" w:header="851" w:footer="992" w:gutter="0"/>
          <w:cols w:space="720" w:num="1"/>
          <w:docGrid w:linePitch="312" w:charSpace="0"/>
        </w:sectPr>
      </w:pPr>
      <w:r>
        <w:rPr>
          <w:rFonts w:ascii="Calibri" w:hAnsi="Calibri"/>
          <w:szCs w:val="22"/>
        </w:rPr>
        <w:drawing>
          <wp:anchor distT="0" distB="0" distL="114300" distR="114300" simplePos="0" relativeHeight="251658240" behindDoc="1" locked="0" layoutInCell="1" allowOverlap="1">
            <wp:simplePos x="0" y="0"/>
            <wp:positionH relativeFrom="column">
              <wp:posOffset>-844550</wp:posOffset>
            </wp:positionH>
            <wp:positionV relativeFrom="paragraph">
              <wp:posOffset>1599565</wp:posOffset>
            </wp:positionV>
            <wp:extent cx="7562215" cy="4832350"/>
            <wp:effectExtent l="0" t="0" r="6350" b="635"/>
            <wp:wrapTight wrapText="bothSides">
              <wp:wrapPolygon>
                <wp:start x="2" y="21600"/>
                <wp:lineTo x="21549" y="21600"/>
                <wp:lineTo x="21549" y="57"/>
                <wp:lineTo x="2" y="57"/>
                <wp:lineTo x="2" y="21600"/>
              </wp:wrapPolygon>
            </wp:wrapTight>
            <wp:docPr id="1" name="图片 1" descr="C:\Users\chenjb\AppData\Local\Temp\WeChat Files\429e02c8e4635b84e3f65ac7bf6ed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enjb\AppData\Local\Temp\WeChat Files\429e02c8e4635b84e3f65ac7bf6edca.png"/>
                    <pic:cNvPicPr>
                      <a:picLocks noChangeAspect="1"/>
                    </pic:cNvPicPr>
                  </pic:nvPicPr>
                  <pic:blipFill>
                    <a:blip r:embed="rId4"/>
                    <a:stretch>
                      <a:fillRect/>
                    </a:stretch>
                  </pic:blipFill>
                  <pic:spPr>
                    <a:xfrm rot="5400000">
                      <a:off x="0" y="0"/>
                      <a:ext cx="7562215" cy="4832350"/>
                    </a:xfrm>
                    <a:prstGeom prst="rect">
                      <a:avLst/>
                    </a:prstGeom>
                    <a:noFill/>
                    <a:ln>
                      <a:noFill/>
                    </a:ln>
                  </pic:spPr>
                </pic:pic>
              </a:graphicData>
            </a:graphic>
          </wp:anchor>
        </w:drawing>
      </w:r>
    </w:p>
    <w:p>
      <w:pPr>
        <w:spacing w:before="120" w:beforeLines="50" w:after="120" w:afterLines="50" w:line="360" w:lineRule="auto"/>
        <w:rPr>
          <w:rFonts w:hint="default" w:ascii="宋体" w:hAnsi="宋体" w:eastAsia="宋体" w:cs="Arial"/>
          <w:color w:val="000000"/>
          <w:sz w:val="30"/>
          <w:szCs w:val="30"/>
          <w:highlight w:val="none"/>
          <w:lang w:val="en-US" w:eastAsia="zh-CN"/>
        </w:rPr>
      </w:pPr>
      <w:r>
        <w:rPr>
          <w:rFonts w:hint="eastAsia" w:ascii="宋体" w:hAnsi="宋体" w:cs="Arial"/>
          <w:color w:val="000000"/>
          <w:sz w:val="30"/>
          <w:szCs w:val="30"/>
          <w:highlight w:val="none"/>
          <w:lang w:val="en-US" w:eastAsia="zh-CN"/>
        </w:rPr>
        <w:t>附件2</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广州美术学院跨学科艺术实验室（排练空间）安装中央空调工程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6"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6"/>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hint="eastAsia" w:ascii="仿宋" w:hAnsi="仿宋" w:eastAsia="宋体" w:cs="仿宋"/>
          <w:szCs w:val="21"/>
          <w:highlight w:val="none"/>
          <w:lang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3</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7"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广州美术学院跨学科艺术实验室（排练空间）安装中央空调工程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7"/>
    <w:p>
      <w:pPr>
        <w:spacing w:line="400" w:lineRule="exact"/>
        <w:ind w:left="560" w:hanging="560" w:hangingChars="200"/>
        <w:rPr>
          <w:rFonts w:hint="eastAsia" w:ascii="宋体" w:hAnsi="宋体" w:eastAsia="宋体"/>
          <w:bCs/>
          <w:sz w:val="30"/>
          <w:szCs w:val="30"/>
          <w:highlight w:val="none"/>
          <w:lang w:eastAsia="zh-CN"/>
        </w:rPr>
      </w:pPr>
      <w:r>
        <w:rPr>
          <w:sz w:val="28"/>
          <w:szCs w:val="28"/>
          <w:highlight w:val="none"/>
        </w:rPr>
        <w:br w:type="page"/>
      </w:r>
      <w:r>
        <w:rPr>
          <w:rFonts w:hint="eastAsia" w:ascii="宋体" w:hAnsi="宋体"/>
          <w:bCs/>
          <w:sz w:val="30"/>
          <w:szCs w:val="30"/>
          <w:highlight w:val="none"/>
        </w:rPr>
        <w:t>附件</w:t>
      </w:r>
      <w:r>
        <w:rPr>
          <w:rFonts w:hint="eastAsia" w:ascii="宋体" w:hAnsi="宋体"/>
          <w:bCs/>
          <w:sz w:val="30"/>
          <w:szCs w:val="30"/>
          <w:highlight w:val="none"/>
          <w:lang w:val="en-US" w:eastAsia="zh-CN"/>
        </w:rPr>
        <w:t>4</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8"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3</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8"/>
    <w:p>
      <w:pPr>
        <w:spacing w:line="360" w:lineRule="auto"/>
        <w:rPr>
          <w:rFonts w:ascii="宋体" w:hAnsi="宋体" w:cs="Arial"/>
          <w:color w:val="000000"/>
          <w:sz w:val="28"/>
          <w:szCs w:val="28"/>
          <w:highlight w:val="none"/>
        </w:rPr>
      </w:pPr>
    </w:p>
    <w:p>
      <w:pPr>
        <w:spacing w:line="360" w:lineRule="auto"/>
        <w:rPr>
          <w:rFonts w:hint="eastAsia" w:ascii="宋体" w:hAnsi="宋体" w:eastAsia="宋体" w:cs="Arial"/>
          <w:color w:val="000000"/>
          <w:sz w:val="30"/>
          <w:szCs w:val="30"/>
          <w:highlight w:val="none"/>
          <w:lang w:eastAsia="zh-CN"/>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w:t>
      </w:r>
      <w:r>
        <w:rPr>
          <w:rFonts w:hint="eastAsia" w:ascii="宋体" w:hAnsi="宋体" w:cs="黑体"/>
          <w:color w:val="000000"/>
          <w:sz w:val="30"/>
          <w:szCs w:val="30"/>
          <w:highlight w:val="none"/>
          <w:lang w:val="en-US" w:eastAsia="zh-CN"/>
        </w:rPr>
        <w:t>5</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9"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3</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9"/>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int="eastAsia" w:hAnsi="宋体" w:eastAsia="宋体"/>
          <w:sz w:val="30"/>
          <w:szCs w:val="30"/>
          <w:highlight w:val="none"/>
          <w:lang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6</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广州美术学院跨学科艺术实验室（排练空间）安装中央空调工程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jc w:val="center"/>
        </w:trPr>
        <w:tc>
          <w:tcPr>
            <w:tcW w:w="648"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具</w:t>
            </w:r>
            <w:r>
              <w:rPr>
                <w:rFonts w:hint="eastAsia" w:ascii="宋体" w:hAnsi="宋体" w:cs="宋体"/>
                <w:szCs w:val="21"/>
                <w:highlight w:val="none"/>
                <w:lang w:val="en-US" w:eastAsia="zh-CN"/>
              </w:rPr>
              <w:t>有机电工程施工总承包</w:t>
            </w:r>
            <w:r>
              <w:rPr>
                <w:rFonts w:hint="eastAsia" w:ascii="宋体" w:hAnsi="宋体" w:cs="宋体"/>
                <w:szCs w:val="21"/>
                <w:highlight w:val="none"/>
              </w:rPr>
              <w:t>叁级及以上资质</w:t>
            </w:r>
            <w:r>
              <w:rPr>
                <w:rFonts w:hint="eastAsia" w:ascii="宋体" w:hAnsi="宋体" w:cs="宋体"/>
                <w:szCs w:val="21"/>
                <w:highlight w:val="none"/>
                <w:lang w:eastAsia="zh-CN"/>
              </w:rPr>
              <w:t>；</w:t>
            </w:r>
            <w:r>
              <w:rPr>
                <w:rFonts w:hint="eastAsia" w:ascii="宋体" w:hAnsi="宋体" w:cs="宋体"/>
                <w:szCs w:val="21"/>
                <w:highlight w:val="none"/>
                <w:lang w:val="en-US" w:eastAsia="zh-CN"/>
              </w:rPr>
              <w:t>或具有建筑机电安装工程专业承</w:t>
            </w:r>
            <w:r>
              <w:rPr>
                <w:rFonts w:hint="eastAsia" w:ascii="宋体" w:hAnsi="宋体" w:cs="宋体"/>
                <w:szCs w:val="21"/>
                <w:highlight w:val="none"/>
              </w:rPr>
              <w:t>包</w:t>
            </w:r>
            <w:r>
              <w:rPr>
                <w:rFonts w:hint="eastAsia" w:ascii="宋体" w:hAnsi="宋体" w:cs="宋体"/>
                <w:szCs w:val="21"/>
                <w:highlight w:val="none"/>
                <w:lang w:val="en-US" w:eastAsia="zh-CN"/>
              </w:rPr>
              <w:t>叁</w:t>
            </w:r>
            <w:r>
              <w:rPr>
                <w:rFonts w:hint="eastAsia" w:ascii="宋体" w:hAnsi="宋体" w:cs="宋体"/>
                <w:szCs w:val="21"/>
                <w:highlight w:val="none"/>
              </w:rPr>
              <w:t>级</w:t>
            </w:r>
            <w:r>
              <w:rPr>
                <w:rFonts w:hint="eastAsia" w:ascii="宋体" w:hAnsi="宋体" w:cs="宋体"/>
                <w:szCs w:val="21"/>
                <w:highlight w:val="none"/>
                <w:lang w:val="en-US" w:eastAsia="zh-CN"/>
              </w:rPr>
              <w:t>及</w:t>
            </w:r>
            <w:r>
              <w:rPr>
                <w:rFonts w:hint="eastAsia" w:ascii="宋体" w:hAnsi="宋体" w:cs="宋体"/>
                <w:szCs w:val="21"/>
                <w:highlight w:val="none"/>
              </w:rPr>
              <w:t>以上资质</w:t>
            </w:r>
            <w:r>
              <w:rPr>
                <w:rFonts w:hint="eastAsia" w:ascii="宋体" w:hAnsi="宋体" w:cs="宋体"/>
                <w:szCs w:val="21"/>
                <w:highlight w:val="none"/>
                <w:lang w:val="en-US" w:eastAsia="zh-CN"/>
              </w:rPr>
              <w:t>；</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648" w:type="dxa"/>
            <w:vAlign w:val="center"/>
          </w:tcPr>
          <w:p>
            <w:pPr>
              <w:rPr>
                <w:rFonts w:hint="eastAsia" w:ascii="宋体" w:hAnsi="宋体" w:cs="宋体"/>
                <w:szCs w:val="21"/>
                <w:highlight w:val="none"/>
              </w:rPr>
            </w:pPr>
            <w:r>
              <w:rPr>
                <w:rFonts w:hint="eastAsia" w:ascii="宋体" w:hAnsi="宋体" w:cs="宋体"/>
                <w:szCs w:val="21"/>
                <w:highlight w:val="none"/>
              </w:rPr>
              <w:t>4</w:t>
            </w:r>
          </w:p>
        </w:tc>
        <w:tc>
          <w:tcPr>
            <w:tcW w:w="6862" w:type="dxa"/>
            <w:vAlign w:val="center"/>
          </w:tcPr>
          <w:p>
            <w:pPr>
              <w:rPr>
                <w:rFonts w:hint="eastAsia" w:ascii="宋体" w:hAnsi="宋体" w:cs="宋体"/>
                <w:szCs w:val="21"/>
                <w:highlight w:val="none"/>
              </w:rPr>
            </w:pPr>
            <w:r>
              <w:rPr>
                <w:rFonts w:hint="eastAsia" w:ascii="宋体" w:hAnsi="宋体" w:cs="宋体"/>
                <w:szCs w:val="21"/>
                <w:highlight w:val="none"/>
              </w:rPr>
              <w:t>有效的安全生产许可证（复印件盖章）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20</w:t>
            </w:r>
            <w:r>
              <w:rPr>
                <w:rFonts w:hint="eastAsia" w:ascii="宋体" w:hAnsi="宋体" w:cs="宋体"/>
                <w:szCs w:val="21"/>
                <w:highlight w:val="none"/>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int="eastAsia" w:hAnsi="宋体" w:eastAsia="宋体"/>
          <w:szCs w:val="21"/>
          <w:highlight w:val="none"/>
          <w:lang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7</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广州美术学院跨学科艺术实验室（排练空间）安装中央空调工程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410"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6410" w:type="dxa"/>
            <w:shd w:val="clear" w:color="auto" w:fill="auto"/>
            <w:vAlign w:val="center"/>
          </w:tcPr>
          <w:p>
            <w:pPr>
              <w:rPr>
                <w:rFonts w:hint="eastAsia" w:ascii="宋体" w:hAnsi="宋体" w:cs="宋体"/>
                <w:szCs w:val="21"/>
                <w:highlight w:val="none"/>
              </w:rPr>
            </w:pPr>
            <w:r>
              <w:rPr>
                <w:rFonts w:hint="eastAsia" w:ascii="宋体" w:hAnsi="宋体"/>
                <w:highlight w:val="none"/>
                <w:lang w:val="en-US" w:eastAsia="zh-CN"/>
              </w:rPr>
              <w:t>无提供</w:t>
            </w:r>
            <w:r>
              <w:rPr>
                <w:rFonts w:hint="eastAsia" w:ascii="宋体" w:hAnsi="宋体"/>
                <w:highlight w:val="none"/>
              </w:rPr>
              <w:t>专职安全员有效的安全生产考核合格证（C类）或建筑施工企业专职安全生产管理人员</w:t>
            </w:r>
            <w:r>
              <w:rPr>
                <w:rFonts w:hint="eastAsia" w:ascii="宋体" w:hAnsi="宋体"/>
                <w:highlight w:val="none"/>
                <w:lang w:val="en-US" w:eastAsia="zh-CN"/>
              </w:rPr>
              <w:t>有效的</w:t>
            </w:r>
            <w:r>
              <w:rPr>
                <w:rFonts w:hint="eastAsia" w:ascii="宋体" w:hAnsi="宋体"/>
                <w:highlight w:val="none"/>
              </w:rPr>
              <w:t>安全生产考核合格证书（C3）</w:t>
            </w:r>
            <w:r>
              <w:rPr>
                <w:rFonts w:hint="eastAsia" w:ascii="宋体" w:hAnsi="宋体"/>
                <w:highlight w:val="none"/>
                <w:lang w:eastAsia="zh-CN"/>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default" w:ascii="宋体" w:hAnsi="宋体" w:eastAsia="宋体"/>
                <w:bCs/>
                <w:szCs w:val="21"/>
                <w:highlight w:val="none"/>
                <w:lang w:val="en-US" w:eastAsia="zh-CN"/>
              </w:rPr>
            </w:pPr>
            <w:r>
              <w:rPr>
                <w:rFonts w:hint="eastAsia" w:ascii="宋体" w:hAnsi="宋体" w:cs="宋体"/>
                <w:szCs w:val="21"/>
                <w:highlight w:val="none"/>
                <w:lang w:val="en-US" w:eastAsia="zh-CN"/>
              </w:rPr>
              <w:t>10</w:t>
            </w:r>
          </w:p>
        </w:tc>
        <w:tc>
          <w:tcPr>
            <w:tcW w:w="6410"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F068D"/>
    <w:multiLevelType w:val="singleLevel"/>
    <w:tmpl w:val="910F068D"/>
    <w:lvl w:ilvl="0" w:tentative="0">
      <w:start w:val="1"/>
      <w:numFmt w:val="decimal"/>
      <w:suff w:val="nothing"/>
      <w:lvlText w:val="%1、"/>
      <w:lvlJc w:val="left"/>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E70E6D"/>
    <w:multiLevelType w:val="singleLevel"/>
    <w:tmpl w:val="7CE70E6D"/>
    <w:lvl w:ilvl="0" w:tentative="0">
      <w:start w:val="1"/>
      <w:numFmt w:val="decimal"/>
      <w:suff w:val="nothing"/>
      <w:lvlText w:val="%1."/>
      <w:lvlJc w:val="left"/>
    </w:lvl>
  </w:abstractNum>
  <w:num w:numId="1">
    <w:abstractNumId w:val="1"/>
  </w:num>
  <w:num w:numId="2">
    <w:abstractNumId w:val="5"/>
  </w:num>
  <w:num w:numId="3">
    <w:abstractNumId w:val="12"/>
  </w:num>
  <w:num w:numId="4">
    <w:abstractNumId w:val="3"/>
  </w:num>
  <w:num w:numId="5">
    <w:abstractNumId w:val="0"/>
  </w:num>
  <w:num w:numId="6">
    <w:abstractNumId w:val="13"/>
  </w:num>
  <w:num w:numId="7">
    <w:abstractNumId w:val="9"/>
  </w:num>
  <w:num w:numId="8">
    <w:abstractNumId w:val="4"/>
  </w:num>
  <w:num w:numId="9">
    <w:abstractNumId w:val="10"/>
  </w:num>
  <w:num w:numId="10">
    <w:abstractNumId w:val="2"/>
  </w:num>
  <w:num w:numId="11">
    <w:abstractNumId w:val="8"/>
  </w:num>
  <w:num w:numId="12">
    <w:abstractNumId w:val="7"/>
  </w:num>
  <w:num w:numId="13">
    <w:abstractNumId w:val="6"/>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NkMmViMzI4NGVlMGE2YjYzM2Q5ZTVmMDUwMmE4N2MifQ=="/>
  </w:docVars>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414DDA"/>
    <w:rsid w:val="01586AB7"/>
    <w:rsid w:val="038832FE"/>
    <w:rsid w:val="042B4404"/>
    <w:rsid w:val="05170E2A"/>
    <w:rsid w:val="05F33E19"/>
    <w:rsid w:val="08A607DC"/>
    <w:rsid w:val="0A1831C9"/>
    <w:rsid w:val="0CA3463F"/>
    <w:rsid w:val="12342DAB"/>
    <w:rsid w:val="13033C28"/>
    <w:rsid w:val="13B94E90"/>
    <w:rsid w:val="16FA62BC"/>
    <w:rsid w:val="172811F8"/>
    <w:rsid w:val="1B85573B"/>
    <w:rsid w:val="214926E0"/>
    <w:rsid w:val="242A1E4E"/>
    <w:rsid w:val="24ED39A1"/>
    <w:rsid w:val="2BB52835"/>
    <w:rsid w:val="2D7B4290"/>
    <w:rsid w:val="37DA1FFD"/>
    <w:rsid w:val="3C823756"/>
    <w:rsid w:val="3C9B5EFD"/>
    <w:rsid w:val="3E13186C"/>
    <w:rsid w:val="3E81189A"/>
    <w:rsid w:val="412A35D7"/>
    <w:rsid w:val="42310B31"/>
    <w:rsid w:val="50055DC9"/>
    <w:rsid w:val="524B628E"/>
    <w:rsid w:val="5598176B"/>
    <w:rsid w:val="5FA63A90"/>
    <w:rsid w:val="656F3231"/>
    <w:rsid w:val="691B6ACA"/>
    <w:rsid w:val="691F79C3"/>
    <w:rsid w:val="697F115B"/>
    <w:rsid w:val="6AB5708C"/>
    <w:rsid w:val="6BBA4968"/>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20</Pages>
  <Words>7204</Words>
  <Characters>7496</Characters>
  <Lines>79</Lines>
  <Paragraphs>22</Paragraphs>
  <TotalTime>9</TotalTime>
  <ScaleCrop>false</ScaleCrop>
  <LinksUpToDate>false</LinksUpToDate>
  <CharactersWithSpaces>7768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2023-09-07T07:44:35Z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22E855EA8AF5487EBD39F029DCEABF09_12</vt:lpwstr>
  </property>
</Properties>
</file>