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line="360" w:lineRule="auto"/>
        <w:jc w:val="center"/>
        <w:rPr>
          <w:rFonts w:hint="eastAsia" w:eastAsia="宋体"/>
          <w:b/>
          <w:color w:val="auto"/>
          <w:sz w:val="36"/>
          <w:szCs w:val="36"/>
          <w:highlight w:val="none"/>
          <w:lang w:eastAsia="zh-CN"/>
        </w:rPr>
      </w:pPr>
      <w:r>
        <w:rPr>
          <w:rFonts w:hint="eastAsia"/>
          <w:b/>
          <w:color w:val="auto"/>
          <w:sz w:val="36"/>
          <w:szCs w:val="36"/>
          <w:highlight w:val="none"/>
          <w:lang w:eastAsia="zh-CN"/>
        </w:rPr>
        <w:t>广州城投综合能源投资经营管理有限公司</w:t>
      </w:r>
    </w:p>
    <w:p>
      <w:pPr>
        <w:tabs>
          <w:tab w:val="left" w:pos="720"/>
        </w:tabs>
        <w:spacing w:line="360" w:lineRule="auto"/>
        <w:jc w:val="center"/>
        <w:rPr>
          <w:rFonts w:hint="eastAsia" w:eastAsia="宋体"/>
          <w:b/>
          <w:color w:val="auto"/>
          <w:sz w:val="36"/>
          <w:szCs w:val="36"/>
          <w:highlight w:val="none"/>
          <w:lang w:eastAsia="zh-CN"/>
        </w:rPr>
      </w:pPr>
      <w:r>
        <w:rPr>
          <w:rFonts w:hint="eastAsia"/>
          <w:b/>
          <w:color w:val="auto"/>
          <w:sz w:val="36"/>
          <w:szCs w:val="36"/>
          <w:highlight w:val="none"/>
          <w:lang w:eastAsia="zh-CN"/>
        </w:rPr>
        <w:t>广州大学城公司消防系统维护保养项目</w:t>
      </w:r>
    </w:p>
    <w:p>
      <w:pPr>
        <w:tabs>
          <w:tab w:val="left" w:pos="720"/>
        </w:tabs>
        <w:spacing w:line="360" w:lineRule="auto"/>
        <w:jc w:val="center"/>
        <w:rPr>
          <w:b/>
          <w:color w:val="auto"/>
          <w:sz w:val="36"/>
          <w:szCs w:val="36"/>
          <w:highlight w:val="none"/>
        </w:rPr>
      </w:pPr>
      <w:r>
        <w:rPr>
          <w:rFonts w:hint="eastAsia"/>
          <w:b/>
          <w:color w:val="auto"/>
          <w:sz w:val="36"/>
          <w:szCs w:val="36"/>
          <w:highlight w:val="none"/>
        </w:rPr>
        <w:t>竞选文件</w:t>
      </w:r>
    </w:p>
    <w:p>
      <w:pPr>
        <w:tabs>
          <w:tab w:val="left" w:pos="540"/>
          <w:tab w:val="left" w:pos="720"/>
        </w:tabs>
        <w:spacing w:line="560" w:lineRule="exact"/>
        <w:ind w:firstLine="562" w:firstLineChars="200"/>
        <w:rPr>
          <w:b/>
          <w:color w:val="auto"/>
          <w:sz w:val="28"/>
          <w:szCs w:val="28"/>
          <w:highlight w:val="none"/>
        </w:rPr>
      </w:pPr>
    </w:p>
    <w:p>
      <w:pPr>
        <w:tabs>
          <w:tab w:val="left" w:pos="540"/>
          <w:tab w:val="left" w:pos="720"/>
        </w:tabs>
        <w:spacing w:line="520" w:lineRule="exact"/>
        <w:ind w:firstLine="562" w:firstLineChars="200"/>
        <w:rPr>
          <w:b/>
          <w:color w:val="auto"/>
          <w:sz w:val="28"/>
          <w:szCs w:val="28"/>
          <w:highlight w:val="none"/>
        </w:rPr>
      </w:pPr>
      <w:r>
        <w:rPr>
          <w:rFonts w:hint="eastAsia"/>
          <w:b/>
          <w:color w:val="auto"/>
          <w:sz w:val="28"/>
          <w:szCs w:val="28"/>
          <w:highlight w:val="none"/>
        </w:rPr>
        <w:t>一、项目基本情况</w:t>
      </w:r>
    </w:p>
    <w:p>
      <w:pPr>
        <w:spacing w:line="520" w:lineRule="exact"/>
        <w:ind w:firstLine="560" w:firstLineChars="200"/>
        <w:rPr>
          <w:rFonts w:hint="eastAsia" w:eastAsia="宋体"/>
          <w:color w:val="auto"/>
          <w:sz w:val="28"/>
          <w:szCs w:val="28"/>
          <w:highlight w:val="none"/>
          <w:lang w:eastAsia="zh-CN"/>
        </w:rPr>
      </w:pPr>
      <w:r>
        <w:rPr>
          <w:rFonts w:hint="eastAsia"/>
          <w:color w:val="auto"/>
          <w:sz w:val="28"/>
          <w:szCs w:val="28"/>
          <w:highlight w:val="none"/>
        </w:rPr>
        <w:t>（一）项目名称：</w:t>
      </w:r>
      <w:r>
        <w:rPr>
          <w:rFonts w:hint="eastAsia"/>
          <w:color w:val="auto"/>
          <w:sz w:val="28"/>
          <w:szCs w:val="28"/>
          <w:highlight w:val="none"/>
          <w:lang w:eastAsia="zh-CN"/>
        </w:rPr>
        <w:t>广州大学城公司消防系统维护保养项目</w:t>
      </w:r>
    </w:p>
    <w:p>
      <w:pPr>
        <w:spacing w:line="520" w:lineRule="exact"/>
        <w:ind w:firstLine="560" w:firstLineChars="200"/>
        <w:rPr>
          <w:color w:val="auto"/>
          <w:sz w:val="28"/>
          <w:szCs w:val="28"/>
          <w:highlight w:val="none"/>
        </w:rPr>
      </w:pPr>
      <w:r>
        <w:rPr>
          <w:rFonts w:hint="eastAsia"/>
          <w:color w:val="auto"/>
          <w:sz w:val="28"/>
          <w:szCs w:val="28"/>
          <w:highlight w:val="none"/>
        </w:rPr>
        <w:t>（二）项目地点：广州大学城</w:t>
      </w:r>
    </w:p>
    <w:p>
      <w:pPr>
        <w:spacing w:line="520" w:lineRule="exact"/>
        <w:ind w:firstLine="560" w:firstLineChars="200"/>
        <w:rPr>
          <w:color w:val="auto"/>
          <w:sz w:val="28"/>
          <w:szCs w:val="28"/>
          <w:highlight w:val="none"/>
        </w:rPr>
      </w:pPr>
      <w:r>
        <w:rPr>
          <w:rFonts w:hint="eastAsia"/>
          <w:color w:val="auto"/>
          <w:sz w:val="28"/>
          <w:szCs w:val="28"/>
          <w:highlight w:val="none"/>
        </w:rPr>
        <w:t>（三）采购限价</w:t>
      </w:r>
      <w:r>
        <w:rPr>
          <w:rFonts w:hint="eastAsia"/>
          <w:color w:val="auto"/>
          <w:sz w:val="28"/>
          <w:szCs w:val="28"/>
          <w:highlight w:val="none"/>
          <w:lang w:eastAsia="zh-CN"/>
        </w:rPr>
        <w:t>（</w:t>
      </w:r>
      <w:r>
        <w:rPr>
          <w:rFonts w:hint="eastAsia"/>
          <w:color w:val="auto"/>
          <w:sz w:val="28"/>
          <w:szCs w:val="28"/>
          <w:highlight w:val="none"/>
          <w:lang w:val="en-US" w:eastAsia="zh-CN"/>
        </w:rPr>
        <w:t>人民币</w:t>
      </w:r>
      <w:r>
        <w:rPr>
          <w:rFonts w:hint="eastAsia"/>
          <w:color w:val="auto"/>
          <w:sz w:val="28"/>
          <w:szCs w:val="28"/>
          <w:highlight w:val="none"/>
          <w:lang w:eastAsia="zh-CN"/>
        </w:rPr>
        <w:t>）</w:t>
      </w:r>
      <w:r>
        <w:rPr>
          <w:rFonts w:hint="eastAsia"/>
          <w:color w:val="auto"/>
          <w:sz w:val="28"/>
          <w:szCs w:val="28"/>
          <w:highlight w:val="none"/>
        </w:rPr>
        <w:t>：</w:t>
      </w:r>
      <w:r>
        <w:rPr>
          <w:rFonts w:hint="eastAsia"/>
          <w:color w:val="auto"/>
          <w:sz w:val="28"/>
          <w:szCs w:val="28"/>
          <w:highlight w:val="none"/>
          <w:lang w:val="en-US" w:eastAsia="zh-CN"/>
        </w:rPr>
        <w:t>45</w:t>
      </w:r>
      <w:r>
        <w:rPr>
          <w:rFonts w:hint="eastAsia"/>
          <w:color w:val="auto"/>
          <w:sz w:val="28"/>
          <w:szCs w:val="28"/>
          <w:highlight w:val="none"/>
        </w:rPr>
        <w:t>万元</w:t>
      </w:r>
    </w:p>
    <w:p>
      <w:pPr>
        <w:spacing w:line="520" w:lineRule="exact"/>
        <w:ind w:firstLine="560" w:firstLineChars="200"/>
        <w:rPr>
          <w:color w:val="auto"/>
          <w:sz w:val="28"/>
          <w:szCs w:val="28"/>
          <w:highlight w:val="none"/>
        </w:rPr>
      </w:pPr>
      <w:r>
        <w:rPr>
          <w:rFonts w:hint="eastAsia"/>
          <w:color w:val="auto"/>
          <w:sz w:val="28"/>
          <w:szCs w:val="28"/>
          <w:highlight w:val="none"/>
        </w:rPr>
        <w:t>（四）项目概况</w:t>
      </w:r>
    </w:p>
    <w:p>
      <w:pPr>
        <w:tabs>
          <w:tab w:val="left" w:pos="0"/>
          <w:tab w:val="left" w:pos="720"/>
        </w:tabs>
        <w:spacing w:line="520" w:lineRule="exact"/>
        <w:ind w:firstLine="560" w:firstLineChars="200"/>
        <w:rPr>
          <w:color w:val="auto"/>
          <w:sz w:val="28"/>
          <w:szCs w:val="28"/>
          <w:highlight w:val="none"/>
        </w:rPr>
      </w:pPr>
      <w:r>
        <w:rPr>
          <w:rFonts w:hint="eastAsia"/>
          <w:color w:val="auto"/>
          <w:sz w:val="28"/>
          <w:szCs w:val="28"/>
          <w:highlight w:val="none"/>
        </w:rPr>
        <w:t>为保障广州大学城供冷站（2号站、3号站、4号站）的消防系统、广州大学城内的大学城综合信息枢纽楼消防、广州大学城内的综合管沟消防、广州大学城内的过江隧道</w:t>
      </w:r>
      <w:r>
        <w:rPr>
          <w:color w:val="auto"/>
          <w:sz w:val="28"/>
          <w:szCs w:val="28"/>
          <w:highlight w:val="none"/>
        </w:rPr>
        <w:t>消防系统安全稳定运行</w:t>
      </w:r>
      <w:r>
        <w:rPr>
          <w:rFonts w:hint="eastAsia"/>
          <w:color w:val="auto"/>
          <w:sz w:val="28"/>
          <w:szCs w:val="28"/>
          <w:highlight w:val="none"/>
        </w:rPr>
        <w:t>，</w:t>
      </w:r>
      <w:r>
        <w:rPr>
          <w:color w:val="auto"/>
          <w:sz w:val="28"/>
          <w:szCs w:val="28"/>
          <w:highlight w:val="none"/>
        </w:rPr>
        <w:t>现拟委托具备专业资质的单位对其进行年度维护保养</w:t>
      </w:r>
      <w:r>
        <w:rPr>
          <w:rFonts w:hint="eastAsia"/>
          <w:color w:val="auto"/>
          <w:sz w:val="28"/>
          <w:szCs w:val="28"/>
          <w:highlight w:val="none"/>
        </w:rPr>
        <w:t>。</w:t>
      </w:r>
    </w:p>
    <w:p>
      <w:pPr>
        <w:tabs>
          <w:tab w:val="left" w:pos="0"/>
          <w:tab w:val="left" w:pos="720"/>
        </w:tabs>
        <w:spacing w:line="520" w:lineRule="exact"/>
        <w:ind w:firstLine="562" w:firstLineChars="200"/>
        <w:rPr>
          <w:b/>
          <w:color w:val="auto"/>
          <w:sz w:val="28"/>
          <w:szCs w:val="28"/>
          <w:highlight w:val="none"/>
        </w:rPr>
      </w:pPr>
      <w:r>
        <w:rPr>
          <w:rFonts w:hint="eastAsia"/>
          <w:b/>
          <w:color w:val="auto"/>
          <w:sz w:val="28"/>
          <w:szCs w:val="28"/>
          <w:highlight w:val="none"/>
        </w:rPr>
        <w:t>二、合格投标人资格要求</w:t>
      </w:r>
    </w:p>
    <w:p>
      <w:pPr>
        <w:tabs>
          <w:tab w:val="left" w:pos="0"/>
          <w:tab w:val="left" w:pos="720"/>
        </w:tabs>
        <w:spacing w:line="520" w:lineRule="exact"/>
        <w:ind w:firstLine="560" w:firstLineChars="200"/>
        <w:rPr>
          <w:color w:val="auto"/>
          <w:sz w:val="28"/>
          <w:szCs w:val="28"/>
          <w:highlight w:val="none"/>
        </w:rPr>
      </w:pPr>
      <w:r>
        <w:rPr>
          <w:rFonts w:hint="eastAsia"/>
          <w:color w:val="auto"/>
          <w:sz w:val="28"/>
          <w:szCs w:val="28"/>
          <w:highlight w:val="none"/>
        </w:rPr>
        <w:t>（一）必须是具有独立承担民事责任能力、在中华人民共和国境内注册的法人；</w:t>
      </w:r>
    </w:p>
    <w:p>
      <w:pPr>
        <w:tabs>
          <w:tab w:val="left" w:pos="0"/>
          <w:tab w:val="left" w:pos="720"/>
        </w:tabs>
        <w:spacing w:line="520" w:lineRule="exact"/>
        <w:ind w:firstLine="560" w:firstLineChars="200"/>
        <w:rPr>
          <w:color w:val="auto"/>
          <w:sz w:val="28"/>
          <w:szCs w:val="28"/>
          <w:highlight w:val="none"/>
        </w:rPr>
      </w:pPr>
      <w:r>
        <w:rPr>
          <w:rFonts w:hint="eastAsia"/>
          <w:color w:val="auto"/>
          <w:sz w:val="28"/>
          <w:szCs w:val="28"/>
          <w:highlight w:val="none"/>
        </w:rPr>
        <w:t>（二）具备有效的工商营业执照、企业法人组织机构代码证书、税务登记证书（或三证合一）；</w:t>
      </w:r>
    </w:p>
    <w:p>
      <w:pPr>
        <w:tabs>
          <w:tab w:val="left" w:pos="0"/>
          <w:tab w:val="left" w:pos="720"/>
        </w:tabs>
        <w:spacing w:line="520" w:lineRule="exact"/>
        <w:ind w:firstLine="560" w:firstLineChars="200"/>
        <w:rPr>
          <w:color w:val="auto"/>
          <w:sz w:val="28"/>
          <w:szCs w:val="28"/>
          <w:highlight w:val="none"/>
        </w:rPr>
      </w:pPr>
      <w:r>
        <w:rPr>
          <w:rFonts w:hint="eastAsia"/>
          <w:color w:val="auto"/>
          <w:sz w:val="28"/>
          <w:szCs w:val="28"/>
          <w:highlight w:val="none"/>
        </w:rPr>
        <w:t>（三）已办理合法税务登记，具有开具相应增值税专用发票资格；</w:t>
      </w:r>
    </w:p>
    <w:p>
      <w:pPr>
        <w:tabs>
          <w:tab w:val="left" w:pos="0"/>
          <w:tab w:val="left" w:pos="720"/>
        </w:tabs>
        <w:spacing w:line="520" w:lineRule="exact"/>
        <w:ind w:firstLine="560" w:firstLineChars="200"/>
        <w:rPr>
          <w:rFonts w:hint="eastAsia" w:eastAsia="宋体"/>
          <w:color w:val="auto"/>
          <w:sz w:val="28"/>
          <w:szCs w:val="28"/>
          <w:highlight w:val="none"/>
          <w:lang w:eastAsia="zh-CN"/>
        </w:rPr>
      </w:pPr>
      <w:r>
        <w:rPr>
          <w:rFonts w:hint="eastAsia"/>
          <w:color w:val="auto"/>
          <w:sz w:val="28"/>
          <w:szCs w:val="28"/>
          <w:highlight w:val="none"/>
        </w:rPr>
        <w:t>（四）提供在社会消防技术服务信息系统网站平台上（https://shhxf.119.gov.cn/）消防设施维护保养资质的截图材料</w:t>
      </w:r>
      <w:r>
        <w:rPr>
          <w:rFonts w:hint="eastAsia"/>
          <w:color w:val="auto"/>
          <w:sz w:val="28"/>
          <w:szCs w:val="28"/>
          <w:highlight w:val="none"/>
          <w:lang w:eastAsia="zh-CN"/>
        </w:rPr>
        <w:t>；</w:t>
      </w:r>
    </w:p>
    <w:p>
      <w:pPr>
        <w:tabs>
          <w:tab w:val="left" w:pos="0"/>
          <w:tab w:val="left" w:pos="720"/>
        </w:tabs>
        <w:spacing w:line="520" w:lineRule="exact"/>
        <w:ind w:firstLine="560" w:firstLineChars="200"/>
        <w:rPr>
          <w:color w:val="auto"/>
          <w:sz w:val="28"/>
          <w:szCs w:val="28"/>
          <w:highlight w:val="none"/>
        </w:rPr>
      </w:pPr>
      <w:r>
        <w:rPr>
          <w:rFonts w:hint="eastAsia"/>
          <w:color w:val="auto"/>
          <w:sz w:val="28"/>
          <w:szCs w:val="28"/>
          <w:highlight w:val="none"/>
        </w:rPr>
        <w:t>（五）投标人近3年内(20</w:t>
      </w:r>
      <w:r>
        <w:rPr>
          <w:rFonts w:hint="eastAsia"/>
          <w:color w:val="auto"/>
          <w:sz w:val="28"/>
          <w:szCs w:val="28"/>
          <w:highlight w:val="none"/>
          <w:lang w:val="en-US" w:eastAsia="zh-CN"/>
        </w:rPr>
        <w:t>20</w:t>
      </w:r>
      <w:r>
        <w:rPr>
          <w:rFonts w:hint="eastAsia"/>
          <w:color w:val="auto"/>
          <w:sz w:val="28"/>
          <w:szCs w:val="28"/>
          <w:highlight w:val="none"/>
        </w:rPr>
        <w:t>年1月1日至今)完成过质量合格的类似工程项目业绩（需提供合同等相关证明材料复印件）；</w:t>
      </w:r>
    </w:p>
    <w:p>
      <w:pPr>
        <w:tabs>
          <w:tab w:val="left" w:pos="0"/>
          <w:tab w:val="left" w:pos="720"/>
        </w:tabs>
        <w:spacing w:line="520" w:lineRule="exact"/>
        <w:ind w:firstLine="560" w:firstLineChars="200"/>
        <w:rPr>
          <w:color w:val="auto"/>
          <w:sz w:val="28"/>
          <w:szCs w:val="28"/>
          <w:highlight w:val="none"/>
        </w:rPr>
      </w:pPr>
      <w:r>
        <w:rPr>
          <w:rFonts w:hint="eastAsia"/>
          <w:color w:val="auto"/>
          <w:sz w:val="28"/>
          <w:szCs w:val="28"/>
          <w:highlight w:val="none"/>
        </w:rPr>
        <w:t>（六）不接受联合体报价。</w:t>
      </w:r>
    </w:p>
    <w:p>
      <w:pPr>
        <w:spacing w:line="560" w:lineRule="exact"/>
        <w:ind w:firstLine="562" w:firstLineChars="200"/>
        <w:rPr>
          <w:rFonts w:asciiTheme="minorEastAsia" w:hAnsiTheme="minorEastAsia" w:eastAsiaTheme="minorEastAsia"/>
          <w:b/>
          <w:color w:val="auto"/>
          <w:sz w:val="28"/>
          <w:szCs w:val="28"/>
          <w:highlight w:val="none"/>
        </w:rPr>
      </w:pPr>
      <w:r>
        <w:rPr>
          <w:rFonts w:hint="eastAsia" w:ascii="宋体" w:hAnsi="宋体"/>
          <w:b/>
          <w:color w:val="auto"/>
          <w:sz w:val="28"/>
          <w:szCs w:val="28"/>
          <w:highlight w:val="none"/>
        </w:rPr>
        <w:t>三</w:t>
      </w:r>
      <w:r>
        <w:rPr>
          <w:rFonts w:hint="eastAsia" w:asciiTheme="minorEastAsia" w:hAnsiTheme="minorEastAsia" w:eastAsiaTheme="minorEastAsia"/>
          <w:b/>
          <w:color w:val="auto"/>
          <w:sz w:val="28"/>
          <w:szCs w:val="28"/>
          <w:highlight w:val="none"/>
        </w:rPr>
        <w:t>、项目技术要求</w:t>
      </w:r>
    </w:p>
    <w:p>
      <w:pPr>
        <w:spacing w:line="560" w:lineRule="exact"/>
        <w:ind w:firstLine="562" w:firstLineChars="2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（一）2#、3#、4#</w:t>
      </w:r>
      <w:r>
        <w:rPr>
          <w:rFonts w:asciiTheme="minorEastAsia" w:hAnsiTheme="minorEastAsia" w:eastAsiaTheme="minorEastAsia"/>
          <w:b/>
          <w:color w:val="auto"/>
          <w:sz w:val="28"/>
          <w:szCs w:val="28"/>
          <w:highlight w:val="none"/>
        </w:rPr>
        <w:t>冷站消防维保</w:t>
      </w:r>
    </w:p>
    <w:p>
      <w:pPr>
        <w:spacing w:line="560" w:lineRule="exact"/>
        <w:ind w:firstLine="562" w:firstLineChars="200"/>
        <w:rPr>
          <w:rFonts w:asciiTheme="minorEastAsia" w:hAnsiTheme="minorEastAsia" w:eastAsiaTheme="minorEastAsia"/>
          <w:b/>
          <w:bCs/>
          <w:color w:val="auto"/>
          <w:sz w:val="28"/>
          <w:szCs w:val="28"/>
          <w:highlight w:val="none"/>
        </w:rPr>
      </w:pPr>
      <w:r>
        <w:rPr>
          <w:rFonts w:asciiTheme="minorEastAsia" w:hAnsiTheme="minorEastAsia" w:eastAsiaTheme="minorEastAsia"/>
          <w:b/>
          <w:bCs/>
          <w:color w:val="auto"/>
          <w:sz w:val="28"/>
          <w:szCs w:val="28"/>
          <w:highlight w:val="none"/>
        </w:rPr>
        <w:t>1</w:t>
      </w:r>
      <w:r>
        <w:rPr>
          <w:rFonts w:hint="eastAsia" w:asciiTheme="minorEastAsia" w:hAnsiTheme="minorEastAsia" w:eastAsiaTheme="minorEastAsia"/>
          <w:b/>
          <w:bCs/>
          <w:color w:val="auto"/>
          <w:sz w:val="28"/>
          <w:szCs w:val="28"/>
          <w:highlight w:val="none"/>
        </w:rPr>
        <w:t>、项目内容：</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投标人负责对广州大学城供冷站（</w:t>
      </w:r>
      <w:r>
        <w:rPr>
          <w:rFonts w:asciiTheme="minorEastAsia" w:hAnsiTheme="minorEastAsia" w:eastAsiaTheme="minorEastAsia"/>
          <w:color w:val="auto"/>
          <w:sz w:val="28"/>
          <w:szCs w:val="28"/>
          <w:highlight w:val="none"/>
        </w:rPr>
        <w:t>2</w:t>
      </w:r>
      <w:r>
        <w:rPr>
          <w:rFonts w:hint="eastAsia" w:asciiTheme="minorEastAsia" w:hAnsiTheme="minorEastAsia" w:eastAsiaTheme="minorEastAsia"/>
          <w:color w:val="auto"/>
          <w:sz w:val="28"/>
          <w:szCs w:val="28"/>
          <w:highlight w:val="none"/>
        </w:rPr>
        <w:t>号站、</w:t>
      </w:r>
      <w:r>
        <w:rPr>
          <w:rFonts w:asciiTheme="minorEastAsia" w:hAnsiTheme="minorEastAsia" w:eastAsiaTheme="minorEastAsia"/>
          <w:color w:val="auto"/>
          <w:sz w:val="28"/>
          <w:szCs w:val="28"/>
          <w:highlight w:val="none"/>
        </w:rPr>
        <w:t>3</w:t>
      </w:r>
      <w:r>
        <w:rPr>
          <w:rFonts w:hint="eastAsia" w:asciiTheme="minorEastAsia" w:hAnsiTheme="minorEastAsia" w:eastAsiaTheme="minorEastAsia"/>
          <w:color w:val="auto"/>
          <w:sz w:val="28"/>
          <w:szCs w:val="28"/>
          <w:highlight w:val="none"/>
        </w:rPr>
        <w:t>号站、</w:t>
      </w:r>
      <w:r>
        <w:rPr>
          <w:rFonts w:asciiTheme="minorEastAsia" w:hAnsiTheme="minorEastAsia" w:eastAsiaTheme="minorEastAsia"/>
          <w:color w:val="auto"/>
          <w:sz w:val="28"/>
          <w:szCs w:val="28"/>
          <w:highlight w:val="none"/>
        </w:rPr>
        <w:t>4</w:t>
      </w:r>
      <w:r>
        <w:rPr>
          <w:rFonts w:hint="eastAsia" w:asciiTheme="minorEastAsia" w:hAnsiTheme="minorEastAsia" w:eastAsiaTheme="minorEastAsia"/>
          <w:color w:val="auto"/>
          <w:sz w:val="28"/>
          <w:szCs w:val="28"/>
          <w:highlight w:val="none"/>
        </w:rPr>
        <w:t>号站）的消防系统（火灾自动报警系统、联动控制系统、消火栓系统）的所有设备、管网、路线等进行检查、测试、维护、维修、更换、急修。</w:t>
      </w:r>
    </w:p>
    <w:p>
      <w:pPr>
        <w:numPr>
          <w:ilvl w:val="0"/>
          <w:numId w:val="1"/>
        </w:numPr>
        <w:spacing w:line="560" w:lineRule="exact"/>
        <w:ind w:firstLine="562" w:firstLineChars="200"/>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项目实施地点：</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广州大学城供冷站之</w:t>
      </w:r>
      <w:r>
        <w:rPr>
          <w:rFonts w:asciiTheme="minorEastAsia" w:hAnsiTheme="minorEastAsia" w:eastAsiaTheme="minorEastAsia"/>
          <w:color w:val="auto"/>
          <w:sz w:val="28"/>
          <w:szCs w:val="28"/>
          <w:highlight w:val="none"/>
        </w:rPr>
        <w:t>2</w:t>
      </w:r>
      <w:r>
        <w:rPr>
          <w:rFonts w:hint="eastAsia" w:asciiTheme="minorEastAsia" w:hAnsiTheme="minorEastAsia" w:eastAsiaTheme="minorEastAsia"/>
          <w:color w:val="auto"/>
          <w:sz w:val="28"/>
          <w:szCs w:val="28"/>
          <w:highlight w:val="none"/>
        </w:rPr>
        <w:t>号站、</w:t>
      </w:r>
      <w:r>
        <w:rPr>
          <w:rFonts w:asciiTheme="minorEastAsia" w:hAnsiTheme="minorEastAsia" w:eastAsiaTheme="minorEastAsia"/>
          <w:color w:val="auto"/>
          <w:sz w:val="28"/>
          <w:szCs w:val="28"/>
          <w:highlight w:val="none"/>
        </w:rPr>
        <w:t>3</w:t>
      </w:r>
      <w:r>
        <w:rPr>
          <w:rFonts w:hint="eastAsia" w:asciiTheme="minorEastAsia" w:hAnsiTheme="minorEastAsia" w:eastAsiaTheme="minorEastAsia"/>
          <w:color w:val="auto"/>
          <w:sz w:val="28"/>
          <w:szCs w:val="28"/>
          <w:highlight w:val="none"/>
        </w:rPr>
        <w:t>号站、</w:t>
      </w:r>
      <w:r>
        <w:rPr>
          <w:rFonts w:asciiTheme="minorEastAsia" w:hAnsiTheme="minorEastAsia" w:eastAsiaTheme="minorEastAsia"/>
          <w:color w:val="auto"/>
          <w:sz w:val="28"/>
          <w:szCs w:val="28"/>
          <w:highlight w:val="none"/>
        </w:rPr>
        <w:t>4</w:t>
      </w:r>
      <w:r>
        <w:rPr>
          <w:rFonts w:hint="eastAsia" w:asciiTheme="minorEastAsia" w:hAnsiTheme="minorEastAsia" w:eastAsiaTheme="minorEastAsia"/>
          <w:color w:val="auto"/>
          <w:sz w:val="28"/>
          <w:szCs w:val="28"/>
          <w:highlight w:val="none"/>
        </w:rPr>
        <w:t>号站</w:t>
      </w:r>
    </w:p>
    <w:p>
      <w:pPr>
        <w:spacing w:line="560" w:lineRule="exact"/>
        <w:ind w:firstLine="562" w:firstLineChars="200"/>
        <w:rPr>
          <w:rFonts w:asciiTheme="minorEastAsia" w:hAnsiTheme="minorEastAsia" w:eastAsiaTheme="minorEastAsia"/>
          <w:b/>
          <w:bCs/>
          <w:color w:val="auto"/>
          <w:sz w:val="28"/>
          <w:szCs w:val="28"/>
          <w:highlight w:val="none"/>
        </w:rPr>
      </w:pPr>
      <w:r>
        <w:rPr>
          <w:rFonts w:asciiTheme="minorEastAsia" w:hAnsiTheme="minorEastAsia" w:eastAsiaTheme="minorEastAsia"/>
          <w:b/>
          <w:bCs/>
          <w:color w:val="auto"/>
          <w:sz w:val="28"/>
          <w:szCs w:val="28"/>
          <w:highlight w:val="none"/>
        </w:rPr>
        <w:t>3</w:t>
      </w:r>
      <w:r>
        <w:rPr>
          <w:rFonts w:hint="eastAsia" w:asciiTheme="minorEastAsia" w:hAnsiTheme="minorEastAsia" w:eastAsiaTheme="minorEastAsia"/>
          <w:b/>
          <w:bCs/>
          <w:color w:val="auto"/>
          <w:sz w:val="28"/>
          <w:szCs w:val="28"/>
          <w:highlight w:val="none"/>
        </w:rPr>
        <w:t>、委托代管及维修保养内容及要求：</w:t>
      </w:r>
    </w:p>
    <w:p>
      <w:pPr>
        <w:spacing w:line="560" w:lineRule="exact"/>
        <w:ind w:firstLine="562" w:firstLineChars="2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（1）消火栓系统</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①维修保养内容</w:t>
      </w:r>
    </w:p>
    <w:p>
      <w:pPr>
        <w:spacing w:line="56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a</w:t>
      </w:r>
      <w:r>
        <w:rPr>
          <w:rFonts w:hint="eastAsia" w:asciiTheme="minorEastAsia" w:hAnsiTheme="minorEastAsia" w:eastAsiaTheme="minorEastAsia"/>
          <w:color w:val="auto"/>
          <w:sz w:val="28"/>
          <w:szCs w:val="28"/>
          <w:highlight w:val="none"/>
        </w:rPr>
        <w:t>、检查消防栓箱配置是否完整齐全，包括检查每个消防栓口的静压是否符合设计或规范要求，检查栓口橡胶是否老化、龟裂或脱落，检查水带是否霉烂、穿孔，检查卷盘胶管是否老化、龟裂，检查破玻按钮是否破碎，并进行必要的清洁工作；</w:t>
      </w:r>
    </w:p>
    <w:p>
      <w:pPr>
        <w:spacing w:line="56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b</w:t>
      </w:r>
      <w:r>
        <w:rPr>
          <w:rFonts w:hint="eastAsia" w:asciiTheme="minorEastAsia" w:hAnsiTheme="minorEastAsia" w:eastAsiaTheme="minorEastAsia"/>
          <w:color w:val="auto"/>
          <w:sz w:val="28"/>
          <w:szCs w:val="28"/>
          <w:highlight w:val="none"/>
        </w:rPr>
        <w:t>、检查测试消防栓破玻系统，试验破玻按钮，警铃是否鸣响、消防水泵是否启动、消防中心是否有报警信号及消防水泵状态显示；</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c、检查消火栓系统的管道、水泵接合器及阀门。检查阀门是否易操作或有否渗漏滴水，对阀门定期加油润滑，对生锈、腐蚀、脱漆部位进行清理；</w:t>
      </w:r>
    </w:p>
    <w:p>
      <w:pPr>
        <w:spacing w:line="56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d</w:t>
      </w:r>
      <w:r>
        <w:rPr>
          <w:rFonts w:hint="eastAsia" w:asciiTheme="minorEastAsia" w:hAnsiTheme="minorEastAsia" w:eastAsiaTheme="minorEastAsia"/>
          <w:color w:val="auto"/>
          <w:sz w:val="28"/>
          <w:szCs w:val="28"/>
          <w:highlight w:val="none"/>
        </w:rPr>
        <w:t>、定期试验消防栓，检查其喷水充实水柱是否达到规范或设计要求；</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e、检查水泵房的消防设备，测试消防水泵运行情况，检查水泵控制柜的运行状态，定期试验安全泄压阀是否灵敏、可靠，检查水锤吸纳器工作是否有效；检查水泵房各阀门是否处于正常工作状态，是否完好不渗漏，对生锈脱落部位进行清理，检查阀门是否易操作，对消防水泵和阀门定期加油润滑；</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f、检查消防水池的储水情况，检查止回阀启闭是否灵活、有效；</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g、定期对消防栓系统管网进行全面检查。</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②维修保养达到的效果</w:t>
      </w:r>
    </w:p>
    <w:p>
      <w:pPr>
        <w:spacing w:line="56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a</w:t>
      </w:r>
      <w:r>
        <w:rPr>
          <w:rFonts w:hint="eastAsia" w:asciiTheme="minorEastAsia" w:hAnsiTheme="minorEastAsia" w:eastAsiaTheme="minorEastAsia"/>
          <w:color w:val="auto"/>
          <w:sz w:val="28"/>
          <w:szCs w:val="28"/>
          <w:highlight w:val="none"/>
        </w:rPr>
        <w:t>、消防栓箱内配置齐全，各项配件完好，消防栓口静压符合设计或规范要求；</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b、试验消防栓破玻按钮，消防栓水泵启动正常，各项联动设施运作良好，消防中心有报警信号和消防水泵状态显示；</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c、各阀门处于正常的开或关状态，且有明显标志，阀体完好、不漏水；</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d、消防栓系统水泵接口器外观完</w:t>
      </w:r>
      <w:r>
        <w:rPr>
          <w:rFonts w:hint="eastAsia" w:asciiTheme="minorEastAsia" w:hAnsiTheme="minorEastAsia" w:eastAsiaTheme="minorEastAsia"/>
          <w:color w:val="auto"/>
          <w:sz w:val="28"/>
          <w:szCs w:val="28"/>
          <w:highlight w:val="none"/>
          <w:lang w:val="en-US" w:eastAsia="zh-CN"/>
        </w:rPr>
        <w:t>好</w:t>
      </w:r>
      <w:r>
        <w:rPr>
          <w:rFonts w:hint="eastAsia" w:asciiTheme="minorEastAsia" w:hAnsiTheme="minorEastAsia" w:eastAsiaTheme="minorEastAsia"/>
          <w:color w:val="auto"/>
          <w:sz w:val="28"/>
          <w:szCs w:val="28"/>
          <w:highlight w:val="none"/>
        </w:rPr>
        <w:t>，配置齐全，</w:t>
      </w:r>
      <w:r>
        <w:rPr>
          <w:rFonts w:hint="eastAsia" w:asciiTheme="minorEastAsia" w:hAnsiTheme="minorEastAsia" w:eastAsiaTheme="minorEastAsia"/>
          <w:color w:val="auto"/>
          <w:sz w:val="28"/>
          <w:szCs w:val="28"/>
          <w:highlight w:val="none"/>
          <w:lang w:val="en-US" w:eastAsia="zh-CN"/>
        </w:rPr>
        <w:t>无</w:t>
      </w:r>
      <w:r>
        <w:rPr>
          <w:rFonts w:hint="eastAsia" w:asciiTheme="minorEastAsia" w:hAnsiTheme="minorEastAsia" w:eastAsiaTheme="minorEastAsia"/>
          <w:color w:val="auto"/>
          <w:sz w:val="28"/>
          <w:szCs w:val="28"/>
          <w:highlight w:val="none"/>
        </w:rPr>
        <w:t>变形、无渗漏、</w:t>
      </w:r>
      <w:r>
        <w:rPr>
          <w:rFonts w:hint="eastAsia" w:asciiTheme="minorEastAsia" w:hAnsiTheme="minorEastAsia" w:eastAsiaTheme="minorEastAsia"/>
          <w:color w:val="auto"/>
          <w:sz w:val="28"/>
          <w:szCs w:val="28"/>
          <w:highlight w:val="none"/>
          <w:lang w:val="en-US" w:eastAsia="zh-CN"/>
        </w:rPr>
        <w:t>无</w:t>
      </w:r>
      <w:r>
        <w:rPr>
          <w:rFonts w:hint="eastAsia" w:asciiTheme="minorEastAsia" w:hAnsiTheme="minorEastAsia" w:eastAsiaTheme="minorEastAsia"/>
          <w:color w:val="auto"/>
          <w:sz w:val="28"/>
          <w:szCs w:val="28"/>
          <w:highlight w:val="none"/>
        </w:rPr>
        <w:t>缺损；</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e、消防栓喷射时，其充水柱达到设计或规范要求；</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f、安全泄压阀和水锤吸纳器外观完好，工作灵敏、可靠、有效；</w:t>
      </w:r>
    </w:p>
    <w:p>
      <w:pPr>
        <w:spacing w:line="56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g</w:t>
      </w:r>
      <w:r>
        <w:rPr>
          <w:rFonts w:hint="eastAsia" w:asciiTheme="minorEastAsia" w:hAnsiTheme="minorEastAsia" w:eastAsiaTheme="minorEastAsia"/>
          <w:color w:val="auto"/>
          <w:sz w:val="28"/>
          <w:szCs w:val="28"/>
          <w:highlight w:val="none"/>
        </w:rPr>
        <w:t>、减压阀和过滤器外观完好，减压阀工作稳定、可靠，且减压比例准确，过滤器内</w:t>
      </w:r>
      <w:r>
        <w:rPr>
          <w:rFonts w:hint="eastAsia" w:asciiTheme="minorEastAsia" w:hAnsiTheme="minorEastAsia" w:eastAsiaTheme="minorEastAsia"/>
          <w:color w:val="auto"/>
          <w:sz w:val="28"/>
          <w:szCs w:val="28"/>
          <w:highlight w:val="none"/>
          <w:lang w:val="en-US" w:eastAsia="zh-CN"/>
        </w:rPr>
        <w:t>无</w:t>
      </w:r>
      <w:r>
        <w:rPr>
          <w:rFonts w:hint="eastAsia" w:asciiTheme="minorEastAsia" w:hAnsiTheme="minorEastAsia" w:eastAsiaTheme="minorEastAsia"/>
          <w:color w:val="auto"/>
          <w:sz w:val="28"/>
          <w:szCs w:val="28"/>
          <w:highlight w:val="none"/>
        </w:rPr>
        <w:t>杂物，水流畅通；</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h、阀门开关灵活、有效，无锈蚀、渗漏；</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i、止回阀启闭灵活、有效，无水回流，外观完好；</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j、消防栓系统管网外观完好，无变形、无锈蚀、脱漆和渗漏。</w:t>
      </w:r>
    </w:p>
    <w:p>
      <w:pPr>
        <w:spacing w:line="560" w:lineRule="exact"/>
        <w:ind w:firstLine="562" w:firstLineChars="2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（2）火灾报警系统</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①维修保养内容</w:t>
      </w:r>
    </w:p>
    <w:p>
      <w:pPr>
        <w:spacing w:line="56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a</w:t>
      </w:r>
      <w:r>
        <w:rPr>
          <w:rFonts w:hint="eastAsia" w:asciiTheme="minorEastAsia" w:hAnsiTheme="minorEastAsia" w:eastAsiaTheme="minorEastAsia"/>
          <w:color w:val="auto"/>
          <w:sz w:val="28"/>
          <w:szCs w:val="28"/>
          <w:highlight w:val="none"/>
        </w:rPr>
        <w:t>、检查烟、温感探测器、警铃、破玻按钮、模块的外部是否有遮挡物，设备是否松动，各探头、模块的工作状态是否正常，警铃蜂鸣是否鸣响；</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b、检查主控控屏、充电器、打印机的工作状态是否正常，有否故障报警；</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c、试报手报按钮报警，本层及其上、下各一层警铃是否动作鸣响，消防中心显示报警区域是否准确；</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d、检查所有控制线、线管、线槽和各控制盘的线脱；</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e、检查系统设备所有接线端子是否松动、破损和脱落；</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f、定期对备用电源进行</w:t>
      </w:r>
      <w:r>
        <w:rPr>
          <w:rFonts w:asciiTheme="minorEastAsia" w:hAnsiTheme="minorEastAsia" w:eastAsiaTheme="minorEastAsia"/>
          <w:color w:val="auto"/>
          <w:sz w:val="28"/>
          <w:szCs w:val="28"/>
          <w:highlight w:val="none"/>
        </w:rPr>
        <w:t>1-3</w:t>
      </w:r>
      <w:r>
        <w:rPr>
          <w:rFonts w:hint="eastAsia" w:asciiTheme="minorEastAsia" w:hAnsiTheme="minorEastAsia" w:eastAsiaTheme="minorEastAsia"/>
          <w:color w:val="auto"/>
          <w:sz w:val="28"/>
          <w:szCs w:val="28"/>
          <w:highlight w:val="none"/>
        </w:rPr>
        <w:t>次主和备用电源自动切换试验；</w:t>
      </w:r>
    </w:p>
    <w:p>
      <w:pPr>
        <w:spacing w:line="56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g</w:t>
      </w:r>
      <w:r>
        <w:rPr>
          <w:rFonts w:hint="eastAsia" w:asciiTheme="minorEastAsia" w:hAnsiTheme="minorEastAsia" w:eastAsiaTheme="minorEastAsia"/>
          <w:color w:val="auto"/>
          <w:sz w:val="28"/>
          <w:szCs w:val="28"/>
          <w:highlight w:val="none"/>
        </w:rPr>
        <w:t>、检查工作电池组、充电器的工作状态，备用电池的连续状态；</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h、对主控屏、充电器的内部进行全面清洁；</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i、对该系统的烟、温感探头进行外观清洁；</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j、对监视模块、控制模块、反馈模块检查；</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k、根据甲方要求对现有烟、温感探测器、警铃、破玻按钮进行</w:t>
      </w:r>
      <w:r>
        <w:rPr>
          <w:rFonts w:hint="eastAsia" w:asciiTheme="minorEastAsia" w:hAnsiTheme="minorEastAsia" w:eastAsiaTheme="minorEastAsia"/>
          <w:color w:val="auto"/>
          <w:sz w:val="28"/>
          <w:szCs w:val="28"/>
          <w:highlight w:val="none"/>
          <w:lang w:val="en-US" w:eastAsia="zh-CN"/>
        </w:rPr>
        <w:t>个别</w:t>
      </w:r>
      <w:r>
        <w:rPr>
          <w:rFonts w:hint="eastAsia" w:asciiTheme="minorEastAsia" w:hAnsiTheme="minorEastAsia" w:eastAsiaTheme="minorEastAsia"/>
          <w:color w:val="auto"/>
          <w:sz w:val="28"/>
          <w:szCs w:val="28"/>
          <w:highlight w:val="none"/>
        </w:rPr>
        <w:t>调整以满足现场生产需要；</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lang w:val="en-US" w:eastAsia="zh-CN"/>
        </w:rPr>
        <w:t>l</w:t>
      </w:r>
      <w:r>
        <w:rPr>
          <w:rFonts w:hint="eastAsia" w:asciiTheme="minorEastAsia" w:hAnsiTheme="minorEastAsia" w:eastAsiaTheme="minorEastAsia"/>
          <w:color w:val="auto"/>
          <w:sz w:val="28"/>
          <w:szCs w:val="28"/>
          <w:highlight w:val="none"/>
        </w:rPr>
        <w:t>、根据烟、温感探测器、警铃、破玻按钮、等模块的现场位置和编号以及提供的原设计图纸，进行图纸核对并在维保初期</w:t>
      </w:r>
      <w:r>
        <w:rPr>
          <w:rFonts w:asciiTheme="minorEastAsia" w:hAnsiTheme="minorEastAsia" w:eastAsiaTheme="minorEastAsia"/>
          <w:color w:val="auto"/>
          <w:sz w:val="28"/>
          <w:szCs w:val="28"/>
          <w:highlight w:val="none"/>
        </w:rPr>
        <w:t>3</w:t>
      </w:r>
      <w:r>
        <w:rPr>
          <w:rFonts w:hint="eastAsia" w:asciiTheme="minorEastAsia" w:hAnsiTheme="minorEastAsia" w:eastAsiaTheme="minorEastAsia"/>
          <w:color w:val="auto"/>
          <w:sz w:val="28"/>
          <w:szCs w:val="28"/>
          <w:highlight w:val="none"/>
        </w:rPr>
        <w:t>个月内提交核对后的图纸。</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②维修保养达到的效果</w:t>
      </w:r>
    </w:p>
    <w:p>
      <w:pPr>
        <w:spacing w:line="56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a</w:t>
      </w:r>
      <w:r>
        <w:rPr>
          <w:rFonts w:hint="eastAsia" w:asciiTheme="minorEastAsia" w:hAnsiTheme="minorEastAsia" w:eastAsiaTheme="minorEastAsia"/>
          <w:color w:val="auto"/>
          <w:sz w:val="28"/>
          <w:szCs w:val="28"/>
          <w:highlight w:val="none"/>
        </w:rPr>
        <w:t>、探测器动作灵敏，报警准确；</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b、主控屏工作正常，正常显示报警区域和输出联动信号；</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c、手报按钮动作灵敏，报警准确，联动功能正常；</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d、主控屏和联动控制屏外观完好、清洁，各输入、输出显示功能正常；</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e、界面（模块）各项参数正常，与外围设备的通信、控制信号正常；</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f、电池组的电压及其他参数正常，供电稳定、可靠；</w:t>
      </w:r>
    </w:p>
    <w:p>
      <w:pPr>
        <w:spacing w:line="56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g</w:t>
      </w:r>
      <w:r>
        <w:rPr>
          <w:rFonts w:hint="eastAsia" w:asciiTheme="minorEastAsia" w:hAnsiTheme="minorEastAsia" w:eastAsiaTheme="minorEastAsia"/>
          <w:color w:val="auto"/>
          <w:sz w:val="28"/>
          <w:szCs w:val="28"/>
          <w:highlight w:val="none"/>
        </w:rPr>
        <w:t>、系统设备所有接线牢固，无松动、破损</w:t>
      </w:r>
      <w:r>
        <w:rPr>
          <w:rFonts w:hint="eastAsia" w:asciiTheme="minorEastAsia" w:hAnsiTheme="minorEastAsia" w:eastAsiaTheme="minorEastAsia"/>
          <w:color w:val="auto"/>
          <w:sz w:val="28"/>
          <w:szCs w:val="28"/>
          <w:highlight w:val="none"/>
          <w:lang w:val="en-US" w:eastAsia="zh-CN"/>
        </w:rPr>
        <w:t>或</w:t>
      </w:r>
      <w:r>
        <w:rPr>
          <w:rFonts w:hint="eastAsia" w:asciiTheme="minorEastAsia" w:hAnsiTheme="minorEastAsia" w:eastAsiaTheme="minorEastAsia"/>
          <w:color w:val="auto"/>
          <w:sz w:val="28"/>
          <w:szCs w:val="28"/>
          <w:highlight w:val="none"/>
        </w:rPr>
        <w:t>脱落；</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h、主、备电源自动切换功能正常；</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i、探测器外观完好，内部清洁，功能正常；</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j、报警主机控制程序正常，各项功能正常。</w:t>
      </w:r>
    </w:p>
    <w:p>
      <w:pPr>
        <w:spacing w:line="560" w:lineRule="exact"/>
        <w:ind w:firstLine="562" w:firstLineChars="2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（3）消防联动控制系统</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①维修保养内容</w:t>
      </w:r>
    </w:p>
    <w:p>
      <w:pPr>
        <w:spacing w:line="56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a</w:t>
      </w:r>
      <w:r>
        <w:rPr>
          <w:rFonts w:hint="eastAsia" w:asciiTheme="minorEastAsia" w:hAnsiTheme="minorEastAsia" w:eastAsiaTheme="minorEastAsia"/>
          <w:color w:val="auto"/>
          <w:sz w:val="28"/>
          <w:szCs w:val="28"/>
          <w:highlight w:val="none"/>
        </w:rPr>
        <w:t>、检查消防水泵的联动控制及显示情况；</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b、检测消防广播系统；</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c、检测消防电话系统；</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d、重点培训冷站运行操作人员对于联动控制的操作原理和操作要领。</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②维修保养达到的效果</w:t>
      </w:r>
    </w:p>
    <w:p>
      <w:pPr>
        <w:spacing w:line="56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a</w:t>
      </w:r>
      <w:r>
        <w:rPr>
          <w:rFonts w:hint="eastAsia" w:asciiTheme="minorEastAsia" w:hAnsiTheme="minorEastAsia" w:eastAsiaTheme="minorEastAsia"/>
          <w:color w:val="auto"/>
          <w:sz w:val="28"/>
          <w:szCs w:val="28"/>
          <w:highlight w:val="none"/>
        </w:rPr>
        <w:t>、消防水泵的联动控制正常；</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b、联动控制柜的内部线路的检测正常，程序正确；</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c、消防广播系统工作正常；</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d、消防电话系统工作正常。</w:t>
      </w:r>
    </w:p>
    <w:p>
      <w:pPr>
        <w:spacing w:line="560" w:lineRule="exact"/>
        <w:ind w:firstLine="562" w:firstLineChars="200"/>
        <w:rPr>
          <w:rFonts w:cs="宋体"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4、消防</w:t>
      </w:r>
      <w:r>
        <w:rPr>
          <w:rFonts w:hint="eastAsia" w:cs="宋体" w:asciiTheme="minorEastAsia" w:hAnsiTheme="minorEastAsia" w:eastAsiaTheme="minorEastAsia"/>
          <w:b/>
          <w:color w:val="auto"/>
          <w:sz w:val="28"/>
          <w:szCs w:val="28"/>
          <w:highlight w:val="none"/>
        </w:rPr>
        <w:t>系统设备维修保养日常要求</w:t>
      </w:r>
    </w:p>
    <w:p>
      <w:pPr>
        <w:spacing w:line="560" w:lineRule="exact"/>
        <w:ind w:firstLine="560" w:firstLineChars="200"/>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lang w:val="en-US" w:eastAsia="zh-CN"/>
        </w:rPr>
        <w:t>消防维保单位</w:t>
      </w:r>
      <w:r>
        <w:rPr>
          <w:rFonts w:hint="eastAsia" w:asciiTheme="minorEastAsia" w:hAnsiTheme="minorEastAsia" w:eastAsiaTheme="minorEastAsia"/>
          <w:color w:val="auto"/>
          <w:sz w:val="28"/>
          <w:szCs w:val="28"/>
          <w:highlight w:val="none"/>
        </w:rPr>
        <w:t>安排人员定期对广州大学供冷站，巡查周期分为例行巡检、月检查、季度测试，</w:t>
      </w:r>
      <w:r>
        <w:rPr>
          <w:rFonts w:hint="eastAsia" w:asciiTheme="minorEastAsia" w:hAnsiTheme="minorEastAsia" w:eastAsiaTheme="minorEastAsia"/>
          <w:color w:val="auto"/>
          <w:sz w:val="28"/>
          <w:szCs w:val="28"/>
          <w:highlight w:val="none"/>
          <w:lang w:val="en-US" w:eastAsia="zh-CN"/>
        </w:rPr>
        <w:t>消防维保单位</w:t>
      </w:r>
      <w:r>
        <w:rPr>
          <w:rFonts w:hint="eastAsia" w:asciiTheme="minorEastAsia" w:hAnsiTheme="minorEastAsia" w:eastAsiaTheme="minorEastAsia"/>
          <w:color w:val="auto"/>
          <w:sz w:val="28"/>
          <w:szCs w:val="28"/>
          <w:highlight w:val="none"/>
        </w:rPr>
        <w:t>每两周安排技术人员到现场进行巡查，每季度对系统做一次全面检查测试，并做好巡检记录。节假日前后应对系统进行重点检查，及时掌握系统的运行状况，消除系统隐患。如下表：</w:t>
      </w:r>
    </w:p>
    <w:tbl>
      <w:tblPr>
        <w:tblStyle w:val="15"/>
        <w:tblW w:w="90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496"/>
        <w:gridCol w:w="4224"/>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32" w:type="dxa"/>
            <w:gridSpan w:val="2"/>
            <w:vAlign w:val="center"/>
          </w:tcPr>
          <w:p>
            <w:pPr>
              <w:adjustRightInd w:val="0"/>
              <w:snapToGrid w:val="0"/>
              <w:spacing w:line="360" w:lineRule="auto"/>
              <w:jc w:val="left"/>
              <w:rPr>
                <w:rFonts w:ascii="仿宋_GB2312" w:eastAsia="仿宋_GB2312" w:hAnsiTheme="minorEastAsia"/>
                <w:b/>
                <w:sz w:val="24"/>
                <w:highlight w:val="none"/>
              </w:rPr>
            </w:pPr>
            <w:r>
              <w:rPr>
                <w:rFonts w:hint="eastAsia" w:ascii="仿宋_GB2312" w:eastAsia="仿宋_GB2312" w:hAnsiTheme="minorEastAsia"/>
                <w:b/>
                <w:sz w:val="24"/>
                <w:highlight w:val="none"/>
              </w:rPr>
              <w:t>项目</w:t>
            </w:r>
          </w:p>
        </w:tc>
        <w:tc>
          <w:tcPr>
            <w:tcW w:w="4224" w:type="dxa"/>
            <w:vAlign w:val="center"/>
          </w:tcPr>
          <w:p>
            <w:pPr>
              <w:adjustRightInd w:val="0"/>
              <w:snapToGrid w:val="0"/>
              <w:spacing w:line="360" w:lineRule="auto"/>
              <w:jc w:val="left"/>
              <w:rPr>
                <w:rFonts w:ascii="仿宋_GB2312" w:eastAsia="仿宋_GB2312" w:hAnsiTheme="minorEastAsia"/>
                <w:b/>
                <w:sz w:val="24"/>
                <w:highlight w:val="none"/>
              </w:rPr>
            </w:pPr>
            <w:r>
              <w:rPr>
                <w:rFonts w:hint="eastAsia" w:ascii="仿宋_GB2312" w:eastAsia="仿宋_GB2312" w:hAnsiTheme="minorEastAsia"/>
                <w:b/>
                <w:sz w:val="24"/>
                <w:highlight w:val="none"/>
              </w:rPr>
              <w:t>内容</w:t>
            </w:r>
          </w:p>
        </w:tc>
        <w:tc>
          <w:tcPr>
            <w:tcW w:w="1147" w:type="dxa"/>
            <w:vAlign w:val="center"/>
          </w:tcPr>
          <w:p>
            <w:pPr>
              <w:adjustRightInd w:val="0"/>
              <w:snapToGrid w:val="0"/>
              <w:spacing w:line="360" w:lineRule="auto"/>
              <w:jc w:val="left"/>
              <w:rPr>
                <w:rFonts w:ascii="仿宋_GB2312" w:eastAsia="仿宋_GB2312" w:hAnsiTheme="minorEastAsia"/>
                <w:b/>
                <w:sz w:val="24"/>
                <w:highlight w:val="none"/>
              </w:rPr>
            </w:pPr>
            <w:r>
              <w:rPr>
                <w:rFonts w:hint="eastAsia" w:ascii="仿宋_GB2312" w:eastAsia="仿宋_GB2312" w:hAnsiTheme="minorEastAsia"/>
                <w:b/>
                <w:sz w:val="24"/>
                <w:highlight w:val="none"/>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Align w:val="center"/>
          </w:tcPr>
          <w:p>
            <w:pPr>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消防供电备电</w:t>
            </w:r>
          </w:p>
        </w:tc>
        <w:tc>
          <w:tcPr>
            <w:tcW w:w="2496" w:type="dxa"/>
            <w:vAlign w:val="center"/>
          </w:tcPr>
          <w:p>
            <w:pPr>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消防配电</w:t>
            </w:r>
          </w:p>
        </w:tc>
        <w:tc>
          <w:tcPr>
            <w:tcW w:w="4224" w:type="dxa"/>
            <w:vAlign w:val="center"/>
          </w:tcPr>
          <w:p>
            <w:pPr>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主、备电切换功能</w:t>
            </w:r>
          </w:p>
        </w:tc>
        <w:tc>
          <w:tcPr>
            <w:tcW w:w="1147" w:type="dxa"/>
            <w:vAlign w:val="center"/>
          </w:tcPr>
          <w:p>
            <w:pPr>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每两周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1136" w:type="dxa"/>
            <w:vMerge w:val="restart"/>
            <w:vAlign w:val="center"/>
          </w:tcPr>
          <w:p>
            <w:pPr>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火灾报警系统</w:t>
            </w:r>
          </w:p>
        </w:tc>
        <w:tc>
          <w:tcPr>
            <w:tcW w:w="2496" w:type="dxa"/>
            <w:vAlign w:val="center"/>
          </w:tcPr>
          <w:p>
            <w:pPr>
              <w:adjustRightInd w:val="0"/>
              <w:snapToGrid w:val="0"/>
              <w:spacing w:line="360" w:lineRule="auto"/>
              <w:ind w:firstLine="120" w:firstLineChars="50"/>
              <w:jc w:val="left"/>
              <w:rPr>
                <w:rFonts w:ascii="仿宋_GB2312" w:eastAsia="仿宋_GB2312" w:hAnsiTheme="minorEastAsia"/>
                <w:sz w:val="24"/>
                <w:highlight w:val="none"/>
              </w:rPr>
            </w:pPr>
            <w:r>
              <w:rPr>
                <w:rFonts w:hint="eastAsia" w:ascii="仿宋_GB2312" w:eastAsia="仿宋_GB2312" w:hAnsiTheme="minorEastAsia"/>
                <w:sz w:val="24"/>
                <w:highlight w:val="none"/>
              </w:rPr>
              <w:t>烟、温感探测器</w:t>
            </w:r>
          </w:p>
        </w:tc>
        <w:tc>
          <w:tcPr>
            <w:tcW w:w="4224" w:type="dxa"/>
            <w:vAlign w:val="center"/>
          </w:tcPr>
          <w:p>
            <w:pPr>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报警功能、故障报警功能、火警优先功能、打印机打印功能、火灾显示屏显示功能、CRT显示器显示功能</w:t>
            </w:r>
          </w:p>
        </w:tc>
        <w:tc>
          <w:tcPr>
            <w:tcW w:w="1147" w:type="dxa"/>
            <w:vAlign w:val="center"/>
          </w:tcPr>
          <w:p>
            <w:pPr>
              <w:widowControl/>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每两周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36" w:type="dxa"/>
            <w:vMerge w:val="continue"/>
            <w:vAlign w:val="center"/>
          </w:tcPr>
          <w:p>
            <w:pPr>
              <w:adjustRightInd w:val="0"/>
              <w:snapToGrid w:val="0"/>
              <w:spacing w:line="360" w:lineRule="auto"/>
              <w:ind w:firstLine="120" w:firstLineChars="50"/>
              <w:jc w:val="left"/>
              <w:rPr>
                <w:rFonts w:ascii="仿宋_GB2312" w:eastAsia="仿宋_GB2312" w:hAnsiTheme="minorEastAsia"/>
                <w:sz w:val="24"/>
                <w:highlight w:val="none"/>
              </w:rPr>
            </w:pPr>
          </w:p>
        </w:tc>
        <w:tc>
          <w:tcPr>
            <w:tcW w:w="2496" w:type="dxa"/>
            <w:vAlign w:val="center"/>
          </w:tcPr>
          <w:p>
            <w:pPr>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报警装置</w:t>
            </w:r>
          </w:p>
        </w:tc>
        <w:tc>
          <w:tcPr>
            <w:tcW w:w="4224" w:type="dxa"/>
            <w:vAlign w:val="center"/>
          </w:tcPr>
          <w:p>
            <w:pPr>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报警功能及外观</w:t>
            </w:r>
          </w:p>
        </w:tc>
        <w:tc>
          <w:tcPr>
            <w:tcW w:w="1147" w:type="dxa"/>
            <w:vAlign w:val="center"/>
          </w:tcPr>
          <w:p>
            <w:pPr>
              <w:widowControl/>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每两周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36" w:type="dxa"/>
            <w:vMerge w:val="continue"/>
            <w:vAlign w:val="center"/>
          </w:tcPr>
          <w:p>
            <w:pPr>
              <w:adjustRightInd w:val="0"/>
              <w:snapToGrid w:val="0"/>
              <w:spacing w:line="360" w:lineRule="auto"/>
              <w:ind w:firstLine="120" w:firstLineChars="50"/>
              <w:jc w:val="left"/>
              <w:rPr>
                <w:rFonts w:ascii="仿宋_GB2312" w:eastAsia="仿宋_GB2312" w:hAnsiTheme="minorEastAsia"/>
                <w:sz w:val="24"/>
                <w:highlight w:val="none"/>
              </w:rPr>
            </w:pPr>
          </w:p>
        </w:tc>
        <w:tc>
          <w:tcPr>
            <w:tcW w:w="2496" w:type="dxa"/>
            <w:vAlign w:val="center"/>
          </w:tcPr>
          <w:p>
            <w:pPr>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手动报警按钮</w:t>
            </w:r>
          </w:p>
        </w:tc>
        <w:tc>
          <w:tcPr>
            <w:tcW w:w="4224" w:type="dxa"/>
            <w:vAlign w:val="center"/>
          </w:tcPr>
          <w:p>
            <w:pPr>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报警功能及外观</w:t>
            </w:r>
          </w:p>
        </w:tc>
        <w:tc>
          <w:tcPr>
            <w:tcW w:w="1147" w:type="dxa"/>
            <w:vAlign w:val="center"/>
          </w:tcPr>
          <w:p>
            <w:pPr>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每两周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136" w:type="dxa"/>
            <w:vMerge w:val="continue"/>
            <w:vAlign w:val="center"/>
          </w:tcPr>
          <w:p>
            <w:pPr>
              <w:adjustRightInd w:val="0"/>
              <w:snapToGrid w:val="0"/>
              <w:spacing w:line="360" w:lineRule="auto"/>
              <w:ind w:firstLine="120" w:firstLineChars="50"/>
              <w:jc w:val="left"/>
              <w:rPr>
                <w:rFonts w:ascii="仿宋_GB2312" w:eastAsia="仿宋_GB2312" w:hAnsiTheme="minorEastAsia"/>
                <w:sz w:val="24"/>
                <w:highlight w:val="none"/>
              </w:rPr>
            </w:pPr>
          </w:p>
        </w:tc>
        <w:tc>
          <w:tcPr>
            <w:tcW w:w="2496" w:type="dxa"/>
            <w:vAlign w:val="center"/>
          </w:tcPr>
          <w:p>
            <w:pPr>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火灾报警探测器</w:t>
            </w:r>
          </w:p>
        </w:tc>
        <w:tc>
          <w:tcPr>
            <w:tcW w:w="4224" w:type="dxa"/>
            <w:vAlign w:val="center"/>
          </w:tcPr>
          <w:p>
            <w:pPr>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各类烟感和光感报警功能</w:t>
            </w:r>
          </w:p>
        </w:tc>
        <w:tc>
          <w:tcPr>
            <w:tcW w:w="1147" w:type="dxa"/>
            <w:vAlign w:val="center"/>
          </w:tcPr>
          <w:p>
            <w:pPr>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每两周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restart"/>
            <w:vAlign w:val="center"/>
          </w:tcPr>
          <w:p>
            <w:pPr>
              <w:adjustRightInd w:val="0"/>
              <w:snapToGrid w:val="0"/>
              <w:spacing w:line="360" w:lineRule="auto"/>
              <w:ind w:left="120" w:hanging="120" w:hangingChars="50"/>
              <w:jc w:val="left"/>
              <w:rPr>
                <w:rFonts w:ascii="仿宋_GB2312" w:eastAsia="仿宋_GB2312" w:hAnsiTheme="minorEastAsia"/>
                <w:sz w:val="24"/>
                <w:highlight w:val="none"/>
              </w:rPr>
            </w:pPr>
            <w:r>
              <w:rPr>
                <w:rFonts w:hint="eastAsia" w:ascii="仿宋_GB2312" w:eastAsia="仿宋_GB2312" w:hAnsiTheme="minorEastAsia"/>
                <w:sz w:val="24"/>
                <w:highlight w:val="none"/>
              </w:rPr>
              <w:t>消防栓系统</w:t>
            </w:r>
          </w:p>
        </w:tc>
        <w:tc>
          <w:tcPr>
            <w:tcW w:w="2496" w:type="dxa"/>
            <w:vAlign w:val="center"/>
          </w:tcPr>
          <w:p>
            <w:pPr>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室内消防栓</w:t>
            </w:r>
          </w:p>
        </w:tc>
        <w:tc>
          <w:tcPr>
            <w:tcW w:w="4224" w:type="dxa"/>
            <w:vAlign w:val="center"/>
          </w:tcPr>
          <w:p>
            <w:pPr>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出水及静压状况</w:t>
            </w:r>
          </w:p>
        </w:tc>
        <w:tc>
          <w:tcPr>
            <w:tcW w:w="1147" w:type="dxa"/>
            <w:vAlign w:val="center"/>
          </w:tcPr>
          <w:p>
            <w:pPr>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每两周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continue"/>
            <w:vAlign w:val="center"/>
          </w:tcPr>
          <w:p>
            <w:pPr>
              <w:adjustRightInd w:val="0"/>
              <w:snapToGrid w:val="0"/>
              <w:spacing w:line="360" w:lineRule="auto"/>
              <w:jc w:val="left"/>
              <w:rPr>
                <w:rFonts w:ascii="仿宋_GB2312" w:eastAsia="仿宋_GB2312" w:hAnsiTheme="minorEastAsia"/>
                <w:sz w:val="24"/>
                <w:highlight w:val="none"/>
              </w:rPr>
            </w:pPr>
          </w:p>
        </w:tc>
        <w:tc>
          <w:tcPr>
            <w:tcW w:w="2496" w:type="dxa"/>
            <w:vAlign w:val="center"/>
          </w:tcPr>
          <w:p>
            <w:pPr>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室外消防栓</w:t>
            </w:r>
          </w:p>
        </w:tc>
        <w:tc>
          <w:tcPr>
            <w:tcW w:w="4224" w:type="dxa"/>
            <w:vAlign w:val="center"/>
          </w:tcPr>
          <w:p>
            <w:pPr>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出水及静压状况</w:t>
            </w:r>
          </w:p>
        </w:tc>
        <w:tc>
          <w:tcPr>
            <w:tcW w:w="1147" w:type="dxa"/>
            <w:vAlign w:val="center"/>
          </w:tcPr>
          <w:p>
            <w:pPr>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每两周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continue"/>
            <w:vAlign w:val="center"/>
          </w:tcPr>
          <w:p>
            <w:pPr>
              <w:adjustRightInd w:val="0"/>
              <w:snapToGrid w:val="0"/>
              <w:spacing w:line="360" w:lineRule="auto"/>
              <w:jc w:val="left"/>
              <w:rPr>
                <w:rFonts w:ascii="仿宋_GB2312" w:eastAsia="仿宋_GB2312" w:hAnsiTheme="minorEastAsia"/>
                <w:sz w:val="24"/>
                <w:highlight w:val="none"/>
              </w:rPr>
            </w:pPr>
          </w:p>
        </w:tc>
        <w:tc>
          <w:tcPr>
            <w:tcW w:w="2496" w:type="dxa"/>
            <w:vAlign w:val="center"/>
          </w:tcPr>
          <w:p>
            <w:pPr>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启泵按钮</w:t>
            </w:r>
          </w:p>
        </w:tc>
        <w:tc>
          <w:tcPr>
            <w:tcW w:w="4224" w:type="dxa"/>
            <w:vAlign w:val="center"/>
          </w:tcPr>
          <w:p>
            <w:pPr>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远距离启泵功能</w:t>
            </w:r>
          </w:p>
        </w:tc>
        <w:tc>
          <w:tcPr>
            <w:tcW w:w="1147" w:type="dxa"/>
            <w:vAlign w:val="center"/>
          </w:tcPr>
          <w:p>
            <w:pPr>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每两周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Align w:val="center"/>
          </w:tcPr>
          <w:p>
            <w:pPr>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应急照明</w:t>
            </w:r>
          </w:p>
        </w:tc>
        <w:tc>
          <w:tcPr>
            <w:tcW w:w="2496" w:type="dxa"/>
            <w:vAlign w:val="center"/>
          </w:tcPr>
          <w:p>
            <w:pPr>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消防应急灯</w:t>
            </w:r>
          </w:p>
        </w:tc>
        <w:tc>
          <w:tcPr>
            <w:tcW w:w="4224" w:type="dxa"/>
            <w:vAlign w:val="center"/>
          </w:tcPr>
          <w:p>
            <w:pPr>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断电时供电及照度状况</w:t>
            </w:r>
          </w:p>
        </w:tc>
        <w:tc>
          <w:tcPr>
            <w:tcW w:w="1147" w:type="dxa"/>
            <w:vAlign w:val="center"/>
          </w:tcPr>
          <w:p>
            <w:pPr>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每两周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restart"/>
            <w:vAlign w:val="center"/>
          </w:tcPr>
          <w:p>
            <w:pPr>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消防应急广播系统</w:t>
            </w:r>
          </w:p>
        </w:tc>
        <w:tc>
          <w:tcPr>
            <w:tcW w:w="2496" w:type="dxa"/>
            <w:vAlign w:val="center"/>
          </w:tcPr>
          <w:p>
            <w:pPr>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扩音器</w:t>
            </w:r>
          </w:p>
        </w:tc>
        <w:tc>
          <w:tcPr>
            <w:tcW w:w="4224" w:type="dxa"/>
            <w:vAlign w:val="center"/>
          </w:tcPr>
          <w:p>
            <w:pPr>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联动启动和强制切换功能</w:t>
            </w:r>
          </w:p>
        </w:tc>
        <w:tc>
          <w:tcPr>
            <w:tcW w:w="1147" w:type="dxa"/>
            <w:vAlign w:val="center"/>
          </w:tcPr>
          <w:p>
            <w:pPr>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每季度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continue"/>
            <w:vAlign w:val="center"/>
          </w:tcPr>
          <w:p>
            <w:pPr>
              <w:adjustRightInd w:val="0"/>
              <w:snapToGrid w:val="0"/>
              <w:spacing w:line="360" w:lineRule="auto"/>
              <w:jc w:val="left"/>
              <w:rPr>
                <w:rFonts w:ascii="仿宋_GB2312" w:eastAsia="仿宋_GB2312" w:hAnsiTheme="minorEastAsia"/>
                <w:sz w:val="24"/>
                <w:highlight w:val="none"/>
              </w:rPr>
            </w:pPr>
          </w:p>
        </w:tc>
        <w:tc>
          <w:tcPr>
            <w:tcW w:w="2496" w:type="dxa"/>
            <w:vAlign w:val="center"/>
          </w:tcPr>
          <w:p>
            <w:pPr>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扬声器及对讲话筒</w:t>
            </w:r>
          </w:p>
        </w:tc>
        <w:tc>
          <w:tcPr>
            <w:tcW w:w="4224" w:type="dxa"/>
            <w:vAlign w:val="center"/>
          </w:tcPr>
          <w:p>
            <w:pPr>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音质和音量</w:t>
            </w:r>
          </w:p>
        </w:tc>
        <w:tc>
          <w:tcPr>
            <w:tcW w:w="1147" w:type="dxa"/>
            <w:vAlign w:val="center"/>
          </w:tcPr>
          <w:p>
            <w:pPr>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每季度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32" w:type="dxa"/>
            <w:gridSpan w:val="2"/>
            <w:vAlign w:val="center"/>
          </w:tcPr>
          <w:p>
            <w:pPr>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消防专用电话</w:t>
            </w:r>
          </w:p>
        </w:tc>
        <w:tc>
          <w:tcPr>
            <w:tcW w:w="4224" w:type="dxa"/>
            <w:vAlign w:val="center"/>
          </w:tcPr>
          <w:p>
            <w:pPr>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通话质量</w:t>
            </w:r>
          </w:p>
        </w:tc>
        <w:tc>
          <w:tcPr>
            <w:tcW w:w="1147" w:type="dxa"/>
            <w:vAlign w:val="center"/>
          </w:tcPr>
          <w:p>
            <w:pPr>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每季度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32" w:type="dxa"/>
            <w:gridSpan w:val="2"/>
            <w:vAlign w:val="center"/>
          </w:tcPr>
          <w:p>
            <w:pPr>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其它</w:t>
            </w:r>
          </w:p>
        </w:tc>
        <w:tc>
          <w:tcPr>
            <w:tcW w:w="4224" w:type="dxa"/>
            <w:vAlign w:val="center"/>
          </w:tcPr>
          <w:p>
            <w:pPr>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维护系统正常，达到指定效果</w:t>
            </w:r>
          </w:p>
        </w:tc>
        <w:tc>
          <w:tcPr>
            <w:tcW w:w="1147" w:type="dxa"/>
            <w:vAlign w:val="center"/>
          </w:tcPr>
          <w:p>
            <w:pPr>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每季度</w:t>
            </w:r>
          </w:p>
        </w:tc>
      </w:tr>
    </w:tbl>
    <w:p>
      <w:pPr>
        <w:spacing w:line="560" w:lineRule="exact"/>
        <w:ind w:firstLine="560" w:firstLineChars="200"/>
        <w:rPr>
          <w:rFonts w:asciiTheme="minorEastAsia" w:hAnsiTheme="minorEastAsia" w:eastAsiaTheme="minorEastAsia"/>
          <w:color w:val="auto"/>
          <w:sz w:val="28"/>
          <w:szCs w:val="28"/>
          <w:highlight w:val="none"/>
        </w:rPr>
      </w:pPr>
    </w:p>
    <w:p>
      <w:pPr>
        <w:spacing w:line="560" w:lineRule="exact"/>
        <w:ind w:firstLine="562" w:firstLineChars="2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（二）广州大学城信息枢纽楼</w:t>
      </w:r>
      <w:r>
        <w:rPr>
          <w:rFonts w:hint="eastAsia" w:asciiTheme="minorEastAsia" w:hAnsiTheme="minorEastAsia" w:eastAsiaTheme="minorEastAsia"/>
          <w:b/>
          <w:color w:val="auto"/>
          <w:sz w:val="28"/>
          <w:szCs w:val="28"/>
          <w:highlight w:val="none"/>
          <w:lang w:eastAsia="zh-CN"/>
        </w:rPr>
        <w:t>、</w:t>
      </w:r>
      <w:r>
        <w:rPr>
          <w:rFonts w:hint="eastAsia" w:asciiTheme="minorEastAsia" w:hAnsiTheme="minorEastAsia" w:eastAsiaTheme="minorEastAsia"/>
          <w:b/>
          <w:color w:val="auto"/>
          <w:sz w:val="28"/>
          <w:szCs w:val="28"/>
          <w:highlight w:val="none"/>
          <w:lang w:val="en-US" w:eastAsia="zh-CN"/>
        </w:rPr>
        <w:t>综合管沟、过江隧道</w:t>
      </w:r>
      <w:r>
        <w:rPr>
          <w:rFonts w:hint="eastAsia" w:asciiTheme="minorEastAsia" w:hAnsiTheme="minorEastAsia" w:eastAsiaTheme="minorEastAsia"/>
          <w:b/>
          <w:color w:val="auto"/>
          <w:sz w:val="28"/>
          <w:szCs w:val="28"/>
          <w:highlight w:val="none"/>
        </w:rPr>
        <w:t>消防维保</w:t>
      </w:r>
    </w:p>
    <w:p>
      <w:pPr>
        <w:spacing w:line="560" w:lineRule="exact"/>
        <w:ind w:firstLine="562" w:firstLineChars="200"/>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color w:val="auto"/>
          <w:sz w:val="28"/>
          <w:szCs w:val="28"/>
          <w:highlight w:val="none"/>
        </w:rPr>
        <w:t>1、</w:t>
      </w:r>
      <w:r>
        <w:rPr>
          <w:rFonts w:hint="eastAsia" w:asciiTheme="minorEastAsia" w:hAnsiTheme="minorEastAsia" w:eastAsiaTheme="minorEastAsia"/>
          <w:b/>
          <w:bCs/>
          <w:color w:val="auto"/>
          <w:sz w:val="28"/>
          <w:szCs w:val="28"/>
          <w:highlight w:val="none"/>
        </w:rPr>
        <w:t>项目内容</w:t>
      </w:r>
    </w:p>
    <w:p>
      <w:pPr>
        <w:spacing w:line="560" w:lineRule="exact"/>
        <w:ind w:firstLine="560" w:firstLineChars="200"/>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广州大学城内的大学城综合信息枢纽楼消防项目位于广州大学城内的大学城综合信息枢纽楼，大楼主楼建筑面积约4万平方米，副楼4000多平方米，消防报警系统按一类高层一级保护对象设计，大楼设一个消防控制中心，负责监控大楼及副楼内所有消防设备及联动控制。</w:t>
      </w:r>
    </w:p>
    <w:p>
      <w:pPr>
        <w:spacing w:line="560" w:lineRule="exact"/>
        <w:ind w:firstLine="560" w:firstLineChars="200"/>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color w:val="auto"/>
          <w:sz w:val="28"/>
          <w:szCs w:val="28"/>
          <w:highlight w:val="none"/>
        </w:rPr>
        <w:t>信息枢纽楼、综合管沟、过江隧道的消防系统维保内容：包括火灾自动报警系统、联动控制系统、消防广播系统、消防对讲系统、消防水系统（包括自动水喷淋）、通风系统、防火卷帘、感温光纤监控系统、高压电房七氟丙烷自动灭火系统等所有设备、管网、路线等进行检查、测试、维护、维修、更换、急修。</w:t>
      </w:r>
    </w:p>
    <w:p>
      <w:pPr>
        <w:spacing w:line="560" w:lineRule="exact"/>
        <w:ind w:firstLine="562" w:firstLineChars="200"/>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color w:val="auto"/>
          <w:sz w:val="28"/>
          <w:szCs w:val="28"/>
          <w:highlight w:val="none"/>
        </w:rPr>
        <w:t>2、</w:t>
      </w:r>
      <w:r>
        <w:rPr>
          <w:rFonts w:hint="eastAsia" w:asciiTheme="minorEastAsia" w:hAnsiTheme="minorEastAsia" w:eastAsiaTheme="minorEastAsia"/>
          <w:b/>
          <w:bCs/>
          <w:color w:val="auto"/>
          <w:sz w:val="28"/>
          <w:szCs w:val="28"/>
          <w:highlight w:val="none"/>
        </w:rPr>
        <w:t>项目实施地点</w:t>
      </w:r>
    </w:p>
    <w:p>
      <w:pPr>
        <w:spacing w:line="560" w:lineRule="exact"/>
        <w:ind w:firstLine="560" w:firstLineChars="200"/>
        <w:rPr>
          <w:rFonts w:hint="default" w:asciiTheme="minorEastAsia" w:hAnsiTheme="minorEastAsia" w:eastAsiaTheme="minorEastAsia"/>
          <w:color w:val="auto"/>
          <w:sz w:val="28"/>
          <w:szCs w:val="28"/>
          <w:highlight w:val="none"/>
          <w:lang w:val="en-US" w:eastAsia="zh-CN"/>
        </w:rPr>
      </w:pPr>
      <w:r>
        <w:rPr>
          <w:rFonts w:hint="eastAsia" w:asciiTheme="minorEastAsia" w:hAnsiTheme="minorEastAsia" w:eastAsiaTheme="minorEastAsia"/>
          <w:color w:val="auto"/>
          <w:sz w:val="28"/>
          <w:szCs w:val="28"/>
          <w:highlight w:val="none"/>
        </w:rPr>
        <w:t>广州大学城信息枢纽楼</w:t>
      </w:r>
      <w:r>
        <w:rPr>
          <w:rFonts w:hint="eastAsia" w:asciiTheme="minorEastAsia" w:hAnsiTheme="minorEastAsia" w:eastAsiaTheme="minorEastAsia"/>
          <w:color w:val="auto"/>
          <w:sz w:val="28"/>
          <w:szCs w:val="28"/>
          <w:highlight w:val="none"/>
          <w:lang w:eastAsia="zh-CN"/>
        </w:rPr>
        <w:t>、</w:t>
      </w:r>
      <w:r>
        <w:rPr>
          <w:rFonts w:hint="eastAsia" w:asciiTheme="minorEastAsia" w:hAnsiTheme="minorEastAsia" w:eastAsiaTheme="minorEastAsia"/>
          <w:color w:val="auto"/>
          <w:sz w:val="28"/>
          <w:szCs w:val="28"/>
          <w:highlight w:val="none"/>
          <w:lang w:val="en-US" w:eastAsia="zh-CN"/>
        </w:rPr>
        <w:t>综合管沟及过江隧道</w:t>
      </w:r>
    </w:p>
    <w:p>
      <w:pPr>
        <w:spacing w:line="560" w:lineRule="exact"/>
        <w:ind w:firstLine="562" w:firstLineChars="200"/>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color w:val="auto"/>
          <w:sz w:val="28"/>
          <w:szCs w:val="28"/>
          <w:highlight w:val="none"/>
        </w:rPr>
        <w:t>3、</w:t>
      </w:r>
      <w:r>
        <w:rPr>
          <w:rFonts w:hint="eastAsia" w:asciiTheme="minorEastAsia" w:hAnsiTheme="minorEastAsia" w:eastAsiaTheme="minorEastAsia"/>
          <w:b/>
          <w:bCs/>
          <w:color w:val="auto"/>
          <w:sz w:val="28"/>
          <w:szCs w:val="28"/>
          <w:highlight w:val="none"/>
        </w:rPr>
        <w:t>委托代管及维修保养内容及要求</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消防维保公司按要求对消防系统进行检测，检测项目包括：设备性能、联动功能、回路电压和电阻、水压、风压、气压、时间、烟感、手保、广播等是否达到规范要求，对各设备的质量和运行状况给予评价，每月对设备抽查率不少于10%，每年覆盖一次。</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（2）各系统消防维保服务内容见下表，消防维保公司对各系统进行检测并出具检测报告。</w:t>
      </w:r>
    </w:p>
    <w:p>
      <w:pPr>
        <w:spacing w:line="560" w:lineRule="exact"/>
        <w:ind w:firstLine="560" w:firstLineChars="200"/>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①火灾自动报警系统</w:t>
      </w:r>
    </w:p>
    <w:tbl>
      <w:tblPr>
        <w:tblStyle w:val="15"/>
        <w:tblW w:w="9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30"/>
        <w:gridCol w:w="567"/>
        <w:gridCol w:w="63"/>
        <w:gridCol w:w="1335"/>
        <w:gridCol w:w="2835"/>
        <w:gridCol w:w="630"/>
        <w:gridCol w:w="3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gridSpan w:val="2"/>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序号</w:t>
            </w:r>
          </w:p>
        </w:tc>
        <w:tc>
          <w:tcPr>
            <w:tcW w:w="567"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项目</w:t>
            </w:r>
          </w:p>
        </w:tc>
        <w:tc>
          <w:tcPr>
            <w:tcW w:w="4233" w:type="dxa"/>
            <w:gridSpan w:val="3"/>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工作内容</w:t>
            </w:r>
          </w:p>
        </w:tc>
        <w:tc>
          <w:tcPr>
            <w:tcW w:w="63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周期</w:t>
            </w:r>
          </w:p>
        </w:tc>
        <w:tc>
          <w:tcPr>
            <w:tcW w:w="322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1</w:t>
            </w:r>
          </w:p>
        </w:tc>
        <w:tc>
          <w:tcPr>
            <w:tcW w:w="660" w:type="dxa"/>
            <w:gridSpan w:val="3"/>
            <w:vMerge w:val="restart"/>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完好性检查</w:t>
            </w:r>
          </w:p>
        </w:tc>
        <w:tc>
          <w:tcPr>
            <w:tcW w:w="4170" w:type="dxa"/>
            <w:gridSpan w:val="2"/>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检查火灾报警主机、图文显示、消防联动控制台</w:t>
            </w:r>
          </w:p>
        </w:tc>
        <w:tc>
          <w:tcPr>
            <w:tcW w:w="63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月</w:t>
            </w:r>
          </w:p>
        </w:tc>
        <w:tc>
          <w:tcPr>
            <w:tcW w:w="322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工作环境正常，设备状态完好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2</w:t>
            </w:r>
          </w:p>
        </w:tc>
        <w:tc>
          <w:tcPr>
            <w:tcW w:w="660" w:type="dxa"/>
            <w:gridSpan w:val="3"/>
            <w:vMerge w:val="continue"/>
            <w:vAlign w:val="center"/>
          </w:tcPr>
          <w:p>
            <w:pPr>
              <w:adjustRightInd w:val="0"/>
              <w:snapToGrid w:val="0"/>
              <w:jc w:val="left"/>
              <w:rPr>
                <w:rFonts w:ascii="仿宋_GB2312" w:eastAsia="仿宋_GB2312"/>
                <w:sz w:val="24"/>
                <w:highlight w:val="none"/>
              </w:rPr>
            </w:pPr>
          </w:p>
        </w:tc>
        <w:tc>
          <w:tcPr>
            <w:tcW w:w="4170" w:type="dxa"/>
            <w:gridSpan w:val="2"/>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烟感探测器、温感探测器、手动报警按钮、警铃、模块等设施的完好状态</w:t>
            </w:r>
          </w:p>
        </w:tc>
        <w:tc>
          <w:tcPr>
            <w:tcW w:w="63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月</w:t>
            </w:r>
          </w:p>
        </w:tc>
        <w:tc>
          <w:tcPr>
            <w:tcW w:w="322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有响应、无损坏、无腐蚀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3</w:t>
            </w:r>
          </w:p>
        </w:tc>
        <w:tc>
          <w:tcPr>
            <w:tcW w:w="660" w:type="dxa"/>
            <w:gridSpan w:val="3"/>
            <w:vMerge w:val="restart"/>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功能检测</w:t>
            </w:r>
          </w:p>
        </w:tc>
        <w:tc>
          <w:tcPr>
            <w:tcW w:w="133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探测器</w:t>
            </w:r>
          </w:p>
        </w:tc>
        <w:tc>
          <w:tcPr>
            <w:tcW w:w="283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进行模拟火灾响应试验抽检。每年完成一次全样检测。</w:t>
            </w:r>
          </w:p>
        </w:tc>
        <w:tc>
          <w:tcPr>
            <w:tcW w:w="63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年</w:t>
            </w:r>
          </w:p>
        </w:tc>
        <w:tc>
          <w:tcPr>
            <w:tcW w:w="322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探测器报警正常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4</w:t>
            </w:r>
          </w:p>
        </w:tc>
        <w:tc>
          <w:tcPr>
            <w:tcW w:w="660" w:type="dxa"/>
            <w:gridSpan w:val="3"/>
            <w:vMerge w:val="continue"/>
          </w:tcPr>
          <w:p>
            <w:pPr>
              <w:adjustRightInd w:val="0"/>
              <w:snapToGrid w:val="0"/>
              <w:jc w:val="left"/>
              <w:rPr>
                <w:rFonts w:ascii="仿宋_GB2312" w:eastAsia="仿宋_GB2312"/>
                <w:sz w:val="24"/>
                <w:highlight w:val="none"/>
              </w:rPr>
            </w:pPr>
          </w:p>
        </w:tc>
        <w:tc>
          <w:tcPr>
            <w:tcW w:w="133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手动报警按钮</w:t>
            </w:r>
          </w:p>
        </w:tc>
        <w:tc>
          <w:tcPr>
            <w:tcW w:w="283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进行模拟火灾响应试验抽检。每年完成一次全样检测。</w:t>
            </w:r>
          </w:p>
        </w:tc>
        <w:tc>
          <w:tcPr>
            <w:tcW w:w="63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年</w:t>
            </w:r>
          </w:p>
        </w:tc>
        <w:tc>
          <w:tcPr>
            <w:tcW w:w="322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手动报警正常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5</w:t>
            </w:r>
          </w:p>
        </w:tc>
        <w:tc>
          <w:tcPr>
            <w:tcW w:w="660" w:type="dxa"/>
            <w:gridSpan w:val="3"/>
            <w:vMerge w:val="continue"/>
          </w:tcPr>
          <w:p>
            <w:pPr>
              <w:adjustRightInd w:val="0"/>
              <w:snapToGrid w:val="0"/>
              <w:jc w:val="left"/>
              <w:rPr>
                <w:rFonts w:ascii="仿宋_GB2312" w:eastAsia="仿宋_GB2312"/>
                <w:sz w:val="24"/>
                <w:highlight w:val="none"/>
              </w:rPr>
            </w:pPr>
          </w:p>
        </w:tc>
        <w:tc>
          <w:tcPr>
            <w:tcW w:w="133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警铃</w:t>
            </w:r>
          </w:p>
        </w:tc>
        <w:tc>
          <w:tcPr>
            <w:tcW w:w="283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进行模拟火灾响应试验抽检。每年完成一次全样检测。</w:t>
            </w:r>
          </w:p>
        </w:tc>
        <w:tc>
          <w:tcPr>
            <w:tcW w:w="63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年</w:t>
            </w:r>
          </w:p>
        </w:tc>
        <w:tc>
          <w:tcPr>
            <w:tcW w:w="322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警铃报警正常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6</w:t>
            </w:r>
          </w:p>
        </w:tc>
        <w:tc>
          <w:tcPr>
            <w:tcW w:w="660" w:type="dxa"/>
            <w:gridSpan w:val="3"/>
            <w:vMerge w:val="continue"/>
          </w:tcPr>
          <w:p>
            <w:pPr>
              <w:adjustRightInd w:val="0"/>
              <w:snapToGrid w:val="0"/>
              <w:jc w:val="left"/>
              <w:rPr>
                <w:rFonts w:ascii="仿宋_GB2312" w:eastAsia="仿宋_GB2312"/>
                <w:sz w:val="24"/>
                <w:highlight w:val="none"/>
              </w:rPr>
            </w:pPr>
          </w:p>
        </w:tc>
        <w:tc>
          <w:tcPr>
            <w:tcW w:w="133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火灾报警主机</w:t>
            </w:r>
          </w:p>
        </w:tc>
        <w:tc>
          <w:tcPr>
            <w:tcW w:w="283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进行自检、故障、、报警、消音、复位、火警优先、报警记忆、备用电池、打印等功能测试，每月进行一次全样检测。</w:t>
            </w:r>
          </w:p>
        </w:tc>
        <w:tc>
          <w:tcPr>
            <w:tcW w:w="63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月</w:t>
            </w:r>
          </w:p>
        </w:tc>
        <w:tc>
          <w:tcPr>
            <w:tcW w:w="322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主机报警正常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7</w:t>
            </w:r>
          </w:p>
        </w:tc>
        <w:tc>
          <w:tcPr>
            <w:tcW w:w="660" w:type="dxa"/>
            <w:gridSpan w:val="3"/>
            <w:vMerge w:val="continue"/>
          </w:tcPr>
          <w:p>
            <w:pPr>
              <w:adjustRightInd w:val="0"/>
              <w:snapToGrid w:val="0"/>
              <w:jc w:val="left"/>
              <w:rPr>
                <w:rFonts w:ascii="仿宋_GB2312" w:eastAsia="仿宋_GB2312"/>
                <w:sz w:val="24"/>
                <w:highlight w:val="none"/>
              </w:rPr>
            </w:pPr>
          </w:p>
        </w:tc>
        <w:tc>
          <w:tcPr>
            <w:tcW w:w="133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显示功能检查</w:t>
            </w:r>
          </w:p>
        </w:tc>
        <w:tc>
          <w:tcPr>
            <w:tcW w:w="283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报警主机及图文显示检查</w:t>
            </w:r>
          </w:p>
        </w:tc>
        <w:tc>
          <w:tcPr>
            <w:tcW w:w="63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月</w:t>
            </w:r>
          </w:p>
        </w:tc>
        <w:tc>
          <w:tcPr>
            <w:tcW w:w="322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报警主机及图文显示正常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8</w:t>
            </w:r>
          </w:p>
        </w:tc>
        <w:tc>
          <w:tcPr>
            <w:tcW w:w="660" w:type="dxa"/>
            <w:gridSpan w:val="3"/>
            <w:vMerge w:val="continue"/>
          </w:tcPr>
          <w:p>
            <w:pPr>
              <w:adjustRightInd w:val="0"/>
              <w:snapToGrid w:val="0"/>
              <w:jc w:val="left"/>
              <w:rPr>
                <w:rFonts w:ascii="仿宋_GB2312" w:eastAsia="仿宋_GB2312"/>
                <w:sz w:val="24"/>
                <w:highlight w:val="none"/>
              </w:rPr>
            </w:pPr>
          </w:p>
        </w:tc>
        <w:tc>
          <w:tcPr>
            <w:tcW w:w="133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线路回路</w:t>
            </w:r>
          </w:p>
        </w:tc>
        <w:tc>
          <w:tcPr>
            <w:tcW w:w="283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进行回路电压、回路工作电阻、回路对地电阻测试，每季度进行一次全样检查</w:t>
            </w:r>
          </w:p>
        </w:tc>
        <w:tc>
          <w:tcPr>
            <w:tcW w:w="63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季</w:t>
            </w:r>
          </w:p>
        </w:tc>
        <w:tc>
          <w:tcPr>
            <w:tcW w:w="322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回路测试正常，报警状态每一回路工作电流≤200MA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9</w:t>
            </w:r>
          </w:p>
        </w:tc>
        <w:tc>
          <w:tcPr>
            <w:tcW w:w="660" w:type="dxa"/>
            <w:gridSpan w:val="3"/>
            <w:vMerge w:val="continue"/>
          </w:tcPr>
          <w:p>
            <w:pPr>
              <w:adjustRightInd w:val="0"/>
              <w:snapToGrid w:val="0"/>
              <w:jc w:val="left"/>
              <w:rPr>
                <w:rFonts w:ascii="仿宋_GB2312" w:eastAsia="仿宋_GB2312"/>
                <w:sz w:val="24"/>
                <w:highlight w:val="none"/>
              </w:rPr>
            </w:pPr>
          </w:p>
        </w:tc>
        <w:tc>
          <w:tcPr>
            <w:tcW w:w="133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备用电池</w:t>
            </w:r>
          </w:p>
        </w:tc>
        <w:tc>
          <w:tcPr>
            <w:tcW w:w="283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对备用电源进行1-2次充放电实验，1-3次主电源和备用电源自动切换实验</w:t>
            </w:r>
          </w:p>
        </w:tc>
        <w:tc>
          <w:tcPr>
            <w:tcW w:w="63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季</w:t>
            </w:r>
          </w:p>
        </w:tc>
        <w:tc>
          <w:tcPr>
            <w:tcW w:w="322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能正常切换，并保证备用电连续供电不少于24小时。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504" w:type="dxa"/>
            <w:vAlign w:val="center"/>
          </w:tcPr>
          <w:p>
            <w:pPr>
              <w:adjustRightInd w:val="0"/>
              <w:snapToGrid w:val="0"/>
              <w:jc w:val="left"/>
              <w:rPr>
                <w:rFonts w:ascii="仿宋_GB2312" w:eastAsia="仿宋_GB2312"/>
                <w:sz w:val="24"/>
                <w:highlight w:val="none"/>
              </w:rPr>
            </w:pPr>
            <w:r>
              <w:rPr>
                <w:rFonts w:hint="eastAsia" w:ascii="仿宋_GB2312" w:eastAsia="仿宋_GB2312"/>
                <w:szCs w:val="21"/>
                <w:highlight w:val="none"/>
              </w:rPr>
              <w:t>10</w:t>
            </w:r>
          </w:p>
        </w:tc>
        <w:tc>
          <w:tcPr>
            <w:tcW w:w="660" w:type="dxa"/>
            <w:gridSpan w:val="3"/>
            <w:vMerge w:val="continue"/>
          </w:tcPr>
          <w:p>
            <w:pPr>
              <w:adjustRightInd w:val="0"/>
              <w:snapToGrid w:val="0"/>
              <w:jc w:val="left"/>
              <w:rPr>
                <w:rFonts w:ascii="仿宋_GB2312" w:eastAsia="仿宋_GB2312"/>
                <w:sz w:val="24"/>
                <w:highlight w:val="none"/>
              </w:rPr>
            </w:pPr>
          </w:p>
        </w:tc>
        <w:tc>
          <w:tcPr>
            <w:tcW w:w="133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消防软件</w:t>
            </w:r>
          </w:p>
        </w:tc>
        <w:tc>
          <w:tcPr>
            <w:tcW w:w="283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对消防主机和图文中心的软件进行功能性检测。</w:t>
            </w:r>
          </w:p>
        </w:tc>
        <w:tc>
          <w:tcPr>
            <w:tcW w:w="63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季</w:t>
            </w:r>
          </w:p>
        </w:tc>
        <w:tc>
          <w:tcPr>
            <w:tcW w:w="322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报警后能自动显示或自动切换到报警区域的点位图，自动记录系统故障和火灾报警信息的功能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504" w:type="dxa"/>
            <w:vAlign w:val="center"/>
          </w:tcPr>
          <w:p>
            <w:pPr>
              <w:adjustRightInd w:val="0"/>
              <w:snapToGrid w:val="0"/>
              <w:jc w:val="left"/>
              <w:rPr>
                <w:rFonts w:ascii="仿宋_GB2312" w:eastAsia="仿宋_GB2312"/>
                <w:szCs w:val="21"/>
                <w:highlight w:val="none"/>
              </w:rPr>
            </w:pPr>
            <w:r>
              <w:rPr>
                <w:rFonts w:hint="eastAsia" w:ascii="仿宋_GB2312" w:eastAsia="仿宋_GB2312"/>
                <w:szCs w:val="21"/>
                <w:highlight w:val="none"/>
              </w:rPr>
              <w:t>11</w:t>
            </w:r>
          </w:p>
        </w:tc>
        <w:tc>
          <w:tcPr>
            <w:tcW w:w="660" w:type="dxa"/>
            <w:gridSpan w:val="3"/>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线路维护</w:t>
            </w:r>
          </w:p>
        </w:tc>
        <w:tc>
          <w:tcPr>
            <w:tcW w:w="4170" w:type="dxa"/>
            <w:gridSpan w:val="2"/>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每季度对内部各接线端子和信号（电源）线进行维保</w:t>
            </w:r>
          </w:p>
        </w:tc>
        <w:tc>
          <w:tcPr>
            <w:tcW w:w="63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季</w:t>
            </w:r>
          </w:p>
        </w:tc>
        <w:tc>
          <w:tcPr>
            <w:tcW w:w="322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各端子连接牢固，不松动，导线无破损，无老化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504" w:type="dxa"/>
            <w:vAlign w:val="center"/>
          </w:tcPr>
          <w:p>
            <w:pPr>
              <w:adjustRightInd w:val="0"/>
              <w:snapToGrid w:val="0"/>
              <w:jc w:val="left"/>
              <w:rPr>
                <w:rFonts w:ascii="仿宋_GB2312" w:eastAsia="仿宋_GB2312"/>
                <w:szCs w:val="21"/>
                <w:highlight w:val="none"/>
              </w:rPr>
            </w:pPr>
            <w:r>
              <w:rPr>
                <w:rFonts w:hint="eastAsia" w:ascii="仿宋_GB2312" w:eastAsia="仿宋_GB2312"/>
                <w:szCs w:val="21"/>
                <w:highlight w:val="none"/>
              </w:rPr>
              <w:t>12</w:t>
            </w:r>
          </w:p>
        </w:tc>
        <w:tc>
          <w:tcPr>
            <w:tcW w:w="660" w:type="dxa"/>
            <w:gridSpan w:val="3"/>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内部除尘</w:t>
            </w:r>
          </w:p>
        </w:tc>
        <w:tc>
          <w:tcPr>
            <w:tcW w:w="4170" w:type="dxa"/>
            <w:gridSpan w:val="2"/>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对报警控制器内部进行除尘</w:t>
            </w:r>
          </w:p>
        </w:tc>
        <w:tc>
          <w:tcPr>
            <w:tcW w:w="63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月</w:t>
            </w:r>
          </w:p>
        </w:tc>
        <w:tc>
          <w:tcPr>
            <w:tcW w:w="322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无尘</w:t>
            </w:r>
          </w:p>
        </w:tc>
      </w:tr>
    </w:tbl>
    <w:p>
      <w:pPr>
        <w:spacing w:line="560" w:lineRule="exact"/>
        <w:ind w:firstLine="560" w:firstLineChars="200"/>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②消防广播系统</w:t>
      </w:r>
    </w:p>
    <w:tbl>
      <w:tblPr>
        <w:tblStyle w:val="15"/>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757"/>
        <w:gridCol w:w="1507"/>
        <w:gridCol w:w="3702"/>
        <w:gridCol w:w="448"/>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序号</w:t>
            </w:r>
          </w:p>
        </w:tc>
        <w:tc>
          <w:tcPr>
            <w:tcW w:w="757"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项目</w:t>
            </w:r>
          </w:p>
        </w:tc>
        <w:tc>
          <w:tcPr>
            <w:tcW w:w="5209" w:type="dxa"/>
            <w:gridSpan w:val="2"/>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工作内容</w:t>
            </w:r>
          </w:p>
        </w:tc>
        <w:tc>
          <w:tcPr>
            <w:tcW w:w="448"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周期</w:t>
            </w:r>
          </w:p>
        </w:tc>
        <w:tc>
          <w:tcPr>
            <w:tcW w:w="2346"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1</w:t>
            </w:r>
          </w:p>
        </w:tc>
        <w:tc>
          <w:tcPr>
            <w:tcW w:w="757"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完好性检查</w:t>
            </w:r>
          </w:p>
        </w:tc>
        <w:tc>
          <w:tcPr>
            <w:tcW w:w="5209" w:type="dxa"/>
            <w:gridSpan w:val="2"/>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每月检查广播主机、DVD机、功能、双卡座录音机、调谐器、前置放大器、监听器、广播切换器、扬声器、话筒的完好状态</w:t>
            </w:r>
          </w:p>
        </w:tc>
        <w:tc>
          <w:tcPr>
            <w:tcW w:w="448"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月</w:t>
            </w:r>
          </w:p>
        </w:tc>
        <w:tc>
          <w:tcPr>
            <w:tcW w:w="2346"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工作环境正常，各设备状态完好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2</w:t>
            </w:r>
          </w:p>
        </w:tc>
        <w:tc>
          <w:tcPr>
            <w:tcW w:w="757" w:type="dxa"/>
            <w:vMerge w:val="restart"/>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功能测试</w:t>
            </w:r>
          </w:p>
        </w:tc>
        <w:tc>
          <w:tcPr>
            <w:tcW w:w="1507"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各切换器、控制器等</w:t>
            </w:r>
          </w:p>
        </w:tc>
        <w:tc>
          <w:tcPr>
            <w:tcW w:w="3702"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通电试验</w:t>
            </w:r>
          </w:p>
        </w:tc>
        <w:tc>
          <w:tcPr>
            <w:tcW w:w="448"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月</w:t>
            </w:r>
          </w:p>
        </w:tc>
        <w:tc>
          <w:tcPr>
            <w:tcW w:w="2346"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转换工作正常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3</w:t>
            </w:r>
          </w:p>
        </w:tc>
        <w:tc>
          <w:tcPr>
            <w:tcW w:w="757" w:type="dxa"/>
            <w:vMerge w:val="continue"/>
            <w:vAlign w:val="center"/>
          </w:tcPr>
          <w:p>
            <w:pPr>
              <w:adjustRightInd w:val="0"/>
              <w:snapToGrid w:val="0"/>
              <w:jc w:val="left"/>
              <w:rPr>
                <w:rFonts w:ascii="仿宋_GB2312" w:eastAsia="仿宋_GB2312"/>
                <w:sz w:val="24"/>
                <w:highlight w:val="none"/>
              </w:rPr>
            </w:pPr>
          </w:p>
        </w:tc>
        <w:tc>
          <w:tcPr>
            <w:tcW w:w="1507"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各放大器</w:t>
            </w:r>
          </w:p>
        </w:tc>
        <w:tc>
          <w:tcPr>
            <w:tcW w:w="3702"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放音试听音质，音量</w:t>
            </w:r>
          </w:p>
        </w:tc>
        <w:tc>
          <w:tcPr>
            <w:tcW w:w="448"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月</w:t>
            </w:r>
          </w:p>
        </w:tc>
        <w:tc>
          <w:tcPr>
            <w:tcW w:w="2346"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音质、音量良好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4</w:t>
            </w:r>
          </w:p>
        </w:tc>
        <w:tc>
          <w:tcPr>
            <w:tcW w:w="757" w:type="dxa"/>
            <w:vMerge w:val="continue"/>
            <w:vAlign w:val="center"/>
          </w:tcPr>
          <w:p>
            <w:pPr>
              <w:adjustRightInd w:val="0"/>
              <w:snapToGrid w:val="0"/>
              <w:jc w:val="left"/>
              <w:rPr>
                <w:rFonts w:ascii="仿宋_GB2312" w:eastAsia="仿宋_GB2312"/>
                <w:sz w:val="24"/>
                <w:highlight w:val="none"/>
              </w:rPr>
            </w:pPr>
          </w:p>
        </w:tc>
        <w:tc>
          <w:tcPr>
            <w:tcW w:w="1507"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广播主机</w:t>
            </w:r>
          </w:p>
        </w:tc>
        <w:tc>
          <w:tcPr>
            <w:tcW w:w="3702"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能自动切换到消防广播状态</w:t>
            </w:r>
          </w:p>
        </w:tc>
        <w:tc>
          <w:tcPr>
            <w:tcW w:w="448"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月</w:t>
            </w:r>
          </w:p>
        </w:tc>
        <w:tc>
          <w:tcPr>
            <w:tcW w:w="2346"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主机切换正常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489"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5</w:t>
            </w:r>
          </w:p>
        </w:tc>
        <w:tc>
          <w:tcPr>
            <w:tcW w:w="757" w:type="dxa"/>
            <w:vMerge w:val="continue"/>
            <w:vAlign w:val="center"/>
          </w:tcPr>
          <w:p>
            <w:pPr>
              <w:adjustRightInd w:val="0"/>
              <w:snapToGrid w:val="0"/>
              <w:jc w:val="left"/>
              <w:rPr>
                <w:rFonts w:ascii="仿宋_GB2312" w:eastAsia="仿宋_GB2312"/>
                <w:sz w:val="24"/>
                <w:highlight w:val="none"/>
              </w:rPr>
            </w:pPr>
          </w:p>
        </w:tc>
        <w:tc>
          <w:tcPr>
            <w:tcW w:w="1507"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广播</w:t>
            </w:r>
          </w:p>
        </w:tc>
        <w:tc>
          <w:tcPr>
            <w:tcW w:w="3702"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每月按安装数量的30%试验选层（或选区）广播，检查广播音质，音量：每季覆盖一次</w:t>
            </w:r>
          </w:p>
        </w:tc>
        <w:tc>
          <w:tcPr>
            <w:tcW w:w="448"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季</w:t>
            </w:r>
          </w:p>
        </w:tc>
        <w:tc>
          <w:tcPr>
            <w:tcW w:w="2346"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扬声器音量清晰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6</w:t>
            </w:r>
          </w:p>
        </w:tc>
        <w:tc>
          <w:tcPr>
            <w:tcW w:w="757" w:type="dxa"/>
            <w:vMerge w:val="continue"/>
            <w:vAlign w:val="center"/>
          </w:tcPr>
          <w:p>
            <w:pPr>
              <w:adjustRightInd w:val="0"/>
              <w:snapToGrid w:val="0"/>
              <w:jc w:val="left"/>
              <w:rPr>
                <w:rFonts w:ascii="仿宋_GB2312" w:eastAsia="仿宋_GB2312"/>
                <w:sz w:val="24"/>
                <w:highlight w:val="none"/>
              </w:rPr>
            </w:pPr>
          </w:p>
        </w:tc>
        <w:tc>
          <w:tcPr>
            <w:tcW w:w="1507"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信号回路</w:t>
            </w:r>
          </w:p>
        </w:tc>
        <w:tc>
          <w:tcPr>
            <w:tcW w:w="3702"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进行回路电压、回路工作电阻、回路对地电阻测试，每季度进行一次全样检测。</w:t>
            </w:r>
          </w:p>
        </w:tc>
        <w:tc>
          <w:tcPr>
            <w:tcW w:w="448"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季</w:t>
            </w:r>
          </w:p>
        </w:tc>
        <w:tc>
          <w:tcPr>
            <w:tcW w:w="2346"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回路测试正常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7</w:t>
            </w:r>
          </w:p>
        </w:tc>
        <w:tc>
          <w:tcPr>
            <w:tcW w:w="2264" w:type="dxa"/>
            <w:gridSpan w:val="2"/>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线路维护</w:t>
            </w:r>
          </w:p>
        </w:tc>
        <w:tc>
          <w:tcPr>
            <w:tcW w:w="3702"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每季度对内部各接线端子和信号（电源）线进行检查维护</w:t>
            </w:r>
          </w:p>
        </w:tc>
        <w:tc>
          <w:tcPr>
            <w:tcW w:w="448"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季</w:t>
            </w:r>
          </w:p>
        </w:tc>
        <w:tc>
          <w:tcPr>
            <w:tcW w:w="2346"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各端子连接牢固，不松动，导线无破损，无老化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8</w:t>
            </w:r>
          </w:p>
        </w:tc>
        <w:tc>
          <w:tcPr>
            <w:tcW w:w="2264" w:type="dxa"/>
            <w:gridSpan w:val="2"/>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内部除尘</w:t>
            </w:r>
          </w:p>
        </w:tc>
        <w:tc>
          <w:tcPr>
            <w:tcW w:w="3702"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每月对主机柜内各设备内部进行除尘</w:t>
            </w:r>
          </w:p>
        </w:tc>
        <w:tc>
          <w:tcPr>
            <w:tcW w:w="448"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月</w:t>
            </w:r>
          </w:p>
        </w:tc>
        <w:tc>
          <w:tcPr>
            <w:tcW w:w="2346"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无尘</w:t>
            </w:r>
          </w:p>
        </w:tc>
      </w:tr>
    </w:tbl>
    <w:p>
      <w:pPr>
        <w:spacing w:line="560" w:lineRule="exact"/>
        <w:ind w:firstLine="560" w:firstLineChars="200"/>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③消防对讲系统</w:t>
      </w:r>
    </w:p>
    <w:tbl>
      <w:tblPr>
        <w:tblStyle w:val="15"/>
        <w:tblW w:w="9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140"/>
        <w:gridCol w:w="15"/>
        <w:gridCol w:w="1125"/>
        <w:gridCol w:w="3733"/>
        <w:gridCol w:w="567"/>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4"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序号</w:t>
            </w:r>
          </w:p>
        </w:tc>
        <w:tc>
          <w:tcPr>
            <w:tcW w:w="114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项目</w:t>
            </w:r>
          </w:p>
        </w:tc>
        <w:tc>
          <w:tcPr>
            <w:tcW w:w="4873" w:type="dxa"/>
            <w:gridSpan w:val="3"/>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工作内容</w:t>
            </w:r>
          </w:p>
        </w:tc>
        <w:tc>
          <w:tcPr>
            <w:tcW w:w="567"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周期</w:t>
            </w:r>
          </w:p>
        </w:tc>
        <w:tc>
          <w:tcPr>
            <w:tcW w:w="218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4"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1</w:t>
            </w:r>
          </w:p>
        </w:tc>
        <w:tc>
          <w:tcPr>
            <w:tcW w:w="114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完好性检查</w:t>
            </w:r>
          </w:p>
        </w:tc>
        <w:tc>
          <w:tcPr>
            <w:tcW w:w="4873" w:type="dxa"/>
            <w:gridSpan w:val="3"/>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每月检查电话插孔、机房等主要场所的对讲电话完好状态</w:t>
            </w:r>
          </w:p>
        </w:tc>
        <w:tc>
          <w:tcPr>
            <w:tcW w:w="567"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月</w:t>
            </w:r>
          </w:p>
        </w:tc>
        <w:tc>
          <w:tcPr>
            <w:tcW w:w="218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工作环境正常，各设备状态完好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474"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2</w:t>
            </w:r>
          </w:p>
        </w:tc>
        <w:tc>
          <w:tcPr>
            <w:tcW w:w="1155" w:type="dxa"/>
            <w:gridSpan w:val="2"/>
            <w:vMerge w:val="restart"/>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功能</w:t>
            </w:r>
          </w:p>
          <w:p>
            <w:pPr>
              <w:adjustRightInd w:val="0"/>
              <w:snapToGrid w:val="0"/>
              <w:jc w:val="left"/>
              <w:rPr>
                <w:rFonts w:ascii="仿宋_GB2312" w:eastAsia="仿宋_GB2312"/>
                <w:sz w:val="24"/>
                <w:highlight w:val="none"/>
              </w:rPr>
            </w:pPr>
            <w:r>
              <w:rPr>
                <w:rFonts w:hint="eastAsia" w:ascii="仿宋_GB2312" w:eastAsia="仿宋_GB2312"/>
                <w:sz w:val="24"/>
                <w:highlight w:val="none"/>
              </w:rPr>
              <w:t>检测</w:t>
            </w:r>
          </w:p>
        </w:tc>
        <w:tc>
          <w:tcPr>
            <w:tcW w:w="112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电话</w:t>
            </w:r>
          </w:p>
        </w:tc>
        <w:tc>
          <w:tcPr>
            <w:tcW w:w="3733"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每月按安装数量的30%试验电话插孔和对讲电话的通话质量，每季度完成一次全样检测。</w:t>
            </w:r>
          </w:p>
        </w:tc>
        <w:tc>
          <w:tcPr>
            <w:tcW w:w="567"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季</w:t>
            </w:r>
          </w:p>
        </w:tc>
        <w:tc>
          <w:tcPr>
            <w:tcW w:w="218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电话通话正常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4"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3</w:t>
            </w:r>
          </w:p>
        </w:tc>
        <w:tc>
          <w:tcPr>
            <w:tcW w:w="1155" w:type="dxa"/>
            <w:gridSpan w:val="2"/>
            <w:vMerge w:val="continue"/>
          </w:tcPr>
          <w:p>
            <w:pPr>
              <w:adjustRightInd w:val="0"/>
              <w:snapToGrid w:val="0"/>
              <w:jc w:val="left"/>
              <w:rPr>
                <w:rFonts w:ascii="仿宋_GB2312" w:eastAsia="仿宋_GB2312"/>
                <w:sz w:val="24"/>
                <w:highlight w:val="none"/>
              </w:rPr>
            </w:pPr>
          </w:p>
        </w:tc>
        <w:tc>
          <w:tcPr>
            <w:tcW w:w="112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电话主机</w:t>
            </w:r>
          </w:p>
        </w:tc>
        <w:tc>
          <w:tcPr>
            <w:tcW w:w="3733"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能顺畅接到电话分机，电话分机来电主机鸣叫</w:t>
            </w:r>
          </w:p>
        </w:tc>
        <w:tc>
          <w:tcPr>
            <w:tcW w:w="567"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季</w:t>
            </w:r>
          </w:p>
        </w:tc>
        <w:tc>
          <w:tcPr>
            <w:tcW w:w="218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主机切换正常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4"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4</w:t>
            </w:r>
          </w:p>
        </w:tc>
        <w:tc>
          <w:tcPr>
            <w:tcW w:w="1155" w:type="dxa"/>
            <w:gridSpan w:val="2"/>
            <w:vMerge w:val="continue"/>
          </w:tcPr>
          <w:p>
            <w:pPr>
              <w:adjustRightInd w:val="0"/>
              <w:snapToGrid w:val="0"/>
              <w:jc w:val="left"/>
              <w:rPr>
                <w:rFonts w:ascii="仿宋_GB2312" w:eastAsia="仿宋_GB2312"/>
                <w:sz w:val="24"/>
                <w:highlight w:val="none"/>
              </w:rPr>
            </w:pPr>
          </w:p>
        </w:tc>
        <w:tc>
          <w:tcPr>
            <w:tcW w:w="112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信号回路</w:t>
            </w:r>
          </w:p>
        </w:tc>
        <w:tc>
          <w:tcPr>
            <w:tcW w:w="3733"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进行回路电压、回路工作电阻</w:t>
            </w:r>
          </w:p>
        </w:tc>
        <w:tc>
          <w:tcPr>
            <w:tcW w:w="567"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季</w:t>
            </w:r>
          </w:p>
        </w:tc>
        <w:tc>
          <w:tcPr>
            <w:tcW w:w="218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回路测试正常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4"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5</w:t>
            </w:r>
          </w:p>
        </w:tc>
        <w:tc>
          <w:tcPr>
            <w:tcW w:w="2280" w:type="dxa"/>
            <w:gridSpan w:val="3"/>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线路维护</w:t>
            </w:r>
          </w:p>
        </w:tc>
        <w:tc>
          <w:tcPr>
            <w:tcW w:w="3733"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每季度对内部各接线端子和信号（电源）线进行检查维护</w:t>
            </w:r>
          </w:p>
        </w:tc>
        <w:tc>
          <w:tcPr>
            <w:tcW w:w="567"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季</w:t>
            </w:r>
          </w:p>
        </w:tc>
        <w:tc>
          <w:tcPr>
            <w:tcW w:w="218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各端子连接牢固，不松动，导线无破损，无老化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4"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6</w:t>
            </w:r>
          </w:p>
        </w:tc>
        <w:tc>
          <w:tcPr>
            <w:tcW w:w="2280" w:type="dxa"/>
            <w:gridSpan w:val="3"/>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内部除尘</w:t>
            </w:r>
          </w:p>
        </w:tc>
        <w:tc>
          <w:tcPr>
            <w:tcW w:w="3733"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每月设备内部进行除尘</w:t>
            </w:r>
          </w:p>
        </w:tc>
        <w:tc>
          <w:tcPr>
            <w:tcW w:w="567"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月</w:t>
            </w:r>
          </w:p>
        </w:tc>
        <w:tc>
          <w:tcPr>
            <w:tcW w:w="218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无尘</w:t>
            </w:r>
          </w:p>
        </w:tc>
      </w:tr>
    </w:tbl>
    <w:p>
      <w:pPr>
        <w:spacing w:line="560" w:lineRule="exact"/>
        <w:ind w:firstLine="0" w:firstLineChars="0"/>
        <w:rPr>
          <w:rFonts w:hint="eastAsia" w:asciiTheme="minorEastAsia" w:hAnsiTheme="minorEastAsia" w:eastAsiaTheme="minorEastAsia"/>
          <w:color w:val="auto"/>
          <w:sz w:val="28"/>
          <w:szCs w:val="28"/>
          <w:highlight w:val="none"/>
        </w:rPr>
      </w:pPr>
    </w:p>
    <w:p>
      <w:pPr>
        <w:spacing w:line="560" w:lineRule="exact"/>
        <w:ind w:firstLine="560" w:firstLineChars="200"/>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④消防排烟系统</w:t>
      </w:r>
    </w:p>
    <w:tbl>
      <w:tblPr>
        <w:tblStyle w:val="15"/>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945"/>
        <w:gridCol w:w="1350"/>
        <w:gridCol w:w="3690"/>
        <w:gridCol w:w="495"/>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4"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序号</w:t>
            </w:r>
          </w:p>
        </w:tc>
        <w:tc>
          <w:tcPr>
            <w:tcW w:w="2295" w:type="dxa"/>
            <w:gridSpan w:val="2"/>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项目</w:t>
            </w:r>
          </w:p>
        </w:tc>
        <w:tc>
          <w:tcPr>
            <w:tcW w:w="369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工作内容</w:t>
            </w:r>
          </w:p>
        </w:tc>
        <w:tc>
          <w:tcPr>
            <w:tcW w:w="49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周期</w:t>
            </w:r>
          </w:p>
        </w:tc>
        <w:tc>
          <w:tcPr>
            <w:tcW w:w="229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4"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1</w:t>
            </w:r>
          </w:p>
        </w:tc>
        <w:tc>
          <w:tcPr>
            <w:tcW w:w="2295" w:type="dxa"/>
            <w:gridSpan w:val="2"/>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完好性检查</w:t>
            </w:r>
          </w:p>
        </w:tc>
        <w:tc>
          <w:tcPr>
            <w:tcW w:w="369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检查送风阀、防火阀、排烟阀、送风机、排烟机等装置的完好状态</w:t>
            </w:r>
          </w:p>
        </w:tc>
        <w:tc>
          <w:tcPr>
            <w:tcW w:w="49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季</w:t>
            </w:r>
          </w:p>
        </w:tc>
        <w:tc>
          <w:tcPr>
            <w:tcW w:w="229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工作环境正常，各设备状态完好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4"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2</w:t>
            </w:r>
          </w:p>
        </w:tc>
        <w:tc>
          <w:tcPr>
            <w:tcW w:w="945" w:type="dxa"/>
            <w:vMerge w:val="restart"/>
            <w:vAlign w:val="center"/>
          </w:tcPr>
          <w:p>
            <w:pPr>
              <w:adjustRightInd w:val="0"/>
              <w:snapToGrid w:val="0"/>
              <w:jc w:val="left"/>
              <w:rPr>
                <w:rFonts w:ascii="仿宋_GB2312" w:eastAsia="仿宋_GB2312"/>
                <w:highlight w:val="none"/>
              </w:rPr>
            </w:pPr>
            <w:r>
              <w:rPr>
                <w:rFonts w:hint="eastAsia" w:ascii="仿宋_GB2312" w:eastAsia="仿宋_GB2312"/>
                <w:highlight w:val="none"/>
              </w:rPr>
              <w:t>功能检测</w:t>
            </w:r>
          </w:p>
        </w:tc>
        <w:tc>
          <w:tcPr>
            <w:tcW w:w="135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风机</w:t>
            </w:r>
          </w:p>
        </w:tc>
        <w:tc>
          <w:tcPr>
            <w:tcW w:w="369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风机运行正常，送排风压正常</w:t>
            </w:r>
          </w:p>
        </w:tc>
        <w:tc>
          <w:tcPr>
            <w:tcW w:w="49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季</w:t>
            </w:r>
          </w:p>
        </w:tc>
        <w:tc>
          <w:tcPr>
            <w:tcW w:w="229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风机、风压正常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4"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3</w:t>
            </w:r>
          </w:p>
        </w:tc>
        <w:tc>
          <w:tcPr>
            <w:tcW w:w="945" w:type="dxa"/>
            <w:vMerge w:val="continue"/>
            <w:vAlign w:val="center"/>
          </w:tcPr>
          <w:p>
            <w:pPr>
              <w:adjustRightInd w:val="0"/>
              <w:snapToGrid w:val="0"/>
              <w:jc w:val="left"/>
              <w:rPr>
                <w:rFonts w:ascii="仿宋_GB2312" w:eastAsia="仿宋_GB2312"/>
                <w:highlight w:val="none"/>
              </w:rPr>
            </w:pPr>
          </w:p>
        </w:tc>
        <w:tc>
          <w:tcPr>
            <w:tcW w:w="135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手动/自动检测</w:t>
            </w:r>
          </w:p>
        </w:tc>
        <w:tc>
          <w:tcPr>
            <w:tcW w:w="369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模拟火灾报警后，能联动有关设备，即停止有关部位的空调送风，关闭电动防火阀，接收反馈信号：启动有关部位的排烟阀、送风阀、排烟风机、送风机，接受其反馈信号。并对各楼层排烟阀和前室加压阀连接构件除尘、上油保养</w:t>
            </w:r>
          </w:p>
        </w:tc>
        <w:tc>
          <w:tcPr>
            <w:tcW w:w="49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季</w:t>
            </w:r>
          </w:p>
        </w:tc>
        <w:tc>
          <w:tcPr>
            <w:tcW w:w="229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手动、自动启动正常，信号反馈正常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4"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4</w:t>
            </w:r>
          </w:p>
        </w:tc>
        <w:tc>
          <w:tcPr>
            <w:tcW w:w="945" w:type="dxa"/>
            <w:vMerge w:val="continue"/>
            <w:vAlign w:val="center"/>
          </w:tcPr>
          <w:p>
            <w:pPr>
              <w:adjustRightInd w:val="0"/>
              <w:snapToGrid w:val="0"/>
              <w:jc w:val="left"/>
              <w:rPr>
                <w:rFonts w:ascii="仿宋_GB2312" w:eastAsia="仿宋_GB2312"/>
                <w:highlight w:val="none"/>
              </w:rPr>
            </w:pPr>
          </w:p>
        </w:tc>
        <w:tc>
          <w:tcPr>
            <w:tcW w:w="135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排烟阀微动开关及内部接线端子</w:t>
            </w:r>
          </w:p>
        </w:tc>
        <w:tc>
          <w:tcPr>
            <w:tcW w:w="369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对正压送风阀及排烟阀进行检查</w:t>
            </w:r>
          </w:p>
        </w:tc>
        <w:tc>
          <w:tcPr>
            <w:tcW w:w="49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年</w:t>
            </w:r>
          </w:p>
        </w:tc>
        <w:tc>
          <w:tcPr>
            <w:tcW w:w="229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复位按钮控制无误、排烟窗开启灵活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4"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5</w:t>
            </w:r>
          </w:p>
        </w:tc>
        <w:tc>
          <w:tcPr>
            <w:tcW w:w="2295" w:type="dxa"/>
            <w:gridSpan w:val="2"/>
            <w:vAlign w:val="center"/>
          </w:tcPr>
          <w:p>
            <w:pPr>
              <w:adjustRightInd w:val="0"/>
              <w:snapToGrid w:val="0"/>
              <w:jc w:val="left"/>
              <w:rPr>
                <w:rFonts w:ascii="仿宋_GB2312" w:eastAsia="仿宋_GB2312"/>
                <w:sz w:val="24"/>
                <w:highlight w:val="none"/>
              </w:rPr>
            </w:pPr>
            <w:r>
              <w:rPr>
                <w:rFonts w:hint="eastAsia" w:ascii="仿宋_GB2312" w:eastAsia="仿宋_GB2312"/>
                <w:highlight w:val="none"/>
              </w:rPr>
              <w:t>线路维护</w:t>
            </w:r>
          </w:p>
        </w:tc>
        <w:tc>
          <w:tcPr>
            <w:tcW w:w="369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每季度对控制柜内部各电器触点、接线端子及端子排端子、信号（电源）线进行检查维护</w:t>
            </w:r>
          </w:p>
        </w:tc>
        <w:tc>
          <w:tcPr>
            <w:tcW w:w="49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季</w:t>
            </w:r>
          </w:p>
        </w:tc>
        <w:tc>
          <w:tcPr>
            <w:tcW w:w="229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触点完好，端子无烧损或松动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4"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6</w:t>
            </w:r>
          </w:p>
        </w:tc>
        <w:tc>
          <w:tcPr>
            <w:tcW w:w="2295" w:type="dxa"/>
            <w:gridSpan w:val="2"/>
            <w:vAlign w:val="center"/>
          </w:tcPr>
          <w:p>
            <w:pPr>
              <w:adjustRightInd w:val="0"/>
              <w:snapToGrid w:val="0"/>
              <w:jc w:val="left"/>
              <w:rPr>
                <w:rFonts w:ascii="仿宋_GB2312" w:eastAsia="仿宋_GB2312"/>
                <w:sz w:val="24"/>
                <w:highlight w:val="none"/>
              </w:rPr>
            </w:pPr>
            <w:r>
              <w:rPr>
                <w:rFonts w:hint="eastAsia" w:ascii="仿宋_GB2312" w:eastAsia="仿宋_GB2312"/>
                <w:highlight w:val="none"/>
              </w:rPr>
              <w:t>内部除尘</w:t>
            </w:r>
          </w:p>
        </w:tc>
        <w:tc>
          <w:tcPr>
            <w:tcW w:w="369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每月设备内部进行除尘</w:t>
            </w:r>
          </w:p>
        </w:tc>
        <w:tc>
          <w:tcPr>
            <w:tcW w:w="49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月</w:t>
            </w:r>
          </w:p>
        </w:tc>
        <w:tc>
          <w:tcPr>
            <w:tcW w:w="229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无尘</w:t>
            </w:r>
          </w:p>
        </w:tc>
      </w:tr>
    </w:tbl>
    <w:p>
      <w:pPr>
        <w:spacing w:line="560" w:lineRule="exact"/>
        <w:ind w:firstLine="560" w:firstLineChars="200"/>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⑤防火卷帘</w:t>
      </w:r>
    </w:p>
    <w:tbl>
      <w:tblPr>
        <w:tblStyle w:val="15"/>
        <w:tblW w:w="9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960"/>
        <w:gridCol w:w="1335"/>
        <w:gridCol w:w="3705"/>
        <w:gridCol w:w="495"/>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序号</w:t>
            </w:r>
          </w:p>
        </w:tc>
        <w:tc>
          <w:tcPr>
            <w:tcW w:w="2295" w:type="dxa"/>
            <w:gridSpan w:val="2"/>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项目</w:t>
            </w:r>
          </w:p>
        </w:tc>
        <w:tc>
          <w:tcPr>
            <w:tcW w:w="370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工作内容</w:t>
            </w:r>
          </w:p>
        </w:tc>
        <w:tc>
          <w:tcPr>
            <w:tcW w:w="49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周期</w:t>
            </w:r>
          </w:p>
        </w:tc>
        <w:tc>
          <w:tcPr>
            <w:tcW w:w="228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1</w:t>
            </w:r>
          </w:p>
        </w:tc>
        <w:tc>
          <w:tcPr>
            <w:tcW w:w="2295" w:type="dxa"/>
            <w:gridSpan w:val="2"/>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完好性检查</w:t>
            </w:r>
          </w:p>
        </w:tc>
        <w:tc>
          <w:tcPr>
            <w:tcW w:w="370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检查卷帘导轨、卷片、无机布、手动报警按钮外观良好，卷帘包厢无损伤的完好状态</w:t>
            </w:r>
          </w:p>
        </w:tc>
        <w:tc>
          <w:tcPr>
            <w:tcW w:w="49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月</w:t>
            </w:r>
          </w:p>
        </w:tc>
        <w:tc>
          <w:tcPr>
            <w:tcW w:w="228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各设备外观完好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459"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2</w:t>
            </w:r>
          </w:p>
        </w:tc>
        <w:tc>
          <w:tcPr>
            <w:tcW w:w="960" w:type="dxa"/>
            <w:vMerge w:val="restart"/>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功能测试</w:t>
            </w:r>
          </w:p>
        </w:tc>
        <w:tc>
          <w:tcPr>
            <w:tcW w:w="133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手动/自动检测</w:t>
            </w:r>
          </w:p>
        </w:tc>
        <w:tc>
          <w:tcPr>
            <w:tcW w:w="370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手动、自动启动卷帘，检查卷帘运转及到位情况，查看有无异常响声，电机运转是否正常，外观无损伤，无刮痕，报警联动卷帘，看动作信号是否反馈到控制中心</w:t>
            </w:r>
          </w:p>
        </w:tc>
        <w:tc>
          <w:tcPr>
            <w:tcW w:w="49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季</w:t>
            </w:r>
          </w:p>
        </w:tc>
        <w:tc>
          <w:tcPr>
            <w:tcW w:w="228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电气部分运转正常，机械运转正常，运动部位加润滑油，运转良好，帘布/片无损伤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3</w:t>
            </w:r>
          </w:p>
        </w:tc>
        <w:tc>
          <w:tcPr>
            <w:tcW w:w="960" w:type="dxa"/>
            <w:vMerge w:val="continue"/>
            <w:vAlign w:val="center"/>
          </w:tcPr>
          <w:p>
            <w:pPr>
              <w:adjustRightInd w:val="0"/>
              <w:snapToGrid w:val="0"/>
              <w:jc w:val="left"/>
              <w:rPr>
                <w:rFonts w:ascii="仿宋_GB2312" w:eastAsia="仿宋_GB2312"/>
                <w:sz w:val="24"/>
                <w:highlight w:val="none"/>
              </w:rPr>
            </w:pPr>
          </w:p>
        </w:tc>
        <w:tc>
          <w:tcPr>
            <w:tcW w:w="133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转动部份</w:t>
            </w:r>
          </w:p>
        </w:tc>
        <w:tc>
          <w:tcPr>
            <w:tcW w:w="370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对机械部份（齿轮、锋条）、卷帘门门体等进行紧固与上油保养</w:t>
            </w:r>
          </w:p>
        </w:tc>
        <w:tc>
          <w:tcPr>
            <w:tcW w:w="49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季</w:t>
            </w:r>
          </w:p>
        </w:tc>
        <w:tc>
          <w:tcPr>
            <w:tcW w:w="228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无锈损且表面涂有润滑油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4</w:t>
            </w:r>
          </w:p>
        </w:tc>
        <w:tc>
          <w:tcPr>
            <w:tcW w:w="2295" w:type="dxa"/>
            <w:gridSpan w:val="2"/>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线路维护</w:t>
            </w:r>
          </w:p>
        </w:tc>
        <w:tc>
          <w:tcPr>
            <w:tcW w:w="370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每季度对控制柜内部各电器触点、接线端子及端子排端子、信号（电源）线进行检查维护</w:t>
            </w:r>
          </w:p>
        </w:tc>
        <w:tc>
          <w:tcPr>
            <w:tcW w:w="49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季</w:t>
            </w:r>
          </w:p>
        </w:tc>
        <w:tc>
          <w:tcPr>
            <w:tcW w:w="228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触点完好、端子无烧损或松动</w:t>
            </w:r>
          </w:p>
        </w:tc>
      </w:tr>
    </w:tbl>
    <w:p>
      <w:pPr>
        <w:spacing w:line="560" w:lineRule="exact"/>
        <w:ind w:firstLine="560" w:firstLineChars="200"/>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⑥消防水系统</w:t>
      </w:r>
    </w:p>
    <w:tbl>
      <w:tblPr>
        <w:tblStyle w:val="15"/>
        <w:tblW w:w="9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2010"/>
        <w:gridCol w:w="3675"/>
        <w:gridCol w:w="555"/>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序号</w:t>
            </w:r>
          </w:p>
        </w:tc>
        <w:tc>
          <w:tcPr>
            <w:tcW w:w="201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项目</w:t>
            </w:r>
          </w:p>
        </w:tc>
        <w:tc>
          <w:tcPr>
            <w:tcW w:w="367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工作内容</w:t>
            </w:r>
          </w:p>
        </w:tc>
        <w:tc>
          <w:tcPr>
            <w:tcW w:w="55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周期</w:t>
            </w:r>
          </w:p>
        </w:tc>
        <w:tc>
          <w:tcPr>
            <w:tcW w:w="243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1</w:t>
            </w:r>
          </w:p>
        </w:tc>
        <w:tc>
          <w:tcPr>
            <w:tcW w:w="201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喷头</w:t>
            </w:r>
          </w:p>
        </w:tc>
        <w:tc>
          <w:tcPr>
            <w:tcW w:w="367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清理保养区的积尘较多、污染严重的喷头</w:t>
            </w:r>
          </w:p>
        </w:tc>
        <w:tc>
          <w:tcPr>
            <w:tcW w:w="55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半年</w:t>
            </w:r>
          </w:p>
        </w:tc>
        <w:tc>
          <w:tcPr>
            <w:tcW w:w="243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喷头色泽正常、无损坏、无腐蚀、无污染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2</w:t>
            </w:r>
          </w:p>
        </w:tc>
        <w:tc>
          <w:tcPr>
            <w:tcW w:w="201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水流指示器</w:t>
            </w:r>
          </w:p>
        </w:tc>
        <w:tc>
          <w:tcPr>
            <w:tcW w:w="367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检查保养区的信号接点，检查橡胶密封圈</w:t>
            </w:r>
          </w:p>
        </w:tc>
        <w:tc>
          <w:tcPr>
            <w:tcW w:w="55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季</w:t>
            </w:r>
          </w:p>
        </w:tc>
        <w:tc>
          <w:tcPr>
            <w:tcW w:w="243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机械、反馈信号正常，密封良好、密封点无渗水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3</w:t>
            </w:r>
          </w:p>
        </w:tc>
        <w:tc>
          <w:tcPr>
            <w:tcW w:w="201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信号阀</w:t>
            </w:r>
          </w:p>
        </w:tc>
        <w:tc>
          <w:tcPr>
            <w:tcW w:w="367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检查保养区的橡胶密封圈、清除污物、清理锈迹，检查信号</w:t>
            </w:r>
          </w:p>
        </w:tc>
        <w:tc>
          <w:tcPr>
            <w:tcW w:w="55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季</w:t>
            </w:r>
          </w:p>
        </w:tc>
        <w:tc>
          <w:tcPr>
            <w:tcW w:w="243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无泄露、转动灵活、信号输出正常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4</w:t>
            </w:r>
          </w:p>
        </w:tc>
        <w:tc>
          <w:tcPr>
            <w:tcW w:w="201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减压阀、排气阀</w:t>
            </w:r>
          </w:p>
        </w:tc>
        <w:tc>
          <w:tcPr>
            <w:tcW w:w="367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对管网中的减压阀，排气阀进行检修、清洗。</w:t>
            </w:r>
          </w:p>
        </w:tc>
        <w:tc>
          <w:tcPr>
            <w:tcW w:w="55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年</w:t>
            </w:r>
          </w:p>
        </w:tc>
        <w:tc>
          <w:tcPr>
            <w:tcW w:w="243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5</w:t>
            </w:r>
          </w:p>
        </w:tc>
        <w:tc>
          <w:tcPr>
            <w:tcW w:w="201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水泵接合器</w:t>
            </w:r>
          </w:p>
        </w:tc>
        <w:tc>
          <w:tcPr>
            <w:tcW w:w="367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检查保养区的密封件、清除严重污物、锈迹</w:t>
            </w:r>
          </w:p>
        </w:tc>
        <w:tc>
          <w:tcPr>
            <w:tcW w:w="55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月</w:t>
            </w:r>
          </w:p>
        </w:tc>
        <w:tc>
          <w:tcPr>
            <w:tcW w:w="243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整体设置合理，止回阀自动回位，密封性好，外形无污染，标志清晰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6</w:t>
            </w:r>
          </w:p>
        </w:tc>
        <w:tc>
          <w:tcPr>
            <w:tcW w:w="201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报警阀</w:t>
            </w:r>
          </w:p>
        </w:tc>
        <w:tc>
          <w:tcPr>
            <w:tcW w:w="367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检查报警阀接口是否渗漏，是否变形、污垢、杂物等影响密封</w:t>
            </w:r>
          </w:p>
        </w:tc>
        <w:tc>
          <w:tcPr>
            <w:tcW w:w="55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月</w:t>
            </w:r>
          </w:p>
        </w:tc>
        <w:tc>
          <w:tcPr>
            <w:tcW w:w="243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报警正常，无污染、不渗漏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7</w:t>
            </w:r>
          </w:p>
        </w:tc>
        <w:tc>
          <w:tcPr>
            <w:tcW w:w="201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消火栓箱</w:t>
            </w:r>
          </w:p>
        </w:tc>
        <w:tc>
          <w:tcPr>
            <w:tcW w:w="367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检查消火栓垫圈、检查阀门是否有漏水、检查卷盘水龙带等是否损坏，消防水压正常</w:t>
            </w:r>
          </w:p>
        </w:tc>
        <w:tc>
          <w:tcPr>
            <w:tcW w:w="55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季</w:t>
            </w:r>
          </w:p>
        </w:tc>
        <w:tc>
          <w:tcPr>
            <w:tcW w:w="243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消火栓箱无漏水、无变形，水带、卷盘摆放良好，水压正常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8</w:t>
            </w:r>
          </w:p>
        </w:tc>
        <w:tc>
          <w:tcPr>
            <w:tcW w:w="201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管件（网）</w:t>
            </w:r>
          </w:p>
        </w:tc>
        <w:tc>
          <w:tcPr>
            <w:tcW w:w="367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对系统管网进行除锈、上油保养</w:t>
            </w:r>
          </w:p>
        </w:tc>
        <w:tc>
          <w:tcPr>
            <w:tcW w:w="55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季</w:t>
            </w:r>
          </w:p>
        </w:tc>
        <w:tc>
          <w:tcPr>
            <w:tcW w:w="243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管件（网）无锈迹，每年管网（除埋地部分外）全部覆盖一次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9</w:t>
            </w:r>
          </w:p>
        </w:tc>
        <w:tc>
          <w:tcPr>
            <w:tcW w:w="201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管网</w:t>
            </w:r>
          </w:p>
        </w:tc>
        <w:tc>
          <w:tcPr>
            <w:tcW w:w="367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水压试验（重点区域可用其他介质替代）</w:t>
            </w:r>
          </w:p>
        </w:tc>
        <w:tc>
          <w:tcPr>
            <w:tcW w:w="55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年</w:t>
            </w:r>
          </w:p>
        </w:tc>
        <w:tc>
          <w:tcPr>
            <w:tcW w:w="243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试验压力为正常压力的1.4-1.5倍，稳压24小时，压降不超过0.05MPa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10</w:t>
            </w:r>
          </w:p>
        </w:tc>
        <w:tc>
          <w:tcPr>
            <w:tcW w:w="201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喷淋系统功能检测</w:t>
            </w:r>
          </w:p>
        </w:tc>
        <w:tc>
          <w:tcPr>
            <w:tcW w:w="367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打开喷淋末端放水阀，放水自动启动喷淋泵：在现场手动启动喷淋泵，主备泵自动切换测试，观测压力是否正常</w:t>
            </w:r>
          </w:p>
        </w:tc>
        <w:tc>
          <w:tcPr>
            <w:tcW w:w="55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月</w:t>
            </w:r>
          </w:p>
        </w:tc>
        <w:tc>
          <w:tcPr>
            <w:tcW w:w="243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手动、自动启动正常，主备泵切换正常，水泵压力正常，管网无泄露，报警阀报警正常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11</w:t>
            </w:r>
          </w:p>
        </w:tc>
        <w:tc>
          <w:tcPr>
            <w:tcW w:w="201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消火栓系统功能检测</w:t>
            </w:r>
          </w:p>
        </w:tc>
        <w:tc>
          <w:tcPr>
            <w:tcW w:w="367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在现场手自动启动消火栓泵，主备泵自动切换测试，观测压力是否正常</w:t>
            </w:r>
          </w:p>
        </w:tc>
        <w:tc>
          <w:tcPr>
            <w:tcW w:w="55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月</w:t>
            </w:r>
          </w:p>
        </w:tc>
        <w:tc>
          <w:tcPr>
            <w:tcW w:w="243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手自动启动正常，主备泵切换正常，水泵压力正常，管网无泄露。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12</w:t>
            </w:r>
          </w:p>
        </w:tc>
        <w:tc>
          <w:tcPr>
            <w:tcW w:w="201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控制柜检查</w:t>
            </w:r>
          </w:p>
        </w:tc>
        <w:tc>
          <w:tcPr>
            <w:tcW w:w="367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控制柜上电源指示灯及各类开关</w:t>
            </w:r>
          </w:p>
        </w:tc>
        <w:tc>
          <w:tcPr>
            <w:tcW w:w="55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月</w:t>
            </w:r>
          </w:p>
        </w:tc>
        <w:tc>
          <w:tcPr>
            <w:tcW w:w="243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电源指示灯正常，开关处于开关启或自动状态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tcPr>
          <w:p>
            <w:pPr>
              <w:adjustRightInd w:val="0"/>
              <w:snapToGrid w:val="0"/>
              <w:jc w:val="left"/>
              <w:rPr>
                <w:rFonts w:ascii="仿宋_GB2312" w:eastAsia="仿宋_GB2312"/>
                <w:sz w:val="24"/>
                <w:highlight w:val="none"/>
              </w:rPr>
            </w:pPr>
            <w:r>
              <w:rPr>
                <w:rFonts w:hint="eastAsia" w:ascii="仿宋_GB2312" w:eastAsia="仿宋_GB2312"/>
                <w:sz w:val="24"/>
                <w:highlight w:val="none"/>
              </w:rPr>
              <w:t>13</w:t>
            </w:r>
          </w:p>
        </w:tc>
        <w:tc>
          <w:tcPr>
            <w:tcW w:w="201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线路检查</w:t>
            </w:r>
          </w:p>
        </w:tc>
        <w:tc>
          <w:tcPr>
            <w:tcW w:w="367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控制柜内部各电器触点，各电器元件接线端子及端子排端</w:t>
            </w:r>
          </w:p>
        </w:tc>
        <w:tc>
          <w:tcPr>
            <w:tcW w:w="55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季</w:t>
            </w:r>
          </w:p>
        </w:tc>
        <w:tc>
          <w:tcPr>
            <w:tcW w:w="243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触点完好，无松动，各端子连接牢固，无烧损</w:t>
            </w:r>
          </w:p>
        </w:tc>
      </w:tr>
    </w:tbl>
    <w:p>
      <w:pPr>
        <w:spacing w:line="560" w:lineRule="exact"/>
        <w:ind w:firstLine="560" w:firstLineChars="200"/>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⑦联动控制系统</w:t>
      </w:r>
    </w:p>
    <w:tbl>
      <w:tblPr>
        <w:tblStyle w:val="15"/>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885"/>
        <w:gridCol w:w="1020"/>
        <w:gridCol w:w="3825"/>
        <w:gridCol w:w="660"/>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549"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序号</w:t>
            </w:r>
          </w:p>
        </w:tc>
        <w:tc>
          <w:tcPr>
            <w:tcW w:w="88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项目</w:t>
            </w:r>
          </w:p>
        </w:tc>
        <w:tc>
          <w:tcPr>
            <w:tcW w:w="4845" w:type="dxa"/>
            <w:gridSpan w:val="2"/>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工作内容</w:t>
            </w:r>
          </w:p>
        </w:tc>
        <w:tc>
          <w:tcPr>
            <w:tcW w:w="66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周期</w:t>
            </w:r>
          </w:p>
        </w:tc>
        <w:tc>
          <w:tcPr>
            <w:tcW w:w="231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549"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1</w:t>
            </w:r>
          </w:p>
        </w:tc>
        <w:tc>
          <w:tcPr>
            <w:tcW w:w="885" w:type="dxa"/>
            <w:vMerge w:val="restart"/>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控制功能检查</w:t>
            </w:r>
          </w:p>
        </w:tc>
        <w:tc>
          <w:tcPr>
            <w:tcW w:w="102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防火卷帘</w:t>
            </w:r>
          </w:p>
        </w:tc>
        <w:tc>
          <w:tcPr>
            <w:tcW w:w="382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疏散出口，感烟探测器动作后，卷帘进行第一步下放（距地面1.5米-1.8米):感温探测器动作后，卷帘归底，用作防火分隔，迫降到底。感烟、感温探测器的报警信号及防火卷帘的关闭信号应送至消防控制室</w:t>
            </w:r>
          </w:p>
        </w:tc>
        <w:tc>
          <w:tcPr>
            <w:tcW w:w="66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季</w:t>
            </w:r>
          </w:p>
        </w:tc>
        <w:tc>
          <w:tcPr>
            <w:tcW w:w="231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卷帘下降正常，信号显示正常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9"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2</w:t>
            </w:r>
          </w:p>
        </w:tc>
        <w:tc>
          <w:tcPr>
            <w:tcW w:w="885" w:type="dxa"/>
            <w:vMerge w:val="continue"/>
            <w:vAlign w:val="center"/>
          </w:tcPr>
          <w:p>
            <w:pPr>
              <w:adjustRightInd w:val="0"/>
              <w:snapToGrid w:val="0"/>
              <w:jc w:val="left"/>
              <w:rPr>
                <w:rFonts w:ascii="仿宋_GB2312" w:eastAsia="仿宋_GB2312"/>
                <w:sz w:val="24"/>
                <w:highlight w:val="none"/>
              </w:rPr>
            </w:pPr>
          </w:p>
        </w:tc>
        <w:tc>
          <w:tcPr>
            <w:tcW w:w="102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消防排烟</w:t>
            </w:r>
          </w:p>
        </w:tc>
        <w:tc>
          <w:tcPr>
            <w:tcW w:w="382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1、停止有关部位的空调送风，关闭电动防火阀，并接收其反馈信号2、启动有关部位2的排烟阀、送风阀、排烟风机、送风机等，并接受其反馈信号。</w:t>
            </w:r>
          </w:p>
        </w:tc>
        <w:tc>
          <w:tcPr>
            <w:tcW w:w="66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季</w:t>
            </w:r>
          </w:p>
        </w:tc>
        <w:tc>
          <w:tcPr>
            <w:tcW w:w="231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防排烟动作正常，信号显示正常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9"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3</w:t>
            </w:r>
          </w:p>
        </w:tc>
        <w:tc>
          <w:tcPr>
            <w:tcW w:w="885" w:type="dxa"/>
            <w:vMerge w:val="continue"/>
            <w:vAlign w:val="center"/>
          </w:tcPr>
          <w:p>
            <w:pPr>
              <w:adjustRightInd w:val="0"/>
              <w:snapToGrid w:val="0"/>
              <w:jc w:val="left"/>
              <w:rPr>
                <w:rFonts w:ascii="仿宋_GB2312" w:eastAsia="仿宋_GB2312"/>
                <w:sz w:val="24"/>
                <w:highlight w:val="none"/>
              </w:rPr>
            </w:pPr>
          </w:p>
        </w:tc>
        <w:tc>
          <w:tcPr>
            <w:tcW w:w="102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气体</w:t>
            </w:r>
          </w:p>
        </w:tc>
        <w:tc>
          <w:tcPr>
            <w:tcW w:w="382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1、检查气体灭火系统防护区的报警、喷放及防火门（帘）、通风空调等设备的状态信号应送至消防控制室</w:t>
            </w:r>
          </w:p>
        </w:tc>
        <w:tc>
          <w:tcPr>
            <w:tcW w:w="66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季</w:t>
            </w:r>
          </w:p>
        </w:tc>
        <w:tc>
          <w:tcPr>
            <w:tcW w:w="231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能实施程序控制，信号显示正常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9"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4</w:t>
            </w:r>
          </w:p>
        </w:tc>
        <w:tc>
          <w:tcPr>
            <w:tcW w:w="885" w:type="dxa"/>
            <w:vMerge w:val="continue"/>
          </w:tcPr>
          <w:p>
            <w:pPr>
              <w:adjustRightInd w:val="0"/>
              <w:snapToGrid w:val="0"/>
              <w:jc w:val="left"/>
              <w:rPr>
                <w:rFonts w:ascii="仿宋_GB2312" w:eastAsia="仿宋_GB2312"/>
                <w:sz w:val="24"/>
                <w:highlight w:val="none"/>
              </w:rPr>
            </w:pPr>
          </w:p>
        </w:tc>
        <w:tc>
          <w:tcPr>
            <w:tcW w:w="102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自动喷淋</w:t>
            </w:r>
          </w:p>
        </w:tc>
        <w:tc>
          <w:tcPr>
            <w:tcW w:w="382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控制系统的启、停，显示消防水泵的工作及故障状态，显示系统控制阀、报警阀及水流指示器的工作状态。</w:t>
            </w:r>
          </w:p>
        </w:tc>
        <w:tc>
          <w:tcPr>
            <w:tcW w:w="66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季</w:t>
            </w:r>
          </w:p>
        </w:tc>
        <w:tc>
          <w:tcPr>
            <w:tcW w:w="231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喷淋控制及信号显示正常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9"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5</w:t>
            </w:r>
          </w:p>
        </w:tc>
        <w:tc>
          <w:tcPr>
            <w:tcW w:w="885" w:type="dxa"/>
            <w:vMerge w:val="continue"/>
          </w:tcPr>
          <w:p>
            <w:pPr>
              <w:adjustRightInd w:val="0"/>
              <w:snapToGrid w:val="0"/>
              <w:jc w:val="left"/>
              <w:rPr>
                <w:rFonts w:ascii="仿宋_GB2312" w:eastAsia="仿宋_GB2312"/>
                <w:sz w:val="24"/>
                <w:highlight w:val="none"/>
              </w:rPr>
            </w:pPr>
          </w:p>
        </w:tc>
        <w:tc>
          <w:tcPr>
            <w:tcW w:w="102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室内消火栓</w:t>
            </w:r>
          </w:p>
        </w:tc>
        <w:tc>
          <w:tcPr>
            <w:tcW w:w="382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控制消防水泵的启、停，显示消防水泵工作、故障状态</w:t>
            </w:r>
          </w:p>
        </w:tc>
        <w:tc>
          <w:tcPr>
            <w:tcW w:w="66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季</w:t>
            </w:r>
          </w:p>
        </w:tc>
        <w:tc>
          <w:tcPr>
            <w:tcW w:w="231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消火栓控制及信号显示正常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9"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6</w:t>
            </w:r>
          </w:p>
        </w:tc>
        <w:tc>
          <w:tcPr>
            <w:tcW w:w="885" w:type="dxa"/>
            <w:vMerge w:val="continue"/>
          </w:tcPr>
          <w:p>
            <w:pPr>
              <w:adjustRightInd w:val="0"/>
              <w:snapToGrid w:val="0"/>
              <w:jc w:val="left"/>
              <w:rPr>
                <w:rFonts w:ascii="仿宋_GB2312" w:eastAsia="仿宋_GB2312"/>
                <w:sz w:val="24"/>
                <w:highlight w:val="none"/>
              </w:rPr>
            </w:pPr>
          </w:p>
        </w:tc>
        <w:tc>
          <w:tcPr>
            <w:tcW w:w="102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疏散指示</w:t>
            </w:r>
          </w:p>
        </w:tc>
        <w:tc>
          <w:tcPr>
            <w:tcW w:w="382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接通火灾事故照明和疏散指示灯</w:t>
            </w:r>
          </w:p>
        </w:tc>
        <w:tc>
          <w:tcPr>
            <w:tcW w:w="66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季</w:t>
            </w:r>
          </w:p>
        </w:tc>
        <w:tc>
          <w:tcPr>
            <w:tcW w:w="231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疏散指示正常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9"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7</w:t>
            </w:r>
          </w:p>
        </w:tc>
        <w:tc>
          <w:tcPr>
            <w:tcW w:w="885" w:type="dxa"/>
            <w:vMerge w:val="continue"/>
          </w:tcPr>
          <w:p>
            <w:pPr>
              <w:adjustRightInd w:val="0"/>
              <w:snapToGrid w:val="0"/>
              <w:jc w:val="left"/>
              <w:rPr>
                <w:rFonts w:ascii="仿宋_GB2312" w:eastAsia="仿宋_GB2312"/>
                <w:sz w:val="24"/>
                <w:highlight w:val="none"/>
              </w:rPr>
            </w:pPr>
          </w:p>
        </w:tc>
        <w:tc>
          <w:tcPr>
            <w:tcW w:w="102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电梯迫降</w:t>
            </w:r>
          </w:p>
        </w:tc>
        <w:tc>
          <w:tcPr>
            <w:tcW w:w="382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发出控制信号强制电梯全部停于首层，并显示其工作状态</w:t>
            </w:r>
          </w:p>
        </w:tc>
        <w:tc>
          <w:tcPr>
            <w:tcW w:w="66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半年</w:t>
            </w:r>
          </w:p>
        </w:tc>
        <w:tc>
          <w:tcPr>
            <w:tcW w:w="231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电梯迫降正常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9"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8</w:t>
            </w:r>
          </w:p>
        </w:tc>
        <w:tc>
          <w:tcPr>
            <w:tcW w:w="885" w:type="dxa"/>
            <w:vMerge w:val="continue"/>
          </w:tcPr>
          <w:p>
            <w:pPr>
              <w:adjustRightInd w:val="0"/>
              <w:snapToGrid w:val="0"/>
              <w:jc w:val="left"/>
              <w:rPr>
                <w:rFonts w:ascii="仿宋_GB2312" w:eastAsia="仿宋_GB2312"/>
                <w:sz w:val="24"/>
                <w:highlight w:val="none"/>
              </w:rPr>
            </w:pPr>
          </w:p>
        </w:tc>
        <w:tc>
          <w:tcPr>
            <w:tcW w:w="102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非消防电源切除</w:t>
            </w:r>
          </w:p>
        </w:tc>
        <w:tc>
          <w:tcPr>
            <w:tcW w:w="382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手动切断有关部位的非消防电源</w:t>
            </w:r>
          </w:p>
        </w:tc>
        <w:tc>
          <w:tcPr>
            <w:tcW w:w="66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年</w:t>
            </w:r>
          </w:p>
        </w:tc>
        <w:tc>
          <w:tcPr>
            <w:tcW w:w="231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非消防电源切除正常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9"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9</w:t>
            </w:r>
          </w:p>
        </w:tc>
        <w:tc>
          <w:tcPr>
            <w:tcW w:w="885" w:type="dxa"/>
            <w:vMerge w:val="continue"/>
          </w:tcPr>
          <w:p>
            <w:pPr>
              <w:adjustRightInd w:val="0"/>
              <w:snapToGrid w:val="0"/>
              <w:jc w:val="left"/>
              <w:rPr>
                <w:rFonts w:ascii="仿宋_GB2312" w:eastAsia="仿宋_GB2312"/>
                <w:sz w:val="24"/>
                <w:highlight w:val="none"/>
              </w:rPr>
            </w:pPr>
          </w:p>
        </w:tc>
        <w:tc>
          <w:tcPr>
            <w:tcW w:w="102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消防广播</w:t>
            </w:r>
          </w:p>
        </w:tc>
        <w:tc>
          <w:tcPr>
            <w:tcW w:w="382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火警自动切换到消防广播状态</w:t>
            </w:r>
          </w:p>
        </w:tc>
        <w:tc>
          <w:tcPr>
            <w:tcW w:w="66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季</w:t>
            </w:r>
          </w:p>
        </w:tc>
        <w:tc>
          <w:tcPr>
            <w:tcW w:w="231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位置准确、音质、音量正常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9"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10</w:t>
            </w:r>
          </w:p>
        </w:tc>
        <w:tc>
          <w:tcPr>
            <w:tcW w:w="1905" w:type="dxa"/>
            <w:gridSpan w:val="2"/>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线路维护</w:t>
            </w:r>
          </w:p>
        </w:tc>
        <w:tc>
          <w:tcPr>
            <w:tcW w:w="382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检查各电器触点，各电器元件接线端子及端子排端子，各电源信号线</w:t>
            </w:r>
          </w:p>
        </w:tc>
        <w:tc>
          <w:tcPr>
            <w:tcW w:w="66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季</w:t>
            </w:r>
          </w:p>
        </w:tc>
        <w:tc>
          <w:tcPr>
            <w:tcW w:w="231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触点完好，无烧损，各端子连接牢固、无烧损，导线无破损、烧焦现象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9"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11</w:t>
            </w:r>
          </w:p>
        </w:tc>
        <w:tc>
          <w:tcPr>
            <w:tcW w:w="1905" w:type="dxa"/>
            <w:gridSpan w:val="2"/>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内部清洁</w:t>
            </w:r>
          </w:p>
        </w:tc>
        <w:tc>
          <w:tcPr>
            <w:tcW w:w="3825"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控制台内部除尘</w:t>
            </w:r>
          </w:p>
        </w:tc>
        <w:tc>
          <w:tcPr>
            <w:tcW w:w="66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季</w:t>
            </w:r>
          </w:p>
        </w:tc>
        <w:tc>
          <w:tcPr>
            <w:tcW w:w="2310" w:type="dxa"/>
            <w:vAlign w:val="center"/>
          </w:tcPr>
          <w:p>
            <w:pPr>
              <w:adjustRightInd w:val="0"/>
              <w:snapToGrid w:val="0"/>
              <w:jc w:val="left"/>
              <w:rPr>
                <w:rFonts w:ascii="仿宋_GB2312" w:eastAsia="仿宋_GB2312"/>
                <w:sz w:val="24"/>
                <w:highlight w:val="none"/>
              </w:rPr>
            </w:pPr>
            <w:r>
              <w:rPr>
                <w:rFonts w:hint="eastAsia" w:ascii="仿宋_GB2312" w:eastAsia="仿宋_GB2312"/>
                <w:sz w:val="24"/>
                <w:highlight w:val="none"/>
              </w:rPr>
              <w:t>无尘</w:t>
            </w:r>
          </w:p>
        </w:tc>
      </w:tr>
    </w:tbl>
    <w:p>
      <w:pPr>
        <w:adjustRightInd w:val="0"/>
        <w:snapToGrid w:val="0"/>
        <w:jc w:val="left"/>
        <w:rPr>
          <w:rFonts w:hint="eastAsia" w:asciiTheme="minorEastAsia" w:hAnsiTheme="minorEastAsia" w:eastAsiaTheme="minorEastAsia"/>
          <w:color w:val="auto"/>
          <w:sz w:val="28"/>
          <w:szCs w:val="28"/>
          <w:highlight w:val="none"/>
          <w:lang w:val="en-US" w:eastAsia="zh-CN"/>
        </w:rPr>
      </w:pPr>
    </w:p>
    <w:p>
      <w:pPr>
        <w:adjustRightInd w:val="0"/>
        <w:snapToGrid w:val="0"/>
        <w:jc w:val="left"/>
        <w:rPr>
          <w:rFonts w:ascii="仿宋_GB2312" w:eastAsia="仿宋_GB2312" w:hAnsiTheme="minorEastAsia"/>
          <w:sz w:val="28"/>
          <w:szCs w:val="28"/>
          <w:highlight w:val="none"/>
        </w:rPr>
      </w:pPr>
      <w:r>
        <w:rPr>
          <w:rFonts w:hint="eastAsia" w:asciiTheme="minorEastAsia" w:hAnsiTheme="minorEastAsia" w:eastAsiaTheme="minorEastAsia"/>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⑧</w:t>
      </w:r>
      <w:r>
        <w:rPr>
          <w:rFonts w:hint="eastAsia" w:ascii="仿宋_GB2312" w:eastAsia="仿宋_GB2312" w:hAnsiTheme="minorEastAsia"/>
          <w:sz w:val="28"/>
          <w:szCs w:val="28"/>
          <w:highlight w:val="none"/>
        </w:rPr>
        <w:t>感温光纤监控系统、高压电房七氟丙烷自动灭火系统及其它系统</w:t>
      </w:r>
    </w:p>
    <w:tbl>
      <w:tblPr>
        <w:tblStyle w:val="15"/>
        <w:tblW w:w="9060" w:type="dxa"/>
        <w:tblInd w:w="93" w:type="dxa"/>
        <w:tblLayout w:type="fixed"/>
        <w:tblCellMar>
          <w:top w:w="0" w:type="dxa"/>
          <w:left w:w="108" w:type="dxa"/>
          <w:bottom w:w="0" w:type="dxa"/>
          <w:right w:w="108" w:type="dxa"/>
        </w:tblCellMar>
      </w:tblPr>
      <w:tblGrid>
        <w:gridCol w:w="660"/>
        <w:gridCol w:w="1100"/>
        <w:gridCol w:w="2880"/>
        <w:gridCol w:w="1080"/>
        <w:gridCol w:w="3340"/>
      </w:tblGrid>
      <w:tr>
        <w:tblPrEx>
          <w:tblLayout w:type="fixed"/>
          <w:tblCellMar>
            <w:top w:w="0" w:type="dxa"/>
            <w:left w:w="108" w:type="dxa"/>
            <w:bottom w:w="0" w:type="dxa"/>
            <w:right w:w="108" w:type="dxa"/>
          </w:tblCellMar>
        </w:tblPrEx>
        <w:trPr>
          <w:trHeight w:val="315"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序号</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项</w:t>
            </w:r>
            <w:r>
              <w:rPr>
                <w:rFonts w:hint="eastAsia" w:ascii="仿宋_GB2312" w:hAnsi="Times New Roman" w:eastAsia="仿宋_GB2312"/>
                <w:color w:val="000000"/>
                <w:kern w:val="0"/>
                <w:sz w:val="24"/>
                <w:highlight w:val="none"/>
              </w:rPr>
              <w:t>目</w:t>
            </w:r>
          </w:p>
        </w:tc>
        <w:tc>
          <w:tcPr>
            <w:tcW w:w="28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工作内容</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周期</w:t>
            </w:r>
          </w:p>
        </w:tc>
        <w:tc>
          <w:tcPr>
            <w:tcW w:w="3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标</w:t>
            </w:r>
            <w:r>
              <w:rPr>
                <w:rFonts w:hint="eastAsia" w:ascii="仿宋_GB2312" w:hAnsi="Times New Roman" w:eastAsia="仿宋_GB2312"/>
                <w:color w:val="000000"/>
                <w:kern w:val="0"/>
                <w:sz w:val="24"/>
                <w:highlight w:val="none"/>
              </w:rPr>
              <w:t>准</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1</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消防监控系统功能检查</w:t>
            </w:r>
          </w:p>
        </w:tc>
        <w:tc>
          <w:tcPr>
            <w:tcW w:w="2880" w:type="dxa"/>
            <w:tcBorders>
              <w:top w:val="nil"/>
              <w:left w:val="nil"/>
              <w:bottom w:val="single" w:color="auto" w:sz="4" w:space="0"/>
              <w:right w:val="nil"/>
            </w:tcBorders>
            <w:shd w:val="clear" w:color="FFFFFF" w:fill="FFFFFF"/>
            <w:vAlign w:val="center"/>
          </w:tcPr>
          <w:p>
            <w:pPr>
              <w:widowControl/>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感温光纤控制单元</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设备工作正常，信号显示正常</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2</w:t>
            </w: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highlight w:val="none"/>
              </w:rPr>
            </w:pPr>
          </w:p>
        </w:tc>
        <w:tc>
          <w:tcPr>
            <w:tcW w:w="2880" w:type="dxa"/>
            <w:tcBorders>
              <w:top w:val="nil"/>
              <w:left w:val="nil"/>
              <w:bottom w:val="single" w:color="auto" w:sz="4" w:space="0"/>
              <w:right w:val="nil"/>
            </w:tcBorders>
            <w:shd w:val="clear" w:color="FFFFFF" w:fill="FFFFFF"/>
            <w:vAlign w:val="center"/>
          </w:tcPr>
          <w:p>
            <w:pPr>
              <w:widowControl/>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专用开关电源</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设备工作正常，信号显示正常</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3</w:t>
            </w: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highlight w:val="none"/>
              </w:rPr>
            </w:pPr>
          </w:p>
        </w:tc>
        <w:tc>
          <w:tcPr>
            <w:tcW w:w="2880" w:type="dxa"/>
            <w:tcBorders>
              <w:top w:val="nil"/>
              <w:left w:val="nil"/>
              <w:bottom w:val="single" w:color="auto" w:sz="4" w:space="0"/>
              <w:right w:val="nil"/>
            </w:tcBorders>
            <w:shd w:val="clear" w:color="FFFFFF" w:fill="FFFFFF"/>
            <w:vAlign w:val="center"/>
          </w:tcPr>
          <w:p>
            <w:pPr>
              <w:widowControl/>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专用机柜</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设备工作正常，信号显示正常</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4</w:t>
            </w: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highlight w:val="none"/>
              </w:rPr>
            </w:pPr>
          </w:p>
        </w:tc>
        <w:tc>
          <w:tcPr>
            <w:tcW w:w="2880" w:type="dxa"/>
            <w:tcBorders>
              <w:top w:val="nil"/>
              <w:left w:val="nil"/>
              <w:bottom w:val="single" w:color="auto" w:sz="4" w:space="0"/>
              <w:right w:val="nil"/>
            </w:tcBorders>
            <w:shd w:val="clear" w:color="FFFFFF" w:fill="FFFFFF"/>
            <w:vAlign w:val="center"/>
          </w:tcPr>
          <w:p>
            <w:pPr>
              <w:widowControl/>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感温光纤</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设备工作正常，信号显示正常</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5</w:t>
            </w: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highlight w:val="none"/>
              </w:rPr>
            </w:pPr>
          </w:p>
        </w:tc>
        <w:tc>
          <w:tcPr>
            <w:tcW w:w="2880" w:type="dxa"/>
            <w:tcBorders>
              <w:top w:val="nil"/>
              <w:left w:val="nil"/>
              <w:bottom w:val="single" w:color="auto" w:sz="4" w:space="0"/>
              <w:right w:val="nil"/>
            </w:tcBorders>
            <w:shd w:val="clear" w:color="FFFFFF" w:fill="FFFFFF"/>
            <w:vAlign w:val="center"/>
          </w:tcPr>
          <w:p>
            <w:pPr>
              <w:widowControl/>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动力配电箱</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设备工作正常，信号显示正常</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6</w:t>
            </w: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highlight w:val="none"/>
              </w:rPr>
            </w:pPr>
          </w:p>
        </w:tc>
        <w:tc>
          <w:tcPr>
            <w:tcW w:w="2880" w:type="dxa"/>
            <w:tcBorders>
              <w:top w:val="nil"/>
              <w:left w:val="nil"/>
              <w:bottom w:val="single" w:color="auto" w:sz="4" w:space="0"/>
              <w:right w:val="nil"/>
            </w:tcBorders>
            <w:shd w:val="clear" w:color="FFFFFF" w:fill="FFFFFF"/>
            <w:vAlign w:val="center"/>
          </w:tcPr>
          <w:p>
            <w:pPr>
              <w:widowControl/>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电力电缆</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设备工作正常，信号显示正常</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7</w:t>
            </w: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highlight w:val="none"/>
              </w:rPr>
            </w:pPr>
          </w:p>
        </w:tc>
        <w:tc>
          <w:tcPr>
            <w:tcW w:w="2880" w:type="dxa"/>
            <w:tcBorders>
              <w:top w:val="nil"/>
              <w:left w:val="nil"/>
              <w:bottom w:val="single" w:color="auto" w:sz="4" w:space="0"/>
              <w:right w:val="nil"/>
            </w:tcBorders>
            <w:shd w:val="clear" w:color="FFFFFF" w:fill="FFFFFF"/>
            <w:vAlign w:val="center"/>
          </w:tcPr>
          <w:p>
            <w:pPr>
              <w:widowControl/>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尾迁</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设备工作正常，信号显示正常</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8</w:t>
            </w: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highlight w:val="none"/>
              </w:rPr>
            </w:pPr>
          </w:p>
        </w:tc>
        <w:tc>
          <w:tcPr>
            <w:tcW w:w="2880" w:type="dxa"/>
            <w:tcBorders>
              <w:top w:val="nil"/>
              <w:left w:val="nil"/>
              <w:bottom w:val="single" w:color="auto" w:sz="4" w:space="0"/>
              <w:right w:val="nil"/>
            </w:tcBorders>
            <w:shd w:val="clear" w:color="FFFFFF" w:fill="FFFFFF"/>
            <w:vAlign w:val="center"/>
          </w:tcPr>
          <w:p>
            <w:pPr>
              <w:widowControl/>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感温光纤监控系统管理计算机</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设备工作正常，信号显示正常</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9</w:t>
            </w: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highlight w:val="none"/>
              </w:rPr>
            </w:pPr>
          </w:p>
        </w:tc>
        <w:tc>
          <w:tcPr>
            <w:tcW w:w="2880" w:type="dxa"/>
            <w:tcBorders>
              <w:top w:val="nil"/>
              <w:left w:val="nil"/>
              <w:bottom w:val="single" w:color="auto" w:sz="4" w:space="0"/>
              <w:right w:val="nil"/>
            </w:tcBorders>
            <w:shd w:val="clear" w:color="FFFFFF" w:fill="FFFFFF"/>
            <w:vAlign w:val="center"/>
          </w:tcPr>
          <w:p>
            <w:pPr>
              <w:widowControl/>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感温光纤监控系统管理计算机软件</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设备工作正常，信号显示正常</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10</w:t>
            </w: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highlight w:val="none"/>
              </w:rPr>
            </w:pPr>
          </w:p>
        </w:tc>
        <w:tc>
          <w:tcPr>
            <w:tcW w:w="2880" w:type="dxa"/>
            <w:tcBorders>
              <w:top w:val="nil"/>
              <w:left w:val="nil"/>
              <w:bottom w:val="single" w:color="auto" w:sz="4" w:space="0"/>
              <w:right w:val="nil"/>
            </w:tcBorders>
            <w:shd w:val="clear" w:color="FFFFFF" w:fill="FFFFFF"/>
            <w:vAlign w:val="center"/>
          </w:tcPr>
          <w:p>
            <w:pPr>
              <w:widowControl/>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消防报警控制系统上位机</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设备工作正常，信号显示正常</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11</w:t>
            </w: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highlight w:val="none"/>
              </w:rPr>
            </w:pPr>
          </w:p>
        </w:tc>
        <w:tc>
          <w:tcPr>
            <w:tcW w:w="2880" w:type="dxa"/>
            <w:tcBorders>
              <w:top w:val="nil"/>
              <w:left w:val="nil"/>
              <w:bottom w:val="single" w:color="auto" w:sz="4" w:space="0"/>
              <w:right w:val="nil"/>
            </w:tcBorders>
            <w:shd w:val="clear" w:color="FFFFFF" w:fill="FFFFFF"/>
            <w:vAlign w:val="center"/>
          </w:tcPr>
          <w:p>
            <w:pPr>
              <w:widowControl/>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消防报警控制系统上位机软件</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软件工作正常，信号显示正常</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12</w:t>
            </w: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highlight w:val="none"/>
              </w:rPr>
            </w:pPr>
          </w:p>
        </w:tc>
        <w:tc>
          <w:tcPr>
            <w:tcW w:w="2880" w:type="dxa"/>
            <w:tcBorders>
              <w:top w:val="nil"/>
              <w:left w:val="nil"/>
              <w:bottom w:val="single" w:color="auto" w:sz="4" w:space="0"/>
              <w:right w:val="nil"/>
            </w:tcBorders>
            <w:shd w:val="clear" w:color="FFFFFF" w:fill="FFFFFF"/>
            <w:vAlign w:val="center"/>
          </w:tcPr>
          <w:p>
            <w:pPr>
              <w:widowControl/>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消防报警系统联动机箱</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设备工作正常，信号显示正常</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13</w:t>
            </w: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highlight w:val="none"/>
              </w:rPr>
            </w:pPr>
          </w:p>
        </w:tc>
        <w:tc>
          <w:tcPr>
            <w:tcW w:w="2880" w:type="dxa"/>
            <w:tcBorders>
              <w:top w:val="nil"/>
              <w:left w:val="nil"/>
              <w:bottom w:val="single" w:color="auto" w:sz="4" w:space="0"/>
              <w:right w:val="nil"/>
            </w:tcBorders>
            <w:shd w:val="clear" w:color="FFFFFF" w:fill="FFFFFF"/>
            <w:vAlign w:val="center"/>
          </w:tcPr>
          <w:p>
            <w:pPr>
              <w:widowControl/>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主机通讯模块及通讯接口软件</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软件工作正常，信号显示正常</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14</w:t>
            </w: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highlight w:val="none"/>
              </w:rPr>
            </w:pPr>
          </w:p>
        </w:tc>
        <w:tc>
          <w:tcPr>
            <w:tcW w:w="2880" w:type="dxa"/>
            <w:tcBorders>
              <w:top w:val="nil"/>
              <w:left w:val="nil"/>
              <w:bottom w:val="single" w:color="auto" w:sz="4" w:space="0"/>
              <w:right w:val="nil"/>
            </w:tcBorders>
            <w:shd w:val="clear" w:color="FFFFFF" w:fill="FFFFFF"/>
            <w:vAlign w:val="center"/>
          </w:tcPr>
          <w:p>
            <w:pPr>
              <w:widowControl/>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网络交换机</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设备工作正常，信号显示正常</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15</w:t>
            </w: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highlight w:val="none"/>
              </w:rPr>
            </w:pPr>
          </w:p>
        </w:tc>
        <w:tc>
          <w:tcPr>
            <w:tcW w:w="2880" w:type="dxa"/>
            <w:tcBorders>
              <w:top w:val="nil"/>
              <w:left w:val="nil"/>
              <w:bottom w:val="single" w:color="auto" w:sz="4" w:space="0"/>
              <w:right w:val="nil"/>
            </w:tcBorders>
            <w:shd w:val="clear" w:color="FFFFFF" w:fill="FFFFFF"/>
            <w:vAlign w:val="center"/>
          </w:tcPr>
          <w:p>
            <w:pPr>
              <w:widowControl/>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气体灭火控制器（联动型）</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设备工作正常，信号显示正常</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16</w:t>
            </w: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highlight w:val="none"/>
              </w:rPr>
            </w:pPr>
          </w:p>
        </w:tc>
        <w:tc>
          <w:tcPr>
            <w:tcW w:w="2880" w:type="dxa"/>
            <w:tcBorders>
              <w:top w:val="nil"/>
              <w:left w:val="nil"/>
              <w:bottom w:val="single" w:color="auto" w:sz="4" w:space="0"/>
              <w:right w:val="nil"/>
            </w:tcBorders>
            <w:shd w:val="clear" w:color="FFFFFF" w:fill="FFFFFF"/>
            <w:vAlign w:val="center"/>
          </w:tcPr>
          <w:p>
            <w:pPr>
              <w:widowControl/>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七氟丙烷气体灭火装置</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设备工作正常，信号显示正常</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17</w:t>
            </w: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highlight w:val="none"/>
              </w:rPr>
            </w:pPr>
          </w:p>
        </w:tc>
        <w:tc>
          <w:tcPr>
            <w:tcW w:w="2880" w:type="dxa"/>
            <w:tcBorders>
              <w:top w:val="nil"/>
              <w:left w:val="nil"/>
              <w:bottom w:val="single" w:color="auto" w:sz="4" w:space="0"/>
              <w:right w:val="nil"/>
            </w:tcBorders>
            <w:shd w:val="clear" w:color="FFFFFF" w:fill="FFFFFF"/>
            <w:vAlign w:val="center"/>
          </w:tcPr>
          <w:p>
            <w:pPr>
              <w:widowControl/>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氮气启动瓶</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设备工作正常，信号显示正常</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18</w:t>
            </w: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highlight w:val="none"/>
              </w:rPr>
            </w:pPr>
          </w:p>
        </w:tc>
        <w:tc>
          <w:tcPr>
            <w:tcW w:w="2880" w:type="dxa"/>
            <w:tcBorders>
              <w:top w:val="nil"/>
              <w:left w:val="nil"/>
              <w:bottom w:val="single" w:color="auto" w:sz="4" w:space="0"/>
              <w:right w:val="nil"/>
            </w:tcBorders>
            <w:shd w:val="clear" w:color="FFFFFF" w:fill="FFFFFF"/>
            <w:vAlign w:val="center"/>
          </w:tcPr>
          <w:p>
            <w:pPr>
              <w:widowControl/>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网络通讯线</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设备工作正常，信号显示正常</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19</w:t>
            </w: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highlight w:val="none"/>
              </w:rPr>
            </w:pPr>
          </w:p>
        </w:tc>
        <w:tc>
          <w:tcPr>
            <w:tcW w:w="2880" w:type="dxa"/>
            <w:tcBorders>
              <w:top w:val="nil"/>
              <w:left w:val="nil"/>
              <w:bottom w:val="single" w:color="auto" w:sz="4" w:space="0"/>
              <w:right w:val="nil"/>
            </w:tcBorders>
            <w:shd w:val="clear" w:color="FFFFFF" w:fill="FFFFFF"/>
            <w:vAlign w:val="center"/>
          </w:tcPr>
          <w:p>
            <w:pPr>
              <w:widowControl/>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联网接口卡</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设备工作正常，信号显示正常</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20</w:t>
            </w: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highlight w:val="none"/>
              </w:rPr>
            </w:pPr>
          </w:p>
        </w:tc>
        <w:tc>
          <w:tcPr>
            <w:tcW w:w="2880" w:type="dxa"/>
            <w:tcBorders>
              <w:top w:val="nil"/>
              <w:left w:val="nil"/>
              <w:bottom w:val="single" w:color="auto" w:sz="4" w:space="0"/>
              <w:right w:val="nil"/>
            </w:tcBorders>
            <w:shd w:val="clear" w:color="FFFFFF" w:fill="FFFFFF"/>
            <w:vAlign w:val="center"/>
          </w:tcPr>
          <w:p>
            <w:pPr>
              <w:widowControl/>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输入/输出模块</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设备工作正常，信号显示正常</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21</w:t>
            </w: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highlight w:val="none"/>
              </w:rPr>
            </w:pPr>
          </w:p>
        </w:tc>
        <w:tc>
          <w:tcPr>
            <w:tcW w:w="2880" w:type="dxa"/>
            <w:tcBorders>
              <w:top w:val="nil"/>
              <w:left w:val="nil"/>
              <w:bottom w:val="single" w:color="auto" w:sz="4" w:space="0"/>
              <w:right w:val="nil"/>
            </w:tcBorders>
            <w:shd w:val="clear" w:color="FFFFFF" w:fill="FFFFFF"/>
            <w:vAlign w:val="center"/>
          </w:tcPr>
          <w:p>
            <w:pPr>
              <w:widowControl/>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信号模块</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设备工作正常，信号显示正常</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22</w:t>
            </w: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highlight w:val="none"/>
              </w:rPr>
            </w:pPr>
          </w:p>
        </w:tc>
        <w:tc>
          <w:tcPr>
            <w:tcW w:w="2880" w:type="dxa"/>
            <w:tcBorders>
              <w:top w:val="nil"/>
              <w:left w:val="nil"/>
              <w:bottom w:val="single" w:color="auto" w:sz="4" w:space="0"/>
              <w:right w:val="nil"/>
            </w:tcBorders>
            <w:shd w:val="clear" w:color="FFFFFF" w:fill="FFFFFF"/>
            <w:vAlign w:val="center"/>
          </w:tcPr>
          <w:p>
            <w:pPr>
              <w:widowControl/>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消防警铃</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设备工作正常，信号显示正常</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23</w:t>
            </w: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highlight w:val="none"/>
              </w:rPr>
            </w:pPr>
          </w:p>
        </w:tc>
        <w:tc>
          <w:tcPr>
            <w:tcW w:w="2880" w:type="dxa"/>
            <w:tcBorders>
              <w:top w:val="nil"/>
              <w:left w:val="nil"/>
              <w:bottom w:val="single" w:color="auto" w:sz="4" w:space="0"/>
              <w:right w:val="nil"/>
            </w:tcBorders>
            <w:shd w:val="clear" w:color="FFFFFF" w:fill="FFFFFF"/>
            <w:vAlign w:val="center"/>
          </w:tcPr>
          <w:p>
            <w:pPr>
              <w:widowControl/>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光纤跳线盒</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设备工作正常，信号显示正常</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24</w:t>
            </w: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highlight w:val="none"/>
              </w:rPr>
            </w:pPr>
          </w:p>
        </w:tc>
        <w:tc>
          <w:tcPr>
            <w:tcW w:w="2880" w:type="dxa"/>
            <w:tcBorders>
              <w:top w:val="nil"/>
              <w:left w:val="nil"/>
              <w:bottom w:val="single" w:color="auto" w:sz="4" w:space="0"/>
              <w:right w:val="nil"/>
            </w:tcBorders>
            <w:shd w:val="clear" w:color="FFFFFF" w:fill="FFFFFF"/>
            <w:vAlign w:val="center"/>
          </w:tcPr>
          <w:p>
            <w:pPr>
              <w:widowControl/>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光纤熔接盒</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设备工作正常，信号显示正常</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25</w:t>
            </w: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highlight w:val="none"/>
              </w:rPr>
            </w:pPr>
          </w:p>
        </w:tc>
        <w:tc>
          <w:tcPr>
            <w:tcW w:w="2880" w:type="dxa"/>
            <w:tcBorders>
              <w:top w:val="nil"/>
              <w:left w:val="nil"/>
              <w:bottom w:val="single" w:color="auto" w:sz="4" w:space="0"/>
              <w:right w:val="nil"/>
            </w:tcBorders>
            <w:shd w:val="clear" w:color="FFFFFF" w:fill="FFFFFF"/>
            <w:vAlign w:val="center"/>
          </w:tcPr>
          <w:p>
            <w:pPr>
              <w:widowControl/>
              <w:jc w:val="left"/>
              <w:rPr>
                <w:rFonts w:hint="eastAsia" w:ascii="仿宋_GB2312" w:hAnsi="宋体" w:eastAsia="仿宋_GB2312" w:cs="宋体"/>
                <w:kern w:val="0"/>
                <w:sz w:val="24"/>
                <w:highlight w:val="none"/>
              </w:rPr>
            </w:pPr>
            <w:r>
              <w:rPr>
                <w:rFonts w:hint="eastAsia" w:ascii="仿宋_GB2312" w:hAnsi="宋体" w:eastAsia="仿宋_GB2312" w:cs="宋体"/>
                <w:kern w:val="0"/>
                <w:sz w:val="24"/>
                <w:highlight w:val="none"/>
              </w:rPr>
              <w:t>感温电缆</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设备工作正常，信号显示正常</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26</w:t>
            </w: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highlight w:val="none"/>
              </w:rPr>
            </w:pPr>
          </w:p>
        </w:tc>
        <w:tc>
          <w:tcPr>
            <w:tcW w:w="2880" w:type="dxa"/>
            <w:tcBorders>
              <w:top w:val="nil"/>
              <w:left w:val="nil"/>
              <w:bottom w:val="single" w:color="auto" w:sz="4" w:space="0"/>
              <w:right w:val="nil"/>
            </w:tcBorders>
            <w:shd w:val="clear" w:color="FFFFFF" w:fill="FFFFFF"/>
            <w:vAlign w:val="center"/>
          </w:tcPr>
          <w:p>
            <w:pPr>
              <w:widowControl/>
              <w:jc w:val="left"/>
              <w:rPr>
                <w:rFonts w:hint="eastAsia" w:ascii="仿宋_GB2312" w:hAnsi="宋体" w:eastAsia="仿宋_GB2312" w:cs="宋体"/>
                <w:kern w:val="0"/>
                <w:sz w:val="24"/>
                <w:highlight w:val="none"/>
              </w:rPr>
            </w:pPr>
            <w:r>
              <w:rPr>
                <w:rFonts w:hint="eastAsia" w:ascii="仿宋_GB2312" w:hAnsi="宋体" w:eastAsia="仿宋_GB2312" w:cs="宋体"/>
                <w:kern w:val="0"/>
                <w:sz w:val="24"/>
                <w:highlight w:val="none"/>
              </w:rPr>
              <w:t>风机风阀</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设备工作正常，信号显示正常</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27</w:t>
            </w: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highlight w:val="none"/>
              </w:rPr>
            </w:pPr>
          </w:p>
        </w:tc>
        <w:tc>
          <w:tcPr>
            <w:tcW w:w="2880" w:type="dxa"/>
            <w:tcBorders>
              <w:top w:val="nil"/>
              <w:left w:val="nil"/>
              <w:bottom w:val="single" w:color="auto" w:sz="4" w:space="0"/>
              <w:right w:val="nil"/>
            </w:tcBorders>
            <w:shd w:val="clear" w:color="FFFFFF" w:fill="FFFFFF"/>
            <w:vAlign w:val="center"/>
          </w:tcPr>
          <w:p>
            <w:pPr>
              <w:widowControl/>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光纤收发器</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设备工作正常，信号显示正常</w:t>
            </w:r>
          </w:p>
        </w:tc>
      </w:tr>
      <w:tr>
        <w:tblPrEx>
          <w:tblLayout w:type="fixed"/>
          <w:tblCellMar>
            <w:top w:w="0" w:type="dxa"/>
            <w:left w:w="108" w:type="dxa"/>
            <w:bottom w:w="0" w:type="dxa"/>
            <w:right w:w="108" w:type="dxa"/>
          </w:tblCellMar>
        </w:tblPrEx>
        <w:trPr>
          <w:trHeight w:val="94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26</w:t>
            </w:r>
          </w:p>
        </w:tc>
        <w:tc>
          <w:tcPr>
            <w:tcW w:w="1100" w:type="dxa"/>
            <w:tcBorders>
              <w:top w:val="nil"/>
              <w:left w:val="nil"/>
              <w:bottom w:val="single" w:color="auto" w:sz="4" w:space="0"/>
              <w:right w:val="nil"/>
            </w:tcBorders>
            <w:shd w:val="clear" w:color="auto" w:fill="auto"/>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线</w:t>
            </w:r>
            <w:r>
              <w:rPr>
                <w:rFonts w:hint="eastAsia" w:ascii="仿宋_GB2312" w:hAnsi="Times New Roman" w:eastAsia="仿宋_GB2312"/>
                <w:color w:val="000000"/>
                <w:kern w:val="0"/>
                <w:sz w:val="24"/>
                <w:highlight w:val="none"/>
              </w:rPr>
              <w:t>路</w:t>
            </w:r>
            <w:r>
              <w:rPr>
                <w:rFonts w:hint="eastAsia" w:ascii="仿宋_GB2312" w:hAnsi="宋体" w:eastAsia="仿宋_GB2312" w:cs="宋体"/>
                <w:color w:val="000000"/>
                <w:kern w:val="0"/>
                <w:sz w:val="24"/>
                <w:highlight w:val="none"/>
              </w:rPr>
              <w:t>维护</w:t>
            </w:r>
          </w:p>
        </w:tc>
        <w:tc>
          <w:tcPr>
            <w:tcW w:w="2880" w:type="dxa"/>
            <w:tcBorders>
              <w:top w:val="nil"/>
              <w:left w:val="single" w:color="auto" w:sz="4" w:space="0"/>
              <w:bottom w:val="single" w:color="auto" w:sz="4" w:space="0"/>
              <w:right w:val="nil"/>
            </w:tcBorders>
            <w:shd w:val="clear" w:color="FFFFFF" w:fill="FFFFFF"/>
            <w:vAlign w:val="center"/>
          </w:tcPr>
          <w:p>
            <w:pPr>
              <w:widowControl/>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检查</w:t>
            </w:r>
            <w:r>
              <w:rPr>
                <w:rFonts w:hint="eastAsia" w:ascii="仿宋_GB2312" w:hAnsi="Times New Roman" w:eastAsia="仿宋_GB2312"/>
                <w:color w:val="000000"/>
                <w:kern w:val="0"/>
                <w:sz w:val="24"/>
                <w:highlight w:val="none"/>
              </w:rPr>
              <w:t>各</w:t>
            </w:r>
            <w:r>
              <w:rPr>
                <w:rFonts w:hint="eastAsia" w:ascii="仿宋_GB2312" w:hAnsi="宋体" w:eastAsia="仿宋_GB2312" w:cs="宋体"/>
                <w:color w:val="000000"/>
                <w:kern w:val="0"/>
                <w:sz w:val="24"/>
                <w:highlight w:val="none"/>
              </w:rPr>
              <w:t>电</w:t>
            </w:r>
            <w:r>
              <w:rPr>
                <w:rFonts w:hint="eastAsia" w:ascii="仿宋_GB2312" w:hAnsi="Times New Roman" w:eastAsia="仿宋_GB2312"/>
                <w:color w:val="000000"/>
                <w:kern w:val="0"/>
                <w:sz w:val="24"/>
                <w:highlight w:val="none"/>
              </w:rPr>
              <w:t>器触点，各</w:t>
            </w:r>
            <w:r>
              <w:rPr>
                <w:rFonts w:hint="eastAsia" w:ascii="仿宋_GB2312" w:hAnsi="宋体" w:eastAsia="仿宋_GB2312" w:cs="宋体"/>
                <w:color w:val="000000"/>
                <w:kern w:val="0"/>
                <w:sz w:val="24"/>
                <w:highlight w:val="none"/>
              </w:rPr>
              <w:t>电</w:t>
            </w:r>
            <w:r>
              <w:rPr>
                <w:rFonts w:hint="eastAsia" w:ascii="仿宋_GB2312" w:hAnsi="Times New Roman" w:eastAsia="仿宋_GB2312"/>
                <w:color w:val="000000"/>
                <w:kern w:val="0"/>
                <w:sz w:val="24"/>
                <w:highlight w:val="none"/>
              </w:rPr>
              <w:t>器元件接</w:t>
            </w:r>
            <w:r>
              <w:rPr>
                <w:rFonts w:hint="eastAsia" w:ascii="仿宋_GB2312" w:hAnsi="宋体" w:eastAsia="仿宋_GB2312" w:cs="宋体"/>
                <w:color w:val="000000"/>
                <w:kern w:val="0"/>
                <w:sz w:val="24"/>
                <w:highlight w:val="none"/>
              </w:rPr>
              <w:t>线</w:t>
            </w:r>
            <w:r>
              <w:rPr>
                <w:rFonts w:hint="eastAsia" w:ascii="仿宋_GB2312" w:hAnsi="Times New Roman" w:eastAsia="仿宋_GB2312"/>
                <w:color w:val="000000"/>
                <w:kern w:val="0"/>
                <w:sz w:val="24"/>
                <w:highlight w:val="none"/>
              </w:rPr>
              <w:t>端子及端子排端子，各</w:t>
            </w:r>
            <w:r>
              <w:rPr>
                <w:rFonts w:hint="eastAsia" w:ascii="仿宋_GB2312" w:hAnsi="宋体" w:eastAsia="仿宋_GB2312" w:cs="宋体"/>
                <w:color w:val="000000"/>
                <w:kern w:val="0"/>
                <w:sz w:val="24"/>
                <w:highlight w:val="none"/>
              </w:rPr>
              <w:t>电</w:t>
            </w:r>
            <w:r>
              <w:rPr>
                <w:rFonts w:hint="eastAsia" w:ascii="仿宋_GB2312" w:hAnsi="Times New Roman" w:eastAsia="仿宋_GB2312"/>
                <w:color w:val="000000"/>
                <w:kern w:val="0"/>
                <w:sz w:val="24"/>
                <w:highlight w:val="none"/>
              </w:rPr>
              <w:t>源信号</w:t>
            </w:r>
            <w:r>
              <w:rPr>
                <w:rFonts w:hint="eastAsia" w:ascii="仿宋_GB2312" w:hAnsi="宋体" w:eastAsia="仿宋_GB2312" w:cs="宋体"/>
                <w:color w:val="000000"/>
                <w:kern w:val="0"/>
                <w:sz w:val="24"/>
                <w:highlight w:val="none"/>
              </w:rPr>
              <w:t>线</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触点完好，无</w:t>
            </w:r>
            <w:r>
              <w:rPr>
                <w:rFonts w:hint="eastAsia" w:ascii="仿宋_GB2312" w:hAnsi="宋体" w:eastAsia="仿宋_GB2312"/>
                <w:color w:val="000000"/>
                <w:kern w:val="0"/>
                <w:sz w:val="24"/>
                <w:highlight w:val="none"/>
              </w:rPr>
              <w:t>烧损</w:t>
            </w:r>
            <w:r>
              <w:rPr>
                <w:rFonts w:hint="eastAsia" w:ascii="仿宋_GB2312" w:hAnsi="Times New Roman" w:eastAsia="仿宋_GB2312"/>
                <w:color w:val="000000"/>
                <w:kern w:val="0"/>
                <w:sz w:val="24"/>
                <w:highlight w:val="none"/>
              </w:rPr>
              <w:t>，各端子</w:t>
            </w:r>
            <w:r>
              <w:rPr>
                <w:rFonts w:hint="eastAsia" w:ascii="仿宋_GB2312" w:hAnsi="宋体" w:eastAsia="仿宋_GB2312"/>
                <w:color w:val="000000"/>
                <w:kern w:val="0"/>
                <w:sz w:val="24"/>
                <w:highlight w:val="none"/>
              </w:rPr>
              <w:t>连</w:t>
            </w:r>
            <w:r>
              <w:rPr>
                <w:rFonts w:hint="eastAsia" w:ascii="仿宋_GB2312" w:hAnsi="Times New Roman" w:eastAsia="仿宋_GB2312"/>
                <w:color w:val="000000"/>
                <w:kern w:val="0"/>
                <w:sz w:val="24"/>
                <w:highlight w:val="none"/>
              </w:rPr>
              <w:t>接牢固、无</w:t>
            </w:r>
            <w:r>
              <w:rPr>
                <w:rFonts w:hint="eastAsia" w:ascii="仿宋_GB2312" w:hAnsi="宋体" w:eastAsia="仿宋_GB2312"/>
                <w:color w:val="000000"/>
                <w:kern w:val="0"/>
                <w:sz w:val="24"/>
                <w:highlight w:val="none"/>
              </w:rPr>
              <w:t>烧损</w:t>
            </w:r>
            <w:r>
              <w:rPr>
                <w:rFonts w:hint="eastAsia" w:ascii="仿宋_GB2312" w:hAnsi="Times New Roman" w:eastAsia="仿宋_GB2312"/>
                <w:color w:val="000000"/>
                <w:kern w:val="0"/>
                <w:sz w:val="24"/>
                <w:highlight w:val="none"/>
              </w:rPr>
              <w:t>，</w:t>
            </w:r>
            <w:r>
              <w:rPr>
                <w:rFonts w:hint="eastAsia" w:ascii="仿宋_GB2312" w:hAnsi="宋体" w:eastAsia="仿宋_GB2312"/>
                <w:color w:val="000000"/>
                <w:kern w:val="0"/>
                <w:sz w:val="24"/>
                <w:highlight w:val="none"/>
              </w:rPr>
              <w:t>导线</w:t>
            </w:r>
            <w:r>
              <w:rPr>
                <w:rFonts w:hint="eastAsia" w:ascii="仿宋_GB2312" w:hAnsi="Times New Roman" w:eastAsia="仿宋_GB2312"/>
                <w:color w:val="000000"/>
                <w:kern w:val="0"/>
                <w:sz w:val="24"/>
                <w:highlight w:val="none"/>
              </w:rPr>
              <w:t>无破</w:t>
            </w:r>
            <w:r>
              <w:rPr>
                <w:rFonts w:hint="eastAsia" w:ascii="仿宋_GB2312" w:hAnsi="宋体" w:eastAsia="仿宋_GB2312"/>
                <w:color w:val="000000"/>
                <w:kern w:val="0"/>
                <w:sz w:val="24"/>
                <w:highlight w:val="none"/>
              </w:rPr>
              <w:t>损</w:t>
            </w:r>
            <w:r>
              <w:rPr>
                <w:rFonts w:hint="eastAsia" w:ascii="仿宋_GB2312" w:hAnsi="Times New Roman" w:eastAsia="仿宋_GB2312"/>
                <w:color w:val="000000"/>
                <w:kern w:val="0"/>
                <w:sz w:val="24"/>
                <w:highlight w:val="none"/>
              </w:rPr>
              <w:t>、</w:t>
            </w:r>
            <w:r>
              <w:rPr>
                <w:rFonts w:hint="eastAsia" w:ascii="仿宋_GB2312" w:hAnsi="宋体" w:eastAsia="仿宋_GB2312"/>
                <w:color w:val="000000"/>
                <w:kern w:val="0"/>
                <w:sz w:val="24"/>
                <w:highlight w:val="none"/>
              </w:rPr>
              <w:t>烧</w:t>
            </w:r>
            <w:r>
              <w:rPr>
                <w:rFonts w:hint="eastAsia" w:ascii="仿宋_GB2312" w:hAnsi="Times New Roman" w:eastAsia="仿宋_GB2312"/>
                <w:color w:val="000000"/>
                <w:kern w:val="0"/>
                <w:sz w:val="24"/>
                <w:highlight w:val="none"/>
              </w:rPr>
              <w:t>焦</w:t>
            </w:r>
            <w:r>
              <w:rPr>
                <w:rFonts w:hint="eastAsia" w:ascii="仿宋_GB2312" w:hAnsi="宋体" w:eastAsia="仿宋_GB2312"/>
                <w:color w:val="000000"/>
                <w:kern w:val="0"/>
                <w:sz w:val="24"/>
                <w:highlight w:val="none"/>
              </w:rPr>
              <w:t>现</w:t>
            </w:r>
            <w:r>
              <w:rPr>
                <w:rFonts w:hint="eastAsia" w:ascii="仿宋_GB2312" w:hAnsi="Times New Roman" w:eastAsia="仿宋_GB2312"/>
                <w:color w:val="000000"/>
                <w:kern w:val="0"/>
                <w:sz w:val="24"/>
                <w:highlight w:val="none"/>
              </w:rPr>
              <w:t>象</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27</w:t>
            </w:r>
          </w:p>
        </w:tc>
        <w:tc>
          <w:tcPr>
            <w:tcW w:w="1100" w:type="dxa"/>
            <w:tcBorders>
              <w:top w:val="nil"/>
              <w:left w:val="nil"/>
              <w:bottom w:val="single" w:color="auto" w:sz="4" w:space="0"/>
              <w:right w:val="nil"/>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内部清</w:t>
            </w:r>
            <w:r>
              <w:rPr>
                <w:rFonts w:hint="eastAsia" w:ascii="仿宋_GB2312" w:hAnsi="宋体" w:eastAsia="仿宋_GB2312"/>
                <w:color w:val="000000"/>
                <w:kern w:val="0"/>
                <w:sz w:val="24"/>
                <w:highlight w:val="none"/>
              </w:rPr>
              <w:t>洁</w:t>
            </w:r>
          </w:p>
        </w:tc>
        <w:tc>
          <w:tcPr>
            <w:tcW w:w="2880" w:type="dxa"/>
            <w:tcBorders>
              <w:top w:val="nil"/>
              <w:left w:val="single" w:color="auto" w:sz="4" w:space="0"/>
              <w:bottom w:val="single" w:color="auto" w:sz="4" w:space="0"/>
              <w:right w:val="nil"/>
            </w:tcBorders>
            <w:shd w:val="clear" w:color="FFFFFF" w:fill="FFFFFF"/>
            <w:vAlign w:val="center"/>
          </w:tcPr>
          <w:p>
            <w:pPr>
              <w:widowControl/>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控制台内部除</w:t>
            </w:r>
            <w:r>
              <w:rPr>
                <w:rFonts w:hint="eastAsia" w:ascii="仿宋_GB2312" w:hAnsi="宋体" w:eastAsia="仿宋_GB2312" w:cs="宋体"/>
                <w:color w:val="000000"/>
                <w:kern w:val="0"/>
                <w:sz w:val="24"/>
                <w:highlight w:val="none"/>
              </w:rPr>
              <w:t>尘</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highlight w:val="none"/>
              </w:rPr>
            </w:pPr>
            <w:r>
              <w:rPr>
                <w:rFonts w:hint="eastAsia" w:ascii="仿宋_GB2312" w:hAnsi="Times New Roman" w:eastAsia="仿宋_GB2312"/>
                <w:color w:val="000000"/>
                <w:kern w:val="0"/>
                <w:sz w:val="24"/>
                <w:highlight w:val="none"/>
              </w:rPr>
              <w:t>无</w:t>
            </w:r>
            <w:r>
              <w:rPr>
                <w:rFonts w:hint="eastAsia" w:ascii="仿宋_GB2312" w:hAnsi="宋体" w:eastAsia="仿宋_GB2312"/>
                <w:color w:val="000000"/>
                <w:kern w:val="0"/>
                <w:sz w:val="24"/>
                <w:highlight w:val="none"/>
              </w:rPr>
              <w:t>尘</w:t>
            </w:r>
          </w:p>
        </w:tc>
      </w:tr>
    </w:tbl>
    <w:p>
      <w:pPr>
        <w:spacing w:line="560" w:lineRule="exact"/>
        <w:ind w:firstLine="0" w:firstLineChars="0"/>
        <w:rPr>
          <w:rFonts w:hint="eastAsia" w:asciiTheme="minorEastAsia" w:hAnsiTheme="minorEastAsia" w:eastAsiaTheme="minorEastAsia"/>
          <w:color w:val="auto"/>
          <w:sz w:val="28"/>
          <w:szCs w:val="28"/>
          <w:highlight w:val="none"/>
        </w:rPr>
      </w:pPr>
    </w:p>
    <w:p>
      <w:pPr>
        <w:spacing w:line="560" w:lineRule="exact"/>
        <w:ind w:firstLine="562" w:firstLineChars="200"/>
        <w:rPr>
          <w:b/>
          <w:color w:val="auto"/>
          <w:sz w:val="28"/>
          <w:szCs w:val="28"/>
          <w:highlight w:val="none"/>
        </w:rPr>
      </w:pPr>
      <w:r>
        <w:rPr>
          <w:rFonts w:hint="eastAsia" w:asciiTheme="minorEastAsia" w:hAnsiTheme="minorEastAsia" w:eastAsiaTheme="minorEastAsia"/>
          <w:b/>
          <w:color w:val="auto"/>
          <w:sz w:val="28"/>
          <w:szCs w:val="28"/>
          <w:highlight w:val="none"/>
        </w:rPr>
        <w:t>（3）</w:t>
      </w:r>
      <w:r>
        <w:rPr>
          <w:rFonts w:hint="eastAsia"/>
          <w:b/>
          <w:color w:val="auto"/>
          <w:sz w:val="28"/>
          <w:szCs w:val="28"/>
          <w:highlight w:val="none"/>
        </w:rPr>
        <w:t>维修保养工作要求</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①设备完好率：不低于99.8%，维修保养满意率达到99%；</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②派固定专人负责本项目的技术及管理工作，相对稳定的持证现场维保工作人员；</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③保证全天候24小时（含国家规定的假期）紧急维修服务，接到报修后1小时到达现场。保证提供无限次电话咨询服务，及时解答甲方的消防疑难问题；</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④大楼装修租户进场装修施工前，</w:t>
      </w:r>
      <w:r>
        <w:rPr>
          <w:rFonts w:hint="eastAsia" w:ascii="仿宋_GB2312" w:eastAsia="仿宋_GB2312"/>
          <w:sz w:val="28"/>
          <w:szCs w:val="28"/>
          <w:highlight w:val="none"/>
        </w:rPr>
        <w:t>消防维保公司</w:t>
      </w:r>
      <w:r>
        <w:rPr>
          <w:rFonts w:hint="eastAsia" w:asciiTheme="minorEastAsia" w:hAnsiTheme="minorEastAsia" w:eastAsiaTheme="minorEastAsia"/>
          <w:color w:val="auto"/>
          <w:sz w:val="28"/>
          <w:szCs w:val="28"/>
          <w:highlight w:val="none"/>
        </w:rPr>
        <w:t>应会签消防装修文件，并由</w:t>
      </w:r>
      <w:r>
        <w:rPr>
          <w:rFonts w:hint="eastAsia" w:ascii="仿宋_GB2312" w:eastAsia="仿宋_GB2312"/>
          <w:sz w:val="28"/>
          <w:szCs w:val="28"/>
          <w:highlight w:val="none"/>
        </w:rPr>
        <w:t>消防维保公司</w:t>
      </w:r>
      <w:r>
        <w:rPr>
          <w:rFonts w:hint="eastAsia" w:asciiTheme="minorEastAsia" w:hAnsiTheme="minorEastAsia" w:eastAsiaTheme="minorEastAsia"/>
          <w:color w:val="auto"/>
          <w:sz w:val="28"/>
          <w:szCs w:val="28"/>
          <w:highlight w:val="none"/>
        </w:rPr>
        <w:t>隔离装修单位内的相关消防系统，使租户在装修期间不影响大楼的消防系统正常运作，租户完成装修后应并入大楼消防系统统一联动管理。另外</w:t>
      </w:r>
      <w:r>
        <w:rPr>
          <w:rFonts w:hint="eastAsia" w:ascii="仿宋_GB2312" w:eastAsia="仿宋_GB2312"/>
          <w:sz w:val="28"/>
          <w:szCs w:val="28"/>
          <w:highlight w:val="none"/>
        </w:rPr>
        <w:t>消防维保公司</w:t>
      </w:r>
      <w:r>
        <w:rPr>
          <w:rFonts w:hint="eastAsia" w:asciiTheme="minorEastAsia" w:hAnsiTheme="minorEastAsia" w:eastAsiaTheme="minorEastAsia"/>
          <w:color w:val="auto"/>
          <w:sz w:val="28"/>
          <w:szCs w:val="28"/>
          <w:highlight w:val="none"/>
        </w:rPr>
        <w:t>应派人到场参加新租户装修后的验收；</w:t>
      </w:r>
    </w:p>
    <w:p>
      <w:pPr>
        <w:spacing w:line="560" w:lineRule="exact"/>
        <w:ind w:firstLine="560" w:firstLineChars="200"/>
        <w:rPr>
          <w:color w:val="auto"/>
          <w:sz w:val="28"/>
          <w:szCs w:val="28"/>
          <w:highlight w:val="none"/>
        </w:rPr>
      </w:pPr>
      <w:r>
        <w:rPr>
          <w:rFonts w:hint="eastAsia" w:ascii="宋体" w:hAnsi="宋体" w:eastAsia="宋体" w:cs="宋体"/>
          <w:color w:val="auto"/>
          <w:sz w:val="28"/>
          <w:szCs w:val="28"/>
          <w:highlight w:val="none"/>
        </w:rPr>
        <w:t>⑤</w:t>
      </w:r>
      <w:r>
        <w:rPr>
          <w:rFonts w:hint="eastAsia"/>
          <w:color w:val="auto"/>
          <w:sz w:val="28"/>
          <w:szCs w:val="28"/>
          <w:highlight w:val="none"/>
        </w:rPr>
        <w:t>若有上级部门来消防检查或举行消防演练，</w:t>
      </w:r>
      <w:r>
        <w:rPr>
          <w:rFonts w:hint="eastAsia" w:ascii="仿宋_GB2312" w:eastAsia="仿宋_GB2312"/>
          <w:sz w:val="28"/>
          <w:szCs w:val="28"/>
          <w:highlight w:val="none"/>
        </w:rPr>
        <w:t>消防维保公司</w:t>
      </w:r>
      <w:r>
        <w:rPr>
          <w:rFonts w:hint="eastAsia"/>
          <w:color w:val="auto"/>
          <w:sz w:val="28"/>
          <w:szCs w:val="28"/>
          <w:highlight w:val="none"/>
        </w:rPr>
        <w:t>应按要求派人配合、协助；</w:t>
      </w:r>
    </w:p>
    <w:p>
      <w:pPr>
        <w:spacing w:line="560" w:lineRule="exact"/>
        <w:ind w:firstLine="560" w:firstLineChars="200"/>
        <w:rPr>
          <w:color w:val="auto"/>
          <w:sz w:val="28"/>
          <w:szCs w:val="28"/>
          <w:highlight w:val="none"/>
        </w:rPr>
      </w:pPr>
      <w:r>
        <w:rPr>
          <w:rFonts w:hint="eastAsia" w:ascii="宋体" w:hAnsi="宋体" w:eastAsia="宋体" w:cs="宋体"/>
          <w:color w:val="auto"/>
          <w:sz w:val="28"/>
          <w:szCs w:val="28"/>
          <w:highlight w:val="none"/>
        </w:rPr>
        <w:t>⑥</w:t>
      </w:r>
      <w:r>
        <w:rPr>
          <w:rFonts w:hint="eastAsia" w:ascii="仿宋_GB2312" w:eastAsia="仿宋_GB2312"/>
          <w:sz w:val="28"/>
          <w:szCs w:val="28"/>
          <w:highlight w:val="none"/>
        </w:rPr>
        <w:t>消防维保公司</w:t>
      </w:r>
      <w:r>
        <w:rPr>
          <w:rFonts w:hint="eastAsia"/>
          <w:color w:val="auto"/>
          <w:sz w:val="28"/>
          <w:szCs w:val="28"/>
          <w:highlight w:val="none"/>
        </w:rPr>
        <w:t>人员每月对设备的巡查维保不少于2次（上、下半月各1次），并在物业管理处签名。</w:t>
      </w:r>
    </w:p>
    <w:p>
      <w:pPr>
        <w:spacing w:line="560" w:lineRule="exact"/>
        <w:ind w:firstLine="562" w:firstLineChars="2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（4）租户二次装修接入调试</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租户二次装修需要接入消防报警系统时，需要消防维保公司配合接入并调试，此阶段发生的调试费由租户承担，接入调试费用按不高于下表报价向租户收取调试费用：</w:t>
      </w:r>
    </w:p>
    <w:p>
      <w:pPr>
        <w:spacing w:line="560" w:lineRule="exact"/>
        <w:ind w:firstLine="2800" w:firstLineChars="1000"/>
        <w:rPr>
          <w:color w:val="auto"/>
          <w:sz w:val="28"/>
          <w:szCs w:val="28"/>
          <w:highlight w:val="none"/>
        </w:rPr>
      </w:pPr>
      <w:r>
        <w:rPr>
          <w:rFonts w:hint="eastAsia"/>
          <w:color w:val="auto"/>
          <w:sz w:val="28"/>
          <w:szCs w:val="28"/>
          <w:highlight w:val="none"/>
        </w:rPr>
        <w:t>租户二次装修接入调试报价表</w:t>
      </w:r>
    </w:p>
    <w:tbl>
      <w:tblPr>
        <w:tblStyle w:val="15"/>
        <w:tblW w:w="90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5250"/>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3"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接入点数</w:t>
            </w:r>
          </w:p>
        </w:tc>
        <w:tc>
          <w:tcPr>
            <w:tcW w:w="5250" w:type="dxa"/>
          </w:tcPr>
          <w:p>
            <w:pPr>
              <w:tabs>
                <w:tab w:val="left" w:pos="2721"/>
              </w:tabs>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工  作  内  容</w:t>
            </w:r>
          </w:p>
        </w:tc>
        <w:tc>
          <w:tcPr>
            <w:tcW w:w="2445" w:type="dxa"/>
          </w:tcPr>
          <w:p>
            <w:pPr>
              <w:tabs>
                <w:tab w:val="left" w:pos="2721"/>
              </w:tabs>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接入调试费用（元）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3"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1—10</w:t>
            </w:r>
          </w:p>
        </w:tc>
        <w:tc>
          <w:tcPr>
            <w:tcW w:w="5250"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新装消防报警信号接入系统并调试合格</w:t>
            </w:r>
          </w:p>
        </w:tc>
        <w:tc>
          <w:tcPr>
            <w:tcW w:w="2445" w:type="dxa"/>
          </w:tcPr>
          <w:p>
            <w:pPr>
              <w:tabs>
                <w:tab w:val="left" w:pos="2721"/>
              </w:tabs>
              <w:spacing w:line="360" w:lineRule="auto"/>
              <w:rPr>
                <w:rFonts w:hint="default"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3"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11—30</w:t>
            </w:r>
          </w:p>
        </w:tc>
        <w:tc>
          <w:tcPr>
            <w:tcW w:w="5250"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新装消防报警信号接入系统并调试合格</w:t>
            </w:r>
          </w:p>
        </w:tc>
        <w:tc>
          <w:tcPr>
            <w:tcW w:w="2445" w:type="dxa"/>
          </w:tcPr>
          <w:p>
            <w:pPr>
              <w:tabs>
                <w:tab w:val="left" w:pos="2721"/>
              </w:tabs>
              <w:spacing w:line="360" w:lineRule="auto"/>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3"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31—60</w:t>
            </w:r>
          </w:p>
        </w:tc>
        <w:tc>
          <w:tcPr>
            <w:tcW w:w="5250"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新装消防报警信号接入系统并调试合格</w:t>
            </w:r>
          </w:p>
        </w:tc>
        <w:tc>
          <w:tcPr>
            <w:tcW w:w="2445" w:type="dxa"/>
          </w:tcPr>
          <w:p>
            <w:pPr>
              <w:tabs>
                <w:tab w:val="left" w:pos="2721"/>
              </w:tabs>
              <w:spacing w:line="360" w:lineRule="auto"/>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3"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61—130</w:t>
            </w:r>
          </w:p>
        </w:tc>
        <w:tc>
          <w:tcPr>
            <w:tcW w:w="5250"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新装消防报警信号接入系统并调试合格</w:t>
            </w:r>
          </w:p>
        </w:tc>
        <w:tc>
          <w:tcPr>
            <w:tcW w:w="2445" w:type="dxa"/>
          </w:tcPr>
          <w:p>
            <w:pPr>
              <w:tabs>
                <w:tab w:val="left" w:pos="2721"/>
              </w:tabs>
              <w:spacing w:line="360" w:lineRule="auto"/>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3"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131—200</w:t>
            </w:r>
          </w:p>
        </w:tc>
        <w:tc>
          <w:tcPr>
            <w:tcW w:w="5250"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新装消防报警信号接入系统并调试合格</w:t>
            </w:r>
          </w:p>
        </w:tc>
        <w:tc>
          <w:tcPr>
            <w:tcW w:w="2445" w:type="dxa"/>
          </w:tcPr>
          <w:p>
            <w:pPr>
              <w:tabs>
                <w:tab w:val="left" w:pos="2721"/>
              </w:tabs>
              <w:spacing w:line="360" w:lineRule="auto"/>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3"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201—250</w:t>
            </w:r>
          </w:p>
        </w:tc>
        <w:tc>
          <w:tcPr>
            <w:tcW w:w="5250"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新装消防报警信号接入系统并调试合格</w:t>
            </w:r>
          </w:p>
        </w:tc>
        <w:tc>
          <w:tcPr>
            <w:tcW w:w="2445" w:type="dxa"/>
          </w:tcPr>
          <w:p>
            <w:pPr>
              <w:tabs>
                <w:tab w:val="left" w:pos="2721"/>
              </w:tabs>
              <w:spacing w:line="360" w:lineRule="auto"/>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3"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251—350</w:t>
            </w:r>
          </w:p>
        </w:tc>
        <w:tc>
          <w:tcPr>
            <w:tcW w:w="5250"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新装消防报警信号接入系统并调试合格</w:t>
            </w:r>
          </w:p>
        </w:tc>
        <w:tc>
          <w:tcPr>
            <w:tcW w:w="2445" w:type="dxa"/>
          </w:tcPr>
          <w:p>
            <w:pPr>
              <w:tabs>
                <w:tab w:val="left" w:pos="2721"/>
              </w:tabs>
              <w:spacing w:line="360" w:lineRule="auto"/>
              <w:rPr>
                <w:rFonts w:asciiTheme="minorEastAsia" w:hAnsiTheme="minorEastAsia" w:eastAsiaTheme="minorEastAsia"/>
                <w:color w:val="auto"/>
                <w:szCs w:val="21"/>
                <w:highlight w:val="none"/>
              </w:rPr>
            </w:pPr>
          </w:p>
        </w:tc>
      </w:tr>
    </w:tbl>
    <w:p>
      <w:pPr>
        <w:spacing w:line="560" w:lineRule="exac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注：1、点数指区域内烟感、温感，破玻按钮、水流指示等需报警显示的消防报警配件个数；</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2、因</w:t>
      </w:r>
      <w:r>
        <w:rPr>
          <w:rFonts w:hint="eastAsia" w:asciiTheme="minorEastAsia" w:hAnsiTheme="minorEastAsia" w:eastAsiaTheme="minorEastAsia"/>
          <w:color w:val="auto"/>
          <w:sz w:val="28"/>
          <w:szCs w:val="28"/>
          <w:highlight w:val="none"/>
          <w:lang w:val="en-US" w:eastAsia="zh-CN"/>
        </w:rPr>
        <w:t>采购方</w:t>
      </w:r>
      <w:r>
        <w:rPr>
          <w:rFonts w:hint="eastAsia" w:asciiTheme="minorEastAsia" w:hAnsiTheme="minorEastAsia" w:eastAsiaTheme="minorEastAsia"/>
          <w:color w:val="auto"/>
          <w:sz w:val="28"/>
          <w:szCs w:val="28"/>
          <w:highlight w:val="none"/>
        </w:rPr>
        <w:t>工程项目需要接入消防系统的，维保单位应免费接入和调试。</w:t>
      </w:r>
    </w:p>
    <w:p>
      <w:pPr>
        <w:spacing w:line="560" w:lineRule="exact"/>
        <w:ind w:firstLine="560" w:firstLineChars="200"/>
        <w:rPr>
          <w:rFonts w:asciiTheme="minorEastAsia" w:hAnsiTheme="minorEastAsia" w:eastAsiaTheme="minorEastAsia"/>
          <w:color w:val="auto"/>
          <w:sz w:val="28"/>
          <w:szCs w:val="28"/>
          <w:highlight w:val="none"/>
        </w:rPr>
      </w:pPr>
    </w:p>
    <w:p>
      <w:pPr>
        <w:spacing w:line="560" w:lineRule="exact"/>
        <w:ind w:firstLine="562" w:firstLineChars="200"/>
        <w:rPr>
          <w:b/>
          <w:color w:val="auto"/>
          <w:sz w:val="28"/>
          <w:szCs w:val="28"/>
          <w:highlight w:val="none"/>
        </w:rPr>
      </w:pPr>
      <w:r>
        <w:rPr>
          <w:rFonts w:hint="eastAsia"/>
          <w:b/>
          <w:color w:val="auto"/>
          <w:sz w:val="28"/>
          <w:szCs w:val="28"/>
          <w:highlight w:val="none"/>
        </w:rPr>
        <w:t>四、消防系统设备维修保养技术人员资质要求</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1、项目负责人</w:t>
      </w:r>
      <w:r>
        <w:rPr>
          <w:rFonts w:asciiTheme="minorEastAsia" w:hAnsiTheme="minorEastAsia" w:eastAsiaTheme="minorEastAsia"/>
          <w:color w:val="auto"/>
          <w:sz w:val="28"/>
          <w:szCs w:val="28"/>
          <w:highlight w:val="none"/>
        </w:rPr>
        <w:t>1</w:t>
      </w:r>
      <w:r>
        <w:rPr>
          <w:rFonts w:hint="eastAsia" w:asciiTheme="minorEastAsia" w:hAnsiTheme="minorEastAsia" w:eastAsiaTheme="minorEastAsia"/>
          <w:color w:val="auto"/>
          <w:sz w:val="28"/>
          <w:szCs w:val="28"/>
          <w:highlight w:val="none"/>
        </w:rPr>
        <w:t>人，必须提供相关工程师证书。</w:t>
      </w:r>
    </w:p>
    <w:p>
      <w:pPr>
        <w:spacing w:line="560" w:lineRule="exact"/>
        <w:ind w:firstLine="560" w:firstLineChars="200"/>
        <w:rPr>
          <w:rFonts w:asciiTheme="minorEastAsia" w:hAnsiTheme="minorEastAsia" w:eastAsiaTheme="minorEastAsia"/>
          <w:bCs/>
          <w:color w:val="auto"/>
          <w:sz w:val="28"/>
          <w:szCs w:val="28"/>
          <w:highlight w:val="none"/>
        </w:rPr>
      </w:pPr>
      <w:r>
        <w:rPr>
          <w:rFonts w:asciiTheme="minorEastAsia" w:hAnsiTheme="minorEastAsia" w:eastAsiaTheme="minorEastAsia"/>
          <w:color w:val="auto"/>
          <w:sz w:val="28"/>
          <w:szCs w:val="28"/>
          <w:highlight w:val="none"/>
        </w:rPr>
        <w:t>2</w:t>
      </w:r>
      <w:r>
        <w:rPr>
          <w:rFonts w:hint="eastAsia" w:asciiTheme="minorEastAsia" w:hAnsiTheme="minorEastAsia" w:eastAsiaTheme="minorEastAsia"/>
          <w:color w:val="auto"/>
          <w:sz w:val="28"/>
          <w:szCs w:val="28"/>
          <w:highlight w:val="none"/>
        </w:rPr>
        <w:t>、维保工作人员</w:t>
      </w:r>
      <w:r>
        <w:rPr>
          <w:rFonts w:asciiTheme="minorEastAsia" w:hAnsiTheme="minorEastAsia" w:eastAsiaTheme="minorEastAsia"/>
          <w:color w:val="auto"/>
          <w:sz w:val="28"/>
          <w:szCs w:val="28"/>
          <w:highlight w:val="none"/>
        </w:rPr>
        <w:t>4</w:t>
      </w:r>
      <w:r>
        <w:rPr>
          <w:rFonts w:hint="eastAsia" w:asciiTheme="minorEastAsia" w:hAnsiTheme="minorEastAsia" w:eastAsiaTheme="minorEastAsia"/>
          <w:color w:val="auto"/>
          <w:sz w:val="28"/>
          <w:szCs w:val="28"/>
          <w:highlight w:val="none"/>
        </w:rPr>
        <w:t>人，必须是持有消防上岗证的电气给排水维修技工，要熟悉维修、保养自动报警系统和气体灭火系统，能操作、维修消防设备，</w:t>
      </w:r>
      <w:r>
        <w:rPr>
          <w:rFonts w:hint="eastAsia" w:asciiTheme="minorEastAsia" w:hAnsiTheme="minorEastAsia" w:eastAsiaTheme="minorEastAsia"/>
          <w:bCs/>
          <w:color w:val="auto"/>
          <w:sz w:val="28"/>
          <w:szCs w:val="28"/>
          <w:highlight w:val="none"/>
        </w:rPr>
        <w:t>维修保养人员应由有消防设施调试维修保养资格和经验的工程技术人员担任。维护人员具有消防水泵恒压控制系统的调试经验。</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3、进场维保工作人员具有《建（构）筑物消防员资格证书》中级及以上资质。</w:t>
      </w:r>
    </w:p>
    <w:p>
      <w:pPr>
        <w:widowControl/>
        <w:ind w:firstLine="562" w:firstLineChars="200"/>
        <w:jc w:val="left"/>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五、商务要求</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（一）服务保障及相应的时间要求</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1、维修保养质量标准</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（1）协助</w:t>
      </w:r>
      <w:r>
        <w:rPr>
          <w:rFonts w:hint="eastAsia" w:asciiTheme="minorEastAsia" w:hAnsiTheme="minorEastAsia" w:eastAsiaTheme="minorEastAsia"/>
          <w:color w:val="auto"/>
          <w:sz w:val="28"/>
          <w:szCs w:val="28"/>
          <w:highlight w:val="none"/>
          <w:lang w:val="en-US" w:eastAsia="zh-CN"/>
        </w:rPr>
        <w:t>采购方及采购方用户</w:t>
      </w:r>
      <w:r>
        <w:rPr>
          <w:rFonts w:hint="eastAsia" w:asciiTheme="minorEastAsia" w:hAnsiTheme="minorEastAsia" w:eastAsiaTheme="minorEastAsia"/>
          <w:color w:val="auto"/>
          <w:sz w:val="28"/>
          <w:szCs w:val="28"/>
          <w:highlight w:val="none"/>
        </w:rPr>
        <w:t>进行消防年审并保证消防设备符合广州市消防管理条例和规范要求；</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（2）保障消防各系统处于正常工作状态（除经甲乙双方共同认可的特殊情况）；</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（3）</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应按照约定对委托维修保养的建筑消防设施进行定期检查、维护和保养，确保系统正常工作。如因</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检查、维护和保养不到位造成消防事故的发生，</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负责赔偿因事故造成的所有损失；</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（4）</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负</w:t>
      </w:r>
      <w:r>
        <w:rPr>
          <w:rFonts w:hint="eastAsia" w:asciiTheme="minorEastAsia" w:hAnsiTheme="minorEastAsia" w:eastAsiaTheme="minorEastAsia"/>
          <w:color w:val="auto"/>
          <w:sz w:val="28"/>
          <w:szCs w:val="28"/>
          <w:highlight w:val="none"/>
          <w:lang w:val="en-US" w:eastAsia="zh-CN"/>
        </w:rPr>
        <w:t>责</w:t>
      </w:r>
      <w:r>
        <w:rPr>
          <w:rFonts w:hint="eastAsia" w:asciiTheme="minorEastAsia" w:hAnsiTheme="minorEastAsia" w:eastAsiaTheme="minorEastAsia"/>
          <w:color w:val="auto"/>
          <w:sz w:val="28"/>
          <w:szCs w:val="28"/>
          <w:highlight w:val="none"/>
        </w:rPr>
        <w:t>单价在</w:t>
      </w:r>
      <w:r>
        <w:rPr>
          <w:rFonts w:asciiTheme="minorEastAsia" w:hAnsiTheme="minorEastAsia" w:eastAsiaTheme="minorEastAsia"/>
          <w:color w:val="auto"/>
          <w:sz w:val="28"/>
          <w:szCs w:val="28"/>
          <w:highlight w:val="none"/>
        </w:rPr>
        <w:t>200</w:t>
      </w:r>
      <w:r>
        <w:rPr>
          <w:rFonts w:hint="eastAsia" w:asciiTheme="minorEastAsia" w:hAnsiTheme="minorEastAsia" w:eastAsiaTheme="minorEastAsia"/>
          <w:color w:val="auto"/>
          <w:sz w:val="28"/>
          <w:szCs w:val="28"/>
          <w:highlight w:val="none"/>
        </w:rPr>
        <w:t>元（含</w:t>
      </w:r>
      <w:r>
        <w:rPr>
          <w:rFonts w:asciiTheme="minorEastAsia" w:hAnsiTheme="minorEastAsia" w:eastAsiaTheme="minorEastAsia"/>
          <w:color w:val="auto"/>
          <w:sz w:val="28"/>
          <w:szCs w:val="28"/>
          <w:highlight w:val="none"/>
        </w:rPr>
        <w:t>200</w:t>
      </w:r>
      <w:r>
        <w:rPr>
          <w:rFonts w:hint="eastAsia" w:asciiTheme="minorEastAsia" w:hAnsiTheme="minorEastAsia" w:eastAsiaTheme="minorEastAsia"/>
          <w:color w:val="auto"/>
          <w:sz w:val="28"/>
          <w:szCs w:val="28"/>
          <w:highlight w:val="none"/>
        </w:rPr>
        <w:t>元）以下设备部件和材料的更换费用</w:t>
      </w:r>
      <w:r>
        <w:rPr>
          <w:rFonts w:hint="eastAsia" w:asciiTheme="minorEastAsia" w:hAnsiTheme="minorEastAsia" w:eastAsiaTheme="minorEastAsia"/>
          <w:color w:val="auto"/>
          <w:sz w:val="28"/>
          <w:szCs w:val="28"/>
          <w:highlight w:val="none"/>
          <w:lang w:eastAsia="zh-CN"/>
        </w:rPr>
        <w:t>（</w:t>
      </w:r>
      <w:r>
        <w:rPr>
          <w:rFonts w:hint="eastAsia" w:asciiTheme="minorEastAsia" w:hAnsiTheme="minorEastAsia" w:eastAsiaTheme="minorEastAsia"/>
          <w:color w:val="auto"/>
          <w:sz w:val="28"/>
          <w:szCs w:val="28"/>
          <w:highlight w:val="none"/>
          <w:lang w:val="en-US" w:eastAsia="zh-CN"/>
        </w:rPr>
        <w:t>包括但不限于下表《常用配件表》内配件</w:t>
      </w:r>
      <w:r>
        <w:rPr>
          <w:rFonts w:hint="eastAsia" w:asciiTheme="minorEastAsia" w:hAnsiTheme="minorEastAsia" w:eastAsiaTheme="minorEastAsia"/>
          <w:color w:val="auto"/>
          <w:sz w:val="28"/>
          <w:szCs w:val="28"/>
          <w:highlight w:val="none"/>
          <w:lang w:eastAsia="zh-CN"/>
        </w:rPr>
        <w:t>）</w:t>
      </w:r>
      <w:r>
        <w:rPr>
          <w:rFonts w:hint="eastAsia" w:asciiTheme="minorEastAsia" w:hAnsiTheme="minorEastAsia" w:eastAsiaTheme="minorEastAsia"/>
          <w:color w:val="auto"/>
          <w:sz w:val="28"/>
          <w:szCs w:val="28"/>
          <w:highlight w:val="none"/>
        </w:rPr>
        <w:t>，</w:t>
      </w:r>
      <w:r>
        <w:rPr>
          <w:rFonts w:asciiTheme="minorEastAsia" w:hAnsiTheme="minorEastAsia" w:eastAsiaTheme="minorEastAsia"/>
          <w:color w:val="auto"/>
          <w:sz w:val="28"/>
          <w:szCs w:val="28"/>
          <w:highlight w:val="none"/>
        </w:rPr>
        <w:t>200</w:t>
      </w:r>
      <w:r>
        <w:rPr>
          <w:rFonts w:hint="eastAsia" w:asciiTheme="minorEastAsia" w:hAnsiTheme="minorEastAsia" w:eastAsiaTheme="minorEastAsia"/>
          <w:color w:val="auto"/>
          <w:sz w:val="28"/>
          <w:szCs w:val="28"/>
          <w:highlight w:val="none"/>
        </w:rPr>
        <w:t>元以下的按实价格表或成本供货（甲方若需要</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备货，应书面通知备货种类及数量），更换前须先经过采购方书面同意后方能进行，采购方有权经市场调查后进行确定。200元以上的设备零配件，如果因中标人导致需要更换的，由中标人负责零配件费用及更换。对常用易损件</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应有库存，保证在发生损坏时及时更换。每月</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向采购方提供库存清单，可修复的零件部件应先换新，在保证系统正常运行的情况下修复后再替换；</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（5）消防设备不得随意拆除零部件，如需拆除，需先报采购方书面批准后方可进行，对</w:t>
      </w:r>
      <w:r>
        <w:rPr>
          <w:rFonts w:asciiTheme="minorEastAsia" w:hAnsiTheme="minorEastAsia" w:eastAsiaTheme="minorEastAsia"/>
          <w:color w:val="auto"/>
          <w:sz w:val="28"/>
          <w:szCs w:val="28"/>
          <w:highlight w:val="none"/>
        </w:rPr>
        <w:t>200</w:t>
      </w:r>
      <w:r>
        <w:rPr>
          <w:rFonts w:hint="eastAsia" w:asciiTheme="minorEastAsia" w:hAnsiTheme="minorEastAsia" w:eastAsiaTheme="minorEastAsia"/>
          <w:color w:val="auto"/>
          <w:sz w:val="28"/>
          <w:szCs w:val="28"/>
          <w:highlight w:val="none"/>
        </w:rPr>
        <w:t>元以内（含</w:t>
      </w:r>
      <w:r>
        <w:rPr>
          <w:rFonts w:asciiTheme="minorEastAsia" w:hAnsiTheme="minorEastAsia" w:eastAsiaTheme="minorEastAsia"/>
          <w:color w:val="auto"/>
          <w:sz w:val="28"/>
          <w:szCs w:val="28"/>
          <w:highlight w:val="none"/>
        </w:rPr>
        <w:t>200</w:t>
      </w:r>
      <w:r>
        <w:rPr>
          <w:rFonts w:hint="eastAsia" w:asciiTheme="minorEastAsia" w:hAnsiTheme="minorEastAsia" w:eastAsiaTheme="minorEastAsia"/>
          <w:color w:val="auto"/>
          <w:sz w:val="28"/>
          <w:szCs w:val="28"/>
          <w:highlight w:val="none"/>
        </w:rPr>
        <w:t>元）备件予以及时更换的，必须在更换后及时知会甲方有关情况，并于次日书面反映，并提供所用零配件（或材料）的检测报告等质量证书；</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（6）</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应免费配合采购方举办一年一次的消防演习等活动；</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（7）</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每半年进行消防</w:t>
      </w:r>
      <w:r>
        <w:rPr>
          <w:rFonts w:hint="eastAsia" w:asciiTheme="minorEastAsia" w:hAnsiTheme="minorEastAsia" w:eastAsiaTheme="minorEastAsia"/>
          <w:color w:val="auto"/>
          <w:sz w:val="28"/>
          <w:szCs w:val="28"/>
          <w:highlight w:val="none"/>
          <w:lang w:val="en-US" w:eastAsia="zh-CN"/>
        </w:rPr>
        <w:t>联动</w:t>
      </w:r>
      <w:r>
        <w:rPr>
          <w:rFonts w:hint="eastAsia" w:asciiTheme="minorEastAsia" w:hAnsiTheme="minorEastAsia" w:eastAsiaTheme="minorEastAsia"/>
          <w:color w:val="auto"/>
          <w:sz w:val="28"/>
          <w:szCs w:val="28"/>
          <w:highlight w:val="none"/>
        </w:rPr>
        <w:t>检测一次；</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（8）</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负责免费培训采购方至少</w:t>
      </w:r>
      <w:r>
        <w:rPr>
          <w:rFonts w:asciiTheme="minorEastAsia" w:hAnsiTheme="minorEastAsia" w:eastAsiaTheme="minorEastAsia"/>
          <w:color w:val="auto"/>
          <w:sz w:val="28"/>
          <w:szCs w:val="28"/>
          <w:highlight w:val="none"/>
        </w:rPr>
        <w:t>4</w:t>
      </w:r>
      <w:r>
        <w:rPr>
          <w:rFonts w:hint="eastAsia" w:asciiTheme="minorEastAsia" w:hAnsiTheme="minorEastAsia" w:eastAsiaTheme="minorEastAsia"/>
          <w:color w:val="auto"/>
          <w:sz w:val="28"/>
          <w:szCs w:val="28"/>
          <w:highlight w:val="none"/>
        </w:rPr>
        <w:t>名运行人员及维护人员；</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（9）</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在日常的检查、维护和保养工作中应做好生产安全防护，如因</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原因造成双方或第三方人身和财产的损失，</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负责赔偿；</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w:t>
      </w:r>
      <w:r>
        <w:rPr>
          <w:rFonts w:asciiTheme="minorEastAsia" w:hAnsiTheme="minorEastAsia" w:eastAsiaTheme="minorEastAsia"/>
          <w:color w:val="auto"/>
          <w:sz w:val="28"/>
          <w:szCs w:val="28"/>
          <w:highlight w:val="none"/>
        </w:rPr>
        <w:t>0</w:t>
      </w:r>
      <w:r>
        <w:rPr>
          <w:rFonts w:hint="eastAsia" w:asciiTheme="minorEastAsia" w:hAnsiTheme="minorEastAsia" w:eastAsiaTheme="minorEastAsia"/>
          <w:color w:val="auto"/>
          <w:sz w:val="28"/>
          <w:szCs w:val="28"/>
          <w:highlight w:val="none"/>
        </w:rPr>
        <w:t>）消防值班</w:t>
      </w:r>
      <w:r>
        <w:rPr>
          <w:rFonts w:hint="eastAsia" w:asciiTheme="minorEastAsia" w:hAnsiTheme="minorEastAsia" w:eastAsiaTheme="minorEastAsia"/>
          <w:color w:val="auto"/>
          <w:sz w:val="28"/>
          <w:szCs w:val="28"/>
          <w:highlight w:val="none"/>
          <w:lang w:val="en-US" w:eastAsia="zh-CN"/>
        </w:rPr>
        <w:t>由</w:t>
      </w:r>
      <w:r>
        <w:rPr>
          <w:rFonts w:hint="eastAsia" w:asciiTheme="minorEastAsia" w:hAnsiTheme="minorEastAsia" w:eastAsiaTheme="minorEastAsia"/>
          <w:color w:val="auto"/>
          <w:sz w:val="28"/>
          <w:szCs w:val="28"/>
          <w:highlight w:val="none"/>
        </w:rPr>
        <w:t>采购方组织安排，在发生误报时由值班人员检查复位处理，值班人员无法处理时必须及时通知</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应按照</w:t>
      </w:r>
      <w:r>
        <w:rPr>
          <w:rFonts w:hint="eastAsia" w:asciiTheme="minorEastAsia" w:hAnsiTheme="minorEastAsia" w:eastAsiaTheme="minorEastAsia"/>
          <w:color w:val="auto"/>
          <w:sz w:val="28"/>
          <w:szCs w:val="28"/>
          <w:highlight w:val="none"/>
          <w:lang w:val="en-US" w:eastAsia="zh-CN"/>
        </w:rPr>
        <w:t>以上</w:t>
      </w:r>
      <w:r>
        <w:rPr>
          <w:rFonts w:hint="eastAsia" w:asciiTheme="minorEastAsia" w:hAnsiTheme="minorEastAsia" w:eastAsiaTheme="minorEastAsia"/>
          <w:color w:val="auto"/>
          <w:sz w:val="28"/>
          <w:szCs w:val="28"/>
          <w:highlight w:val="none"/>
        </w:rPr>
        <w:t>约定时间处理；</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w:t>
      </w:r>
      <w:r>
        <w:rPr>
          <w:rFonts w:asciiTheme="minorEastAsia" w:hAnsiTheme="minorEastAsia" w:eastAsiaTheme="minorEastAsia"/>
          <w:color w:val="auto"/>
          <w:sz w:val="28"/>
          <w:szCs w:val="28"/>
          <w:highlight w:val="none"/>
        </w:rPr>
        <w:t>1</w:t>
      </w:r>
      <w:r>
        <w:rPr>
          <w:rFonts w:hint="eastAsia" w:asciiTheme="minorEastAsia" w:hAnsiTheme="minorEastAsia" w:eastAsiaTheme="minorEastAsia"/>
          <w:color w:val="auto"/>
          <w:sz w:val="28"/>
          <w:szCs w:val="28"/>
          <w:highlight w:val="none"/>
        </w:rPr>
        <w:t>）接到火险通报，应立即赶到现场协助采购方工作；</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w:t>
      </w:r>
      <w:r>
        <w:rPr>
          <w:rFonts w:asciiTheme="minorEastAsia" w:hAnsiTheme="minorEastAsia" w:eastAsiaTheme="minorEastAsia"/>
          <w:color w:val="auto"/>
          <w:sz w:val="28"/>
          <w:szCs w:val="28"/>
          <w:highlight w:val="none"/>
        </w:rPr>
        <w:t>2</w:t>
      </w:r>
      <w:r>
        <w:rPr>
          <w:rFonts w:hint="eastAsia" w:asciiTheme="minorEastAsia" w:hAnsiTheme="minorEastAsia" w:eastAsiaTheme="minorEastAsia"/>
          <w:color w:val="auto"/>
          <w:sz w:val="28"/>
          <w:szCs w:val="28"/>
          <w:highlight w:val="none"/>
        </w:rPr>
        <w:t>）当消防设施出现严重故障必须停用时，应</w:t>
      </w:r>
      <w:r>
        <w:rPr>
          <w:rFonts w:hint="eastAsia" w:asciiTheme="minorEastAsia" w:hAnsiTheme="minorEastAsia" w:eastAsiaTheme="minorEastAsia"/>
          <w:color w:val="auto"/>
          <w:sz w:val="28"/>
          <w:szCs w:val="28"/>
          <w:highlight w:val="none"/>
          <w:lang w:val="en-US" w:eastAsia="zh-CN"/>
        </w:rPr>
        <w:t>配合</w:t>
      </w:r>
      <w:r>
        <w:rPr>
          <w:rFonts w:hint="eastAsia" w:asciiTheme="minorEastAsia" w:hAnsiTheme="minorEastAsia" w:eastAsiaTheme="minorEastAsia"/>
          <w:color w:val="auto"/>
          <w:sz w:val="28"/>
          <w:szCs w:val="28"/>
          <w:highlight w:val="none"/>
        </w:rPr>
        <w:t>采购方向广州市番禺区公安消防局报告；</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w:t>
      </w:r>
      <w:r>
        <w:rPr>
          <w:rFonts w:asciiTheme="minorEastAsia" w:hAnsiTheme="minorEastAsia" w:eastAsiaTheme="minorEastAsia"/>
          <w:color w:val="auto"/>
          <w:sz w:val="28"/>
          <w:szCs w:val="28"/>
          <w:highlight w:val="none"/>
        </w:rPr>
        <w:t>3</w:t>
      </w:r>
      <w:r>
        <w:rPr>
          <w:rFonts w:hint="eastAsia" w:asciiTheme="minorEastAsia" w:hAnsiTheme="minorEastAsia" w:eastAsiaTheme="minorEastAsia"/>
          <w:color w:val="auto"/>
          <w:sz w:val="28"/>
          <w:szCs w:val="28"/>
          <w:highlight w:val="none"/>
        </w:rPr>
        <w:t>）维保人员交通、工作用车、维修工具、保养所需辅材如润滑油等均由</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自备；</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w:t>
      </w:r>
      <w:r>
        <w:rPr>
          <w:rFonts w:asciiTheme="minorEastAsia" w:hAnsiTheme="minorEastAsia" w:eastAsiaTheme="minorEastAsia"/>
          <w:color w:val="auto"/>
          <w:sz w:val="28"/>
          <w:szCs w:val="28"/>
          <w:highlight w:val="none"/>
        </w:rPr>
        <w:t>4</w:t>
      </w:r>
      <w:r>
        <w:rPr>
          <w:rFonts w:hint="eastAsia" w:asciiTheme="minorEastAsia" w:hAnsiTheme="minorEastAsia" w:eastAsiaTheme="minorEastAsia"/>
          <w:color w:val="auto"/>
          <w:sz w:val="28"/>
          <w:szCs w:val="28"/>
          <w:highlight w:val="none"/>
        </w:rPr>
        <w:t>）</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应按时做好日常的各项维保工作记录，日工作内容须</w:t>
      </w:r>
      <w:r>
        <w:rPr>
          <w:rFonts w:hint="eastAsia" w:asciiTheme="minorEastAsia" w:hAnsiTheme="minorEastAsia" w:eastAsiaTheme="minorEastAsia"/>
          <w:color w:val="auto"/>
          <w:sz w:val="28"/>
          <w:szCs w:val="28"/>
          <w:highlight w:val="none"/>
          <w:lang w:val="en-US" w:eastAsia="zh-CN"/>
        </w:rPr>
        <w:t>采购方</w:t>
      </w:r>
      <w:r>
        <w:rPr>
          <w:rFonts w:hint="eastAsia" w:asciiTheme="minorEastAsia" w:hAnsiTheme="minorEastAsia" w:eastAsiaTheme="minorEastAsia"/>
          <w:color w:val="auto"/>
          <w:sz w:val="28"/>
          <w:szCs w:val="28"/>
          <w:highlight w:val="none"/>
        </w:rPr>
        <w:t>方确定，月、年度报告（各项检测、维修和紧急报告）各同每期工作计划和换件预算报价，应及时提供给采购方。</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2、服务时间</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组织专业工程师与技术人员成立维保工程小组专项维护工作，特殊或必要情况下，工作维护小组可由</w:t>
      </w:r>
      <w:r>
        <w:rPr>
          <w:rFonts w:hint="eastAsia" w:asciiTheme="minorEastAsia" w:hAnsiTheme="minorEastAsia" w:eastAsiaTheme="minorEastAsia"/>
          <w:color w:val="auto"/>
          <w:sz w:val="28"/>
          <w:szCs w:val="28"/>
          <w:highlight w:val="none"/>
          <w:lang w:val="en-US" w:eastAsia="zh-CN"/>
        </w:rPr>
        <w:t>采购方</w:t>
      </w:r>
      <w:r>
        <w:rPr>
          <w:rFonts w:hint="eastAsia" w:asciiTheme="minorEastAsia" w:hAnsiTheme="minorEastAsia" w:eastAsiaTheme="minorEastAsia"/>
          <w:color w:val="auto"/>
          <w:sz w:val="28"/>
          <w:szCs w:val="28"/>
          <w:highlight w:val="none"/>
        </w:rPr>
        <w:t>组织力量参与工作。维保工程小组二十四小时随时待命，并设有二十四小时支持电话。</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应依照</w:t>
      </w:r>
      <w:r>
        <w:rPr>
          <w:rFonts w:hint="eastAsia" w:asciiTheme="minorEastAsia" w:hAnsiTheme="minorEastAsia" w:eastAsiaTheme="minorEastAsia"/>
          <w:color w:val="auto"/>
          <w:sz w:val="28"/>
          <w:szCs w:val="28"/>
          <w:highlight w:val="none"/>
          <w:lang w:val="en-US" w:eastAsia="zh-CN"/>
        </w:rPr>
        <w:t>相关制度</w:t>
      </w:r>
      <w:r>
        <w:rPr>
          <w:rFonts w:hint="eastAsia" w:asciiTheme="minorEastAsia" w:hAnsiTheme="minorEastAsia" w:eastAsiaTheme="minorEastAsia"/>
          <w:color w:val="auto"/>
          <w:sz w:val="28"/>
          <w:szCs w:val="28"/>
          <w:highlight w:val="none"/>
        </w:rPr>
        <w:t>或根据员工自愿申请安排员工加班工作。</w:t>
      </w:r>
    </w:p>
    <w:p>
      <w:pPr>
        <w:widowControl/>
        <w:ind w:firstLine="560" w:firstLineChars="200"/>
        <w:jc w:val="left"/>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（3）</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对消防设施、设备出现故障应及时修复，接到采购方故障报修电话一般情况</w:t>
      </w:r>
      <w:r>
        <w:rPr>
          <w:rFonts w:asciiTheme="minorEastAsia" w:hAnsiTheme="minorEastAsia" w:eastAsiaTheme="minorEastAsia"/>
          <w:color w:val="auto"/>
          <w:sz w:val="28"/>
          <w:szCs w:val="28"/>
          <w:highlight w:val="none"/>
        </w:rPr>
        <w:t>4</w:t>
      </w:r>
      <w:r>
        <w:rPr>
          <w:rFonts w:hint="eastAsia" w:asciiTheme="minorEastAsia" w:hAnsiTheme="minorEastAsia" w:eastAsiaTheme="minorEastAsia"/>
          <w:color w:val="auto"/>
          <w:sz w:val="28"/>
          <w:szCs w:val="28"/>
          <w:highlight w:val="none"/>
        </w:rPr>
        <w:t>小时内到场，紧急情况必须在</w:t>
      </w:r>
      <w:r>
        <w:rPr>
          <w:rFonts w:asciiTheme="minorEastAsia" w:hAnsiTheme="minorEastAsia" w:eastAsiaTheme="minorEastAsia"/>
          <w:color w:val="auto"/>
          <w:sz w:val="28"/>
          <w:szCs w:val="28"/>
          <w:highlight w:val="none"/>
        </w:rPr>
        <w:t>1</w:t>
      </w:r>
      <w:r>
        <w:rPr>
          <w:rFonts w:hint="eastAsia" w:asciiTheme="minorEastAsia" w:hAnsiTheme="minorEastAsia" w:eastAsiaTheme="minorEastAsia"/>
          <w:color w:val="auto"/>
          <w:sz w:val="28"/>
          <w:szCs w:val="28"/>
          <w:highlight w:val="none"/>
        </w:rPr>
        <w:t>小时内到场。</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人员到场后应立即积极抢修，除重要零配件待料等原因外，应在</w:t>
      </w:r>
      <w:r>
        <w:rPr>
          <w:rFonts w:hint="eastAsia" w:asciiTheme="minorEastAsia" w:hAnsiTheme="minorEastAsia" w:eastAsiaTheme="minorEastAsia"/>
          <w:color w:val="auto"/>
          <w:sz w:val="28"/>
          <w:szCs w:val="28"/>
          <w:highlight w:val="none"/>
          <w:lang w:eastAsia="zh-CN"/>
        </w:rPr>
        <w:t>4</w:t>
      </w:r>
      <w:r>
        <w:rPr>
          <w:rFonts w:hint="eastAsia" w:asciiTheme="minorEastAsia" w:hAnsiTheme="minorEastAsia" w:eastAsiaTheme="minorEastAsia"/>
          <w:color w:val="auto"/>
          <w:sz w:val="28"/>
          <w:szCs w:val="28"/>
          <w:highlight w:val="none"/>
          <w:lang w:val="en-US" w:eastAsia="zh-CN"/>
        </w:rPr>
        <w:t>8</w:t>
      </w:r>
      <w:r>
        <w:rPr>
          <w:rFonts w:hint="eastAsia" w:asciiTheme="minorEastAsia" w:hAnsiTheme="minorEastAsia" w:eastAsiaTheme="minorEastAsia"/>
          <w:color w:val="auto"/>
          <w:sz w:val="28"/>
          <w:szCs w:val="28"/>
          <w:highlight w:val="none"/>
        </w:rPr>
        <w:t>小时内解决问题。</w:t>
      </w:r>
    </w:p>
    <w:p>
      <w:pPr>
        <w:widowControl/>
        <w:ind w:firstLine="560" w:firstLineChars="200"/>
        <w:jc w:val="left"/>
        <w:rPr>
          <w:rFonts w:hint="eastAsia" w:asciiTheme="minorEastAsia" w:hAnsiTheme="minorEastAsia" w:eastAsiaTheme="minorEastAsia"/>
          <w:color w:val="auto"/>
          <w:sz w:val="28"/>
          <w:szCs w:val="28"/>
          <w:highlight w:val="none"/>
          <w:lang w:eastAsia="zh-CN"/>
        </w:rPr>
      </w:pPr>
      <w:r>
        <w:rPr>
          <w:rFonts w:hint="eastAsia" w:asciiTheme="minorEastAsia" w:hAnsiTheme="minorEastAsia" w:eastAsiaTheme="minorEastAsia"/>
          <w:color w:val="auto"/>
          <w:sz w:val="28"/>
          <w:szCs w:val="28"/>
          <w:highlight w:val="none"/>
          <w:lang w:eastAsia="zh-CN"/>
        </w:rPr>
        <w:t>（</w:t>
      </w:r>
      <w:r>
        <w:rPr>
          <w:rFonts w:hint="eastAsia" w:asciiTheme="minorEastAsia" w:hAnsiTheme="minorEastAsia" w:eastAsiaTheme="minorEastAsia"/>
          <w:color w:val="auto"/>
          <w:sz w:val="28"/>
          <w:szCs w:val="28"/>
          <w:highlight w:val="none"/>
          <w:lang w:val="en-US" w:eastAsia="zh-CN"/>
        </w:rPr>
        <w:t>4</w:t>
      </w:r>
      <w:r>
        <w:rPr>
          <w:rFonts w:hint="eastAsia" w:asciiTheme="minorEastAsia" w:hAnsiTheme="minorEastAsia" w:eastAsiaTheme="minorEastAsia"/>
          <w:color w:val="auto"/>
          <w:sz w:val="28"/>
          <w:szCs w:val="28"/>
          <w:highlight w:val="none"/>
          <w:lang w:eastAsia="zh-CN"/>
        </w:rPr>
        <w:t>）消防报警控制器瘫痪，或建筑内消防主管网爆破等大故障，要求在2小时内采取有效措施控制事态发展，72小时内修复。</w:t>
      </w:r>
    </w:p>
    <w:p>
      <w:pPr>
        <w:widowControl/>
        <w:ind w:firstLine="560" w:firstLineChars="200"/>
        <w:jc w:val="left"/>
        <w:rPr>
          <w:rFonts w:hint="eastAsia" w:asciiTheme="minorEastAsia" w:hAnsiTheme="minorEastAsia" w:eastAsiaTheme="minorEastAsia"/>
          <w:color w:val="auto"/>
          <w:sz w:val="28"/>
          <w:szCs w:val="28"/>
          <w:highlight w:val="none"/>
          <w:lang w:eastAsia="zh-CN"/>
        </w:rPr>
      </w:pPr>
      <w:r>
        <w:rPr>
          <w:rFonts w:hint="eastAsia" w:asciiTheme="minorEastAsia" w:hAnsiTheme="minorEastAsia" w:eastAsiaTheme="minorEastAsia"/>
          <w:color w:val="auto"/>
          <w:sz w:val="28"/>
          <w:szCs w:val="28"/>
          <w:highlight w:val="none"/>
          <w:lang w:eastAsia="zh-CN"/>
        </w:rPr>
        <w:t>（</w:t>
      </w:r>
      <w:r>
        <w:rPr>
          <w:rFonts w:hint="eastAsia" w:asciiTheme="minorEastAsia" w:hAnsiTheme="minorEastAsia" w:eastAsiaTheme="minorEastAsia"/>
          <w:color w:val="auto"/>
          <w:sz w:val="28"/>
          <w:szCs w:val="28"/>
          <w:highlight w:val="none"/>
          <w:lang w:val="en-US" w:eastAsia="zh-CN"/>
        </w:rPr>
        <w:t>5</w:t>
      </w:r>
      <w:r>
        <w:rPr>
          <w:rFonts w:hint="eastAsia" w:asciiTheme="minorEastAsia" w:hAnsiTheme="minorEastAsia" w:eastAsiaTheme="minorEastAsia"/>
          <w:color w:val="auto"/>
          <w:sz w:val="28"/>
          <w:szCs w:val="28"/>
          <w:highlight w:val="none"/>
          <w:lang w:eastAsia="zh-CN"/>
        </w:rPr>
        <w:t>）防报警控制器故障，或联动控制装置失灵，或建筑物内消防支管爆破等重大故障，要求在2小时内采取有效措施控制事态发展，3小时内恢复正常系统正常运行，48小时内修复。</w:t>
      </w:r>
    </w:p>
    <w:p>
      <w:pPr>
        <w:widowControl/>
        <w:ind w:firstLine="560" w:firstLineChars="200"/>
        <w:jc w:val="left"/>
        <w:rPr>
          <w:rFonts w:hint="eastAsia" w:cs="Times New Roman" w:asciiTheme="minorEastAsia" w:hAnsiTheme="minorEastAsia" w:eastAsiaTheme="minorEastAsia"/>
          <w:color w:val="auto"/>
          <w:kern w:val="2"/>
          <w:sz w:val="28"/>
          <w:szCs w:val="28"/>
          <w:highlight w:val="none"/>
        </w:rPr>
      </w:pPr>
      <w:r>
        <w:rPr>
          <w:rFonts w:hint="eastAsia" w:asciiTheme="minorEastAsia" w:hAnsiTheme="minorEastAsia" w:eastAsiaTheme="minorEastAsia"/>
          <w:color w:val="auto"/>
          <w:sz w:val="28"/>
          <w:szCs w:val="28"/>
          <w:highlight w:val="none"/>
          <w:lang w:eastAsia="zh-CN"/>
        </w:rPr>
        <w:t>（</w:t>
      </w:r>
      <w:r>
        <w:rPr>
          <w:rFonts w:hint="eastAsia" w:asciiTheme="minorEastAsia" w:hAnsiTheme="minorEastAsia" w:eastAsiaTheme="minorEastAsia"/>
          <w:color w:val="auto"/>
          <w:sz w:val="28"/>
          <w:szCs w:val="28"/>
          <w:highlight w:val="none"/>
          <w:lang w:val="en-US" w:eastAsia="zh-CN"/>
        </w:rPr>
        <w:t>6</w:t>
      </w:r>
      <w:r>
        <w:rPr>
          <w:rFonts w:hint="eastAsia" w:asciiTheme="minorEastAsia" w:hAnsiTheme="minorEastAsia" w:eastAsiaTheme="minorEastAsia"/>
          <w:color w:val="auto"/>
          <w:sz w:val="28"/>
          <w:szCs w:val="28"/>
          <w:highlight w:val="none"/>
          <w:lang w:eastAsia="zh-CN"/>
        </w:rPr>
        <w:t>）</w:t>
      </w:r>
      <w:r>
        <w:rPr>
          <w:rFonts w:hint="eastAsia" w:cs="Times New Roman" w:asciiTheme="minorEastAsia" w:hAnsiTheme="minorEastAsia" w:eastAsiaTheme="minorEastAsia"/>
          <w:color w:val="auto"/>
          <w:kern w:val="2"/>
          <w:sz w:val="28"/>
          <w:szCs w:val="28"/>
          <w:highlight w:val="none"/>
        </w:rPr>
        <w:t>消防报警回路故障，或喷头非正常爆破，或气体灭火系统非正常启动等一般故障，要求在半小时内采取有效措施控制事态发展，1小时内恢复系统正常运行，2小时内修复。</w:t>
      </w:r>
    </w:p>
    <w:p>
      <w:pPr>
        <w:widowControl/>
        <w:ind w:firstLine="560" w:firstLineChars="200"/>
        <w:jc w:val="left"/>
        <w:rPr>
          <w:rFonts w:hint="eastAsia" w:cs="Times New Roman" w:asciiTheme="minorEastAsia" w:hAnsiTheme="minorEastAsia" w:eastAsiaTheme="minorEastAsia"/>
          <w:color w:val="auto"/>
          <w:kern w:val="2"/>
          <w:sz w:val="28"/>
          <w:szCs w:val="28"/>
          <w:highlight w:val="none"/>
          <w:lang w:eastAsia="zh-CN"/>
        </w:rPr>
      </w:pPr>
      <w:r>
        <w:rPr>
          <w:rFonts w:hint="eastAsia" w:cs="Times New Roman" w:asciiTheme="minorEastAsia" w:hAnsiTheme="minorEastAsia" w:eastAsiaTheme="minorEastAsia"/>
          <w:color w:val="auto"/>
          <w:kern w:val="2"/>
          <w:sz w:val="28"/>
          <w:szCs w:val="28"/>
          <w:highlight w:val="none"/>
          <w:lang w:eastAsia="zh-CN"/>
        </w:rPr>
        <w:t>（</w:t>
      </w:r>
      <w:r>
        <w:rPr>
          <w:rFonts w:hint="eastAsia" w:cs="Times New Roman" w:asciiTheme="minorEastAsia" w:hAnsiTheme="minorEastAsia" w:eastAsiaTheme="minorEastAsia"/>
          <w:color w:val="auto"/>
          <w:kern w:val="2"/>
          <w:sz w:val="28"/>
          <w:szCs w:val="28"/>
          <w:highlight w:val="none"/>
          <w:lang w:val="en-US" w:eastAsia="zh-CN"/>
        </w:rPr>
        <w:t>7</w:t>
      </w:r>
      <w:r>
        <w:rPr>
          <w:rFonts w:hint="eastAsia" w:cs="Times New Roman" w:asciiTheme="minorEastAsia" w:hAnsiTheme="minorEastAsia" w:eastAsiaTheme="minorEastAsia"/>
          <w:color w:val="auto"/>
          <w:kern w:val="2"/>
          <w:sz w:val="28"/>
          <w:szCs w:val="28"/>
          <w:highlight w:val="none"/>
          <w:lang w:eastAsia="zh-CN"/>
        </w:rPr>
        <w:t>）消防设施故障，导致局部设施不能正常工作，如手报、探测器、模块、闸阀、烟感、温感等轻微故障，要求48小时内修复。</w:t>
      </w:r>
    </w:p>
    <w:p>
      <w:pPr>
        <w:widowControl/>
        <w:ind w:firstLine="560" w:firstLineChars="200"/>
        <w:jc w:val="left"/>
        <w:rPr>
          <w:rFonts w:hint="eastAsia" w:cs="Times New Roman" w:asciiTheme="minorEastAsia" w:hAnsiTheme="minorEastAsia" w:eastAsiaTheme="minorEastAsia"/>
          <w:color w:val="auto"/>
          <w:kern w:val="2"/>
          <w:sz w:val="28"/>
          <w:szCs w:val="28"/>
          <w:highlight w:val="none"/>
          <w:lang w:eastAsia="zh-CN"/>
        </w:rPr>
      </w:pPr>
      <w:r>
        <w:rPr>
          <w:rFonts w:hint="eastAsia" w:cs="Times New Roman" w:asciiTheme="minorEastAsia" w:hAnsiTheme="minorEastAsia" w:eastAsiaTheme="minorEastAsia"/>
          <w:color w:val="auto"/>
          <w:kern w:val="2"/>
          <w:sz w:val="28"/>
          <w:szCs w:val="28"/>
          <w:highlight w:val="none"/>
          <w:lang w:eastAsia="zh-CN"/>
        </w:rPr>
        <w:t>（</w:t>
      </w:r>
      <w:r>
        <w:rPr>
          <w:rFonts w:hint="eastAsia" w:cs="Times New Roman" w:asciiTheme="minorEastAsia" w:hAnsiTheme="minorEastAsia" w:eastAsiaTheme="minorEastAsia"/>
          <w:color w:val="auto"/>
          <w:kern w:val="2"/>
          <w:sz w:val="28"/>
          <w:szCs w:val="28"/>
          <w:highlight w:val="none"/>
          <w:lang w:val="en-US" w:eastAsia="zh-CN"/>
        </w:rPr>
        <w:t>8</w:t>
      </w:r>
      <w:r>
        <w:rPr>
          <w:rFonts w:hint="eastAsia" w:cs="Times New Roman" w:asciiTheme="minorEastAsia" w:hAnsiTheme="minorEastAsia" w:eastAsiaTheme="minorEastAsia"/>
          <w:color w:val="auto"/>
          <w:kern w:val="2"/>
          <w:sz w:val="28"/>
          <w:szCs w:val="28"/>
          <w:highlight w:val="none"/>
          <w:lang w:eastAsia="zh-CN"/>
        </w:rPr>
        <w:t>）因软件本身原因导致报警主机死机，图文中心无法浏览、系统联动功能出错等软件故障，要求48小时内修复系统的正常运行，同类故障在1月内连续出现2次及以上，应提供解决方案。</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（二）服务期限：</w:t>
      </w:r>
      <w:r>
        <w:rPr>
          <w:rFonts w:hint="eastAsia" w:asciiTheme="minorEastAsia" w:hAnsiTheme="minorEastAsia" w:eastAsiaTheme="minorEastAsia"/>
          <w:color w:val="auto"/>
          <w:sz w:val="28"/>
          <w:szCs w:val="28"/>
          <w:highlight w:val="none"/>
          <w:lang w:val="en-US" w:eastAsia="zh-CN"/>
        </w:rPr>
        <w:t>2</w:t>
      </w:r>
      <w:r>
        <w:rPr>
          <w:rFonts w:hint="eastAsia" w:asciiTheme="minorEastAsia" w:hAnsiTheme="minorEastAsia" w:eastAsiaTheme="minorEastAsia"/>
          <w:color w:val="auto"/>
          <w:sz w:val="28"/>
          <w:szCs w:val="28"/>
          <w:highlight w:val="none"/>
        </w:rPr>
        <w:t>年，自</w:t>
      </w:r>
      <w:r>
        <w:rPr>
          <w:rFonts w:hint="eastAsia" w:asciiTheme="minorEastAsia" w:hAnsiTheme="minorEastAsia" w:eastAsiaTheme="minorEastAsia"/>
          <w:color w:val="auto"/>
          <w:sz w:val="28"/>
          <w:szCs w:val="28"/>
          <w:highlight w:val="none"/>
          <w:u w:val="single"/>
        </w:rPr>
        <w:t xml:space="preserve"> </w:t>
      </w:r>
      <w:r>
        <w:rPr>
          <w:rFonts w:asciiTheme="minorEastAsia" w:hAnsiTheme="minorEastAsia" w:eastAsiaTheme="minorEastAsia"/>
          <w:color w:val="auto"/>
          <w:sz w:val="28"/>
          <w:szCs w:val="28"/>
          <w:highlight w:val="none"/>
          <w:u w:val="single"/>
        </w:rPr>
        <w:t>202</w:t>
      </w:r>
      <w:r>
        <w:rPr>
          <w:rFonts w:hint="eastAsia" w:asciiTheme="minorEastAsia" w:hAnsiTheme="minorEastAsia" w:eastAsiaTheme="minorEastAsia"/>
          <w:color w:val="auto"/>
          <w:sz w:val="28"/>
          <w:szCs w:val="28"/>
          <w:highlight w:val="none"/>
          <w:u w:val="single"/>
          <w:lang w:val="en-US" w:eastAsia="zh-CN"/>
        </w:rPr>
        <w:t>3</w:t>
      </w:r>
      <w:r>
        <w:rPr>
          <w:rFonts w:asciiTheme="minorEastAsia" w:hAnsiTheme="minorEastAsia" w:eastAsiaTheme="minorEastAsia"/>
          <w:color w:val="auto"/>
          <w:sz w:val="28"/>
          <w:szCs w:val="28"/>
          <w:highlight w:val="none"/>
        </w:rPr>
        <w:t>年</w:t>
      </w:r>
      <w:r>
        <w:rPr>
          <w:rFonts w:hint="eastAsia" w:asciiTheme="minorEastAsia" w:hAnsiTheme="minorEastAsia" w:eastAsiaTheme="minorEastAsia"/>
          <w:color w:val="auto"/>
          <w:sz w:val="28"/>
          <w:szCs w:val="28"/>
          <w:highlight w:val="none"/>
          <w:u w:val="single"/>
        </w:rPr>
        <w:t xml:space="preserve"> </w:t>
      </w:r>
      <w:r>
        <w:rPr>
          <w:rFonts w:asciiTheme="minorEastAsia" w:hAnsiTheme="minorEastAsia" w:eastAsiaTheme="minorEastAsia"/>
          <w:color w:val="auto"/>
          <w:sz w:val="28"/>
          <w:szCs w:val="28"/>
          <w:highlight w:val="none"/>
          <w:u w:val="single"/>
        </w:rPr>
        <w:t xml:space="preserve">9 </w:t>
      </w:r>
      <w:r>
        <w:rPr>
          <w:rFonts w:asciiTheme="minorEastAsia" w:hAnsiTheme="minorEastAsia" w:eastAsiaTheme="minorEastAsia"/>
          <w:color w:val="auto"/>
          <w:sz w:val="28"/>
          <w:szCs w:val="28"/>
          <w:highlight w:val="none"/>
        </w:rPr>
        <w:t>月</w:t>
      </w:r>
      <w:r>
        <w:rPr>
          <w:rFonts w:hint="eastAsia" w:asciiTheme="minorEastAsia" w:hAnsiTheme="minorEastAsia" w:eastAsiaTheme="minorEastAsia"/>
          <w:color w:val="auto"/>
          <w:sz w:val="28"/>
          <w:szCs w:val="28"/>
          <w:highlight w:val="none"/>
          <w:u w:val="single"/>
        </w:rPr>
        <w:t xml:space="preserve"> </w:t>
      </w:r>
      <w:r>
        <w:rPr>
          <w:rFonts w:asciiTheme="minorEastAsia" w:hAnsiTheme="minorEastAsia" w:eastAsiaTheme="minorEastAsia"/>
          <w:color w:val="auto"/>
          <w:sz w:val="28"/>
          <w:szCs w:val="28"/>
          <w:highlight w:val="none"/>
          <w:u w:val="single"/>
        </w:rPr>
        <w:t xml:space="preserve">1 </w:t>
      </w:r>
      <w:r>
        <w:rPr>
          <w:rFonts w:asciiTheme="minorEastAsia" w:hAnsiTheme="minorEastAsia" w:eastAsiaTheme="minorEastAsia"/>
          <w:color w:val="auto"/>
          <w:sz w:val="28"/>
          <w:szCs w:val="28"/>
          <w:highlight w:val="none"/>
        </w:rPr>
        <w:t>日起至</w:t>
      </w:r>
      <w:r>
        <w:rPr>
          <w:rFonts w:hint="eastAsia" w:asciiTheme="minorEastAsia" w:hAnsiTheme="minorEastAsia" w:eastAsiaTheme="minorEastAsia"/>
          <w:color w:val="auto"/>
          <w:sz w:val="28"/>
          <w:szCs w:val="28"/>
          <w:highlight w:val="none"/>
          <w:u w:val="single"/>
        </w:rPr>
        <w:t xml:space="preserve"> </w:t>
      </w:r>
      <w:r>
        <w:rPr>
          <w:rFonts w:asciiTheme="minorEastAsia" w:hAnsiTheme="minorEastAsia" w:eastAsiaTheme="minorEastAsia"/>
          <w:color w:val="auto"/>
          <w:sz w:val="28"/>
          <w:szCs w:val="28"/>
          <w:highlight w:val="none"/>
          <w:u w:val="single"/>
        </w:rPr>
        <w:t>202</w:t>
      </w:r>
      <w:r>
        <w:rPr>
          <w:rFonts w:hint="eastAsia" w:asciiTheme="minorEastAsia" w:hAnsiTheme="minorEastAsia" w:eastAsiaTheme="minorEastAsia"/>
          <w:color w:val="auto"/>
          <w:sz w:val="28"/>
          <w:szCs w:val="28"/>
          <w:highlight w:val="none"/>
          <w:u w:val="single"/>
          <w:lang w:val="en-US" w:eastAsia="zh-CN"/>
        </w:rPr>
        <w:t>5</w:t>
      </w:r>
      <w:r>
        <w:rPr>
          <w:rFonts w:asciiTheme="minorEastAsia" w:hAnsiTheme="minorEastAsia" w:eastAsiaTheme="minorEastAsia"/>
          <w:color w:val="auto"/>
          <w:sz w:val="28"/>
          <w:szCs w:val="28"/>
          <w:highlight w:val="none"/>
          <w:u w:val="single"/>
        </w:rPr>
        <w:t xml:space="preserve"> </w:t>
      </w:r>
      <w:r>
        <w:rPr>
          <w:rFonts w:asciiTheme="minorEastAsia" w:hAnsiTheme="minorEastAsia" w:eastAsiaTheme="minorEastAsia"/>
          <w:color w:val="auto"/>
          <w:sz w:val="28"/>
          <w:szCs w:val="28"/>
          <w:highlight w:val="none"/>
        </w:rPr>
        <w:t>年</w:t>
      </w:r>
      <w:r>
        <w:rPr>
          <w:rFonts w:hint="eastAsia" w:asciiTheme="minorEastAsia" w:hAnsiTheme="minorEastAsia" w:eastAsiaTheme="minorEastAsia"/>
          <w:color w:val="auto"/>
          <w:sz w:val="28"/>
          <w:szCs w:val="28"/>
          <w:highlight w:val="none"/>
          <w:u w:val="single"/>
        </w:rPr>
        <w:t xml:space="preserve"> </w:t>
      </w:r>
      <w:r>
        <w:rPr>
          <w:rFonts w:asciiTheme="minorEastAsia" w:hAnsiTheme="minorEastAsia" w:eastAsiaTheme="minorEastAsia"/>
          <w:color w:val="auto"/>
          <w:sz w:val="28"/>
          <w:szCs w:val="28"/>
          <w:highlight w:val="none"/>
          <w:u w:val="single"/>
        </w:rPr>
        <w:t xml:space="preserve">8 </w:t>
      </w:r>
      <w:r>
        <w:rPr>
          <w:rFonts w:asciiTheme="minorEastAsia" w:hAnsiTheme="minorEastAsia" w:eastAsiaTheme="minorEastAsia"/>
          <w:color w:val="auto"/>
          <w:sz w:val="28"/>
          <w:szCs w:val="28"/>
          <w:highlight w:val="none"/>
        </w:rPr>
        <w:t>月</w:t>
      </w:r>
      <w:r>
        <w:rPr>
          <w:rFonts w:hint="eastAsia" w:asciiTheme="minorEastAsia" w:hAnsiTheme="minorEastAsia" w:eastAsiaTheme="minorEastAsia"/>
          <w:color w:val="auto"/>
          <w:sz w:val="28"/>
          <w:szCs w:val="28"/>
          <w:highlight w:val="none"/>
          <w:u w:val="single"/>
        </w:rPr>
        <w:t xml:space="preserve"> </w:t>
      </w:r>
      <w:r>
        <w:rPr>
          <w:rFonts w:asciiTheme="minorEastAsia" w:hAnsiTheme="minorEastAsia" w:eastAsiaTheme="minorEastAsia"/>
          <w:color w:val="auto"/>
          <w:sz w:val="28"/>
          <w:szCs w:val="28"/>
          <w:highlight w:val="none"/>
          <w:u w:val="single"/>
        </w:rPr>
        <w:t xml:space="preserve">31 </w:t>
      </w:r>
      <w:r>
        <w:rPr>
          <w:rFonts w:asciiTheme="minorEastAsia" w:hAnsiTheme="minorEastAsia" w:eastAsiaTheme="minorEastAsia"/>
          <w:color w:val="auto"/>
          <w:sz w:val="28"/>
          <w:szCs w:val="28"/>
          <w:highlight w:val="none"/>
        </w:rPr>
        <w:t>日止</w:t>
      </w:r>
      <w:r>
        <w:rPr>
          <w:rFonts w:hint="eastAsia" w:asciiTheme="minorEastAsia" w:hAnsiTheme="minorEastAsia" w:eastAsiaTheme="minorEastAsia"/>
          <w:color w:val="auto"/>
          <w:sz w:val="28"/>
          <w:szCs w:val="28"/>
          <w:highlight w:val="none"/>
        </w:rPr>
        <w:t>。</w:t>
      </w:r>
    </w:p>
    <w:p>
      <w:pPr>
        <w:widowControl/>
        <w:ind w:firstLine="562" w:firstLineChars="200"/>
        <w:jc w:val="left"/>
        <w:rPr>
          <w:rFonts w:asciiTheme="minorEastAsia" w:hAnsiTheme="minorEastAsia" w:eastAsiaTheme="minorEastAsia"/>
          <w:b/>
          <w:color w:val="auto"/>
          <w:sz w:val="28"/>
          <w:szCs w:val="28"/>
          <w:highlight w:val="none"/>
        </w:rPr>
      </w:pPr>
      <w:r>
        <w:rPr>
          <w:rFonts w:asciiTheme="minorEastAsia" w:hAnsiTheme="minorEastAsia" w:eastAsiaTheme="minorEastAsia"/>
          <w:b/>
          <w:color w:val="auto"/>
          <w:sz w:val="28"/>
          <w:szCs w:val="28"/>
          <w:highlight w:val="none"/>
        </w:rPr>
        <w:t>六</w:t>
      </w:r>
      <w:r>
        <w:rPr>
          <w:rFonts w:hint="eastAsia" w:asciiTheme="minorEastAsia" w:hAnsiTheme="minorEastAsia" w:eastAsiaTheme="minorEastAsia"/>
          <w:b/>
          <w:color w:val="auto"/>
          <w:sz w:val="28"/>
          <w:szCs w:val="28"/>
          <w:highlight w:val="none"/>
        </w:rPr>
        <w:t>、</w:t>
      </w:r>
      <w:r>
        <w:rPr>
          <w:rFonts w:asciiTheme="minorEastAsia" w:hAnsiTheme="minorEastAsia" w:eastAsiaTheme="minorEastAsia"/>
          <w:b/>
          <w:color w:val="auto"/>
          <w:sz w:val="28"/>
          <w:szCs w:val="28"/>
          <w:highlight w:val="none"/>
        </w:rPr>
        <w:t>配合控制项</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1、在实施保养工作中，</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的维保人员应接受采购方的业务指导和监督，同时</w:t>
      </w:r>
      <w:r>
        <w:rPr>
          <w:rFonts w:hint="eastAsia" w:asciiTheme="minorEastAsia" w:hAnsiTheme="minorEastAsia" w:eastAsiaTheme="minorEastAsia"/>
          <w:color w:val="auto"/>
          <w:sz w:val="28"/>
          <w:szCs w:val="28"/>
          <w:highlight w:val="none"/>
          <w:lang w:val="en-US" w:eastAsia="zh-CN"/>
        </w:rPr>
        <w:t>采购方物业</w:t>
      </w:r>
      <w:r>
        <w:rPr>
          <w:rFonts w:hint="eastAsia" w:asciiTheme="minorEastAsia" w:hAnsiTheme="minorEastAsia" w:eastAsiaTheme="minorEastAsia"/>
          <w:color w:val="auto"/>
          <w:sz w:val="28"/>
          <w:szCs w:val="28"/>
          <w:highlight w:val="none"/>
        </w:rPr>
        <w:t>管理处对维护人员进入各施工场所给予方便。为了保证投标人对消防系统维保工作的监督管理，采购方有关人员应对</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维保人员的工作单、检查试验等工作予以签名确认。</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2、消防设施、设备系统出现较大故障时，</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应立即组织抢修，保证在最短时间内恢复运行。当抢修条件受客观因素限制，</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应及时通知相关部门采取应急措施，然后在采购方统一协调配合下完成抢修工作。</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3、紧急呼叫：在发现消防水系统漏水，喷淋爆裂的情况下采取紧急呼叫，同时采购方管理人员应采取必要的紧急措施。</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4、若确认发生火灾事故，</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应积极配合采购方按有关规定立即向广州市公安消防局报告情况，并为抢救提供必要的条件。</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5、采购方有权对</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合同履行情况进行检查，检查中发现的问题，视情节轻重提出口头或书面提出整改意见，要求</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限期整改，如整改后仍无法达到履约标准的，采购方有权要求提前终止合同要求</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承担违约责任。</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6、建筑内因某些原因需改动、更换消防设施时，应经采购方管理部门批准。采购方应及时将批准意见通知</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以便其提出合理建议和采取相应防范措施。当建筑内部进行整改及装修工程时，采购方应通知</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参与消防设施部分工程投标。在</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没有参与施工的情况下，施工方进入中控室施工由</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配合。</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7、</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人员统一工作服饰，每次进入现场工作及各项维修、保养和检查记录须送采购方有关人员签字确认。</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8、季度检查原始记录必须由参加维修保养的双方人员签字，季度检查结果和处理意见有双方代表签字后</w:t>
      </w:r>
      <w:r>
        <w:rPr>
          <w:rFonts w:hint="eastAsia" w:asciiTheme="minorEastAsia" w:hAnsiTheme="minorEastAsia" w:eastAsiaTheme="minorEastAsia"/>
          <w:color w:val="auto"/>
          <w:sz w:val="28"/>
          <w:szCs w:val="28"/>
          <w:highlight w:val="none"/>
          <w:lang w:val="en-US" w:eastAsia="zh-CN"/>
        </w:rPr>
        <w:t>各</w:t>
      </w:r>
      <w:r>
        <w:rPr>
          <w:rFonts w:hint="eastAsia" w:asciiTheme="minorEastAsia" w:hAnsiTheme="minorEastAsia" w:eastAsiaTheme="minorEastAsia"/>
          <w:color w:val="auto"/>
          <w:sz w:val="28"/>
          <w:szCs w:val="28"/>
          <w:highlight w:val="none"/>
        </w:rPr>
        <w:t>执一份。</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9、维修保养期为</w:t>
      </w:r>
      <w:r>
        <w:rPr>
          <w:rFonts w:hint="eastAsia" w:asciiTheme="minorEastAsia" w:hAnsiTheme="minorEastAsia" w:eastAsiaTheme="minorEastAsia"/>
          <w:color w:val="auto"/>
          <w:sz w:val="28"/>
          <w:szCs w:val="28"/>
          <w:highlight w:val="none"/>
          <w:lang w:val="en-US" w:eastAsia="zh-CN"/>
        </w:rPr>
        <w:t>2</w:t>
      </w:r>
      <w:r>
        <w:rPr>
          <w:rFonts w:hint="eastAsia" w:asciiTheme="minorEastAsia" w:hAnsiTheme="minorEastAsia" w:eastAsiaTheme="minorEastAsia"/>
          <w:color w:val="auto"/>
          <w:sz w:val="28"/>
          <w:szCs w:val="28"/>
          <w:highlight w:val="none"/>
        </w:rPr>
        <w:t>年，期满前的最后一个月第一周对所有保养的设备进行一次全面维修、保养及检测，做出设备检测报告，提供全年消防系统运行报告，并经采购方作全面考评并签字确认。</w:t>
      </w:r>
    </w:p>
    <w:p>
      <w:pPr>
        <w:widowControl/>
        <w:ind w:firstLine="562" w:firstLineChars="200"/>
        <w:jc w:val="left"/>
        <w:rPr>
          <w:rFonts w:asciiTheme="minorEastAsia" w:hAnsiTheme="minorEastAsia" w:eastAsiaTheme="minorEastAsia"/>
          <w:b/>
          <w:color w:val="auto"/>
          <w:sz w:val="28"/>
          <w:szCs w:val="28"/>
          <w:highlight w:val="none"/>
        </w:rPr>
      </w:pPr>
      <w:r>
        <w:rPr>
          <w:rFonts w:asciiTheme="minorEastAsia" w:hAnsiTheme="minorEastAsia" w:eastAsiaTheme="minorEastAsia"/>
          <w:b/>
          <w:color w:val="auto"/>
          <w:sz w:val="28"/>
          <w:szCs w:val="28"/>
          <w:highlight w:val="none"/>
        </w:rPr>
        <w:t>七</w:t>
      </w:r>
      <w:r>
        <w:rPr>
          <w:rFonts w:hint="eastAsia" w:asciiTheme="minorEastAsia" w:hAnsiTheme="minorEastAsia" w:eastAsiaTheme="minorEastAsia"/>
          <w:b/>
          <w:color w:val="auto"/>
          <w:sz w:val="28"/>
          <w:szCs w:val="28"/>
          <w:highlight w:val="none"/>
        </w:rPr>
        <w:t>、</w:t>
      </w:r>
      <w:r>
        <w:rPr>
          <w:rFonts w:asciiTheme="minorEastAsia" w:hAnsiTheme="minorEastAsia" w:eastAsiaTheme="minorEastAsia"/>
          <w:b/>
          <w:color w:val="auto"/>
          <w:sz w:val="28"/>
          <w:szCs w:val="28"/>
          <w:highlight w:val="none"/>
        </w:rPr>
        <w:t>更换零配件的供应</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1、维修保养中发现需要更换的零配件费用单项超过200元以上的，</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负责提供规格型号，采购人负责购买，</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负责更换</w:t>
      </w:r>
      <w:r>
        <w:rPr>
          <w:rFonts w:hint="eastAsia" w:asciiTheme="minorEastAsia" w:hAnsiTheme="minorEastAsia" w:eastAsiaTheme="minorEastAsia"/>
          <w:color w:val="auto"/>
          <w:sz w:val="28"/>
          <w:szCs w:val="28"/>
          <w:highlight w:val="none"/>
          <w:lang w:val="en-US" w:eastAsia="zh-CN"/>
        </w:rPr>
        <w:t>及</w:t>
      </w:r>
      <w:r>
        <w:rPr>
          <w:rFonts w:hint="eastAsia" w:asciiTheme="minorEastAsia" w:hAnsiTheme="minorEastAsia" w:eastAsiaTheme="minorEastAsia"/>
          <w:color w:val="auto"/>
          <w:sz w:val="28"/>
          <w:szCs w:val="28"/>
          <w:highlight w:val="none"/>
        </w:rPr>
        <w:t>安装调试。零配件费单项在</w:t>
      </w:r>
      <w:r>
        <w:rPr>
          <w:rFonts w:asciiTheme="minorEastAsia" w:hAnsiTheme="minorEastAsia" w:eastAsiaTheme="minorEastAsia"/>
          <w:color w:val="auto"/>
          <w:sz w:val="28"/>
          <w:szCs w:val="28"/>
          <w:highlight w:val="none"/>
        </w:rPr>
        <w:t>200</w:t>
      </w:r>
      <w:r>
        <w:rPr>
          <w:rFonts w:hint="eastAsia" w:asciiTheme="minorEastAsia" w:hAnsiTheme="minorEastAsia" w:eastAsiaTheme="minorEastAsia"/>
          <w:color w:val="auto"/>
          <w:sz w:val="28"/>
          <w:szCs w:val="28"/>
          <w:highlight w:val="none"/>
        </w:rPr>
        <w:t>元内（含</w:t>
      </w:r>
      <w:r>
        <w:rPr>
          <w:rFonts w:asciiTheme="minorEastAsia" w:hAnsiTheme="minorEastAsia" w:eastAsiaTheme="minorEastAsia"/>
          <w:color w:val="auto"/>
          <w:sz w:val="28"/>
          <w:szCs w:val="28"/>
          <w:highlight w:val="none"/>
        </w:rPr>
        <w:t>200</w:t>
      </w:r>
      <w:r>
        <w:rPr>
          <w:rFonts w:hint="eastAsia" w:asciiTheme="minorEastAsia" w:hAnsiTheme="minorEastAsia" w:eastAsiaTheme="minorEastAsia"/>
          <w:color w:val="auto"/>
          <w:sz w:val="28"/>
          <w:szCs w:val="28"/>
          <w:highlight w:val="none"/>
        </w:rPr>
        <w:t>元</w:t>
      </w:r>
      <w:r>
        <w:rPr>
          <w:rFonts w:hint="eastAsia" w:asciiTheme="minorEastAsia" w:hAnsiTheme="minorEastAsia" w:eastAsiaTheme="minorEastAsia"/>
          <w:color w:val="auto"/>
          <w:sz w:val="28"/>
          <w:szCs w:val="28"/>
          <w:highlight w:val="none"/>
          <w:lang w:eastAsia="zh-CN"/>
        </w:rPr>
        <w:t>，</w:t>
      </w:r>
      <w:r>
        <w:rPr>
          <w:rFonts w:hint="eastAsia" w:asciiTheme="minorEastAsia" w:hAnsiTheme="minorEastAsia" w:eastAsiaTheme="minorEastAsia"/>
          <w:color w:val="auto"/>
          <w:sz w:val="28"/>
          <w:szCs w:val="28"/>
          <w:highlight w:val="none"/>
          <w:lang w:val="en-US" w:eastAsia="zh-CN"/>
        </w:rPr>
        <w:t>包括但不限于下表《常用配件表》内配件</w:t>
      </w:r>
      <w:r>
        <w:rPr>
          <w:rFonts w:hint="eastAsia" w:asciiTheme="minorEastAsia" w:hAnsiTheme="minorEastAsia" w:eastAsiaTheme="minorEastAsia"/>
          <w:color w:val="auto"/>
          <w:sz w:val="28"/>
          <w:szCs w:val="28"/>
          <w:highlight w:val="none"/>
        </w:rPr>
        <w:t>），由</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负责。</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2、定期检查时确认需要重新灌装的灭火剂，费用采购方负责，</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协助进行拆装。</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3、因</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维修保养过错造成零配件损坏或因其操作失误释放灭火剂，其补充、更换的费用由</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负责。</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4、更换探测器、模块、风机、阀门等零件配件的人工费由</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负责，但维修水泵、大面积油漆、对腐蚀严重的管道</w:t>
      </w:r>
      <w:r>
        <w:rPr>
          <w:rFonts w:hint="eastAsia" w:asciiTheme="minorEastAsia" w:hAnsiTheme="minorEastAsia" w:eastAsiaTheme="minorEastAsia"/>
          <w:color w:val="auto"/>
          <w:sz w:val="28"/>
          <w:szCs w:val="28"/>
          <w:highlight w:val="none"/>
          <w:lang w:val="en-US" w:eastAsia="zh-CN"/>
        </w:rPr>
        <w:t>更换</w:t>
      </w:r>
      <w:r>
        <w:rPr>
          <w:rFonts w:hint="eastAsia" w:asciiTheme="minorEastAsia" w:hAnsiTheme="minorEastAsia" w:eastAsiaTheme="minorEastAsia"/>
          <w:color w:val="auto"/>
          <w:sz w:val="28"/>
          <w:szCs w:val="28"/>
          <w:highlight w:val="none"/>
        </w:rPr>
        <w:t>的人工费由</w:t>
      </w:r>
      <w:r>
        <w:rPr>
          <w:rFonts w:hint="eastAsia" w:asciiTheme="minorEastAsia" w:hAnsiTheme="minorEastAsia" w:eastAsiaTheme="minorEastAsia"/>
          <w:color w:val="auto"/>
          <w:sz w:val="28"/>
          <w:szCs w:val="28"/>
          <w:highlight w:val="none"/>
          <w:lang w:val="en-US" w:eastAsia="zh-CN"/>
        </w:rPr>
        <w:t>采购方</w:t>
      </w:r>
      <w:r>
        <w:rPr>
          <w:rFonts w:hint="eastAsia" w:asciiTheme="minorEastAsia" w:hAnsiTheme="minorEastAsia" w:eastAsiaTheme="minorEastAsia"/>
          <w:color w:val="auto"/>
          <w:sz w:val="28"/>
          <w:szCs w:val="28"/>
          <w:highlight w:val="none"/>
        </w:rPr>
        <w:t>承担。</w:t>
      </w:r>
    </w:p>
    <w:p>
      <w:pPr>
        <w:widowControl/>
        <w:ind w:firstLine="560" w:firstLineChars="200"/>
        <w:jc w:val="left"/>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5、外部因素引起系统损坏，</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应向采购人提交修复方案，采购人审批同意后，按工作量支付费用。</w:t>
      </w:r>
    </w:p>
    <w:p>
      <w:pPr>
        <w:widowControl/>
        <w:ind w:firstLine="560" w:firstLineChars="200"/>
        <w:jc w:val="left"/>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lang w:val="en-US" w:eastAsia="zh-CN"/>
        </w:rPr>
        <w:t>6、以下常用配件由消防维保单位负责，费用已含报价中：</w:t>
      </w:r>
    </w:p>
    <w:p>
      <w:pPr>
        <w:widowControl/>
        <w:ind w:firstLine="3373" w:firstLineChars="1200"/>
        <w:jc w:val="left"/>
        <w:rPr>
          <w:rFonts w:asciiTheme="minorEastAsia" w:hAnsiTheme="minorEastAsia" w:eastAsiaTheme="minorEastAsia"/>
          <w:b/>
          <w:color w:val="auto"/>
          <w:sz w:val="28"/>
          <w:szCs w:val="28"/>
          <w:highlight w:val="none"/>
        </w:rPr>
      </w:pPr>
      <w:r>
        <w:rPr>
          <w:rFonts w:asciiTheme="minorEastAsia" w:hAnsiTheme="minorEastAsia" w:eastAsiaTheme="minorEastAsia"/>
          <w:b/>
          <w:color w:val="auto"/>
          <w:sz w:val="28"/>
          <w:szCs w:val="28"/>
          <w:highlight w:val="none"/>
        </w:rPr>
        <w:t>常用配件</w:t>
      </w:r>
      <w:r>
        <w:rPr>
          <w:rFonts w:hint="eastAsia" w:asciiTheme="minorEastAsia" w:hAnsiTheme="minorEastAsia" w:eastAsiaTheme="minorEastAsia"/>
          <w:b/>
          <w:color w:val="auto"/>
          <w:sz w:val="28"/>
          <w:szCs w:val="28"/>
          <w:highlight w:val="none"/>
          <w:lang w:val="en-US" w:eastAsia="zh-CN"/>
        </w:rPr>
        <w:t>标</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3447"/>
        <w:gridCol w:w="1335"/>
        <w:gridCol w:w="1334"/>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917"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序号</w:t>
            </w:r>
          </w:p>
        </w:tc>
        <w:tc>
          <w:tcPr>
            <w:tcW w:w="3447"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名称</w:t>
            </w:r>
          </w:p>
        </w:tc>
        <w:tc>
          <w:tcPr>
            <w:tcW w:w="1335"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单位</w:t>
            </w:r>
          </w:p>
        </w:tc>
        <w:tc>
          <w:tcPr>
            <w:tcW w:w="1334"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单价</w:t>
            </w:r>
          </w:p>
        </w:tc>
        <w:tc>
          <w:tcPr>
            <w:tcW w:w="1489"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1</w:t>
            </w:r>
          </w:p>
        </w:tc>
        <w:tc>
          <w:tcPr>
            <w:tcW w:w="3447"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智能感温探测器</w:t>
            </w:r>
          </w:p>
        </w:tc>
        <w:tc>
          <w:tcPr>
            <w:tcW w:w="1335"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个</w:t>
            </w:r>
          </w:p>
        </w:tc>
        <w:tc>
          <w:tcPr>
            <w:tcW w:w="1334"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p>
        </w:tc>
        <w:tc>
          <w:tcPr>
            <w:tcW w:w="1489" w:type="dxa"/>
            <w:vMerge w:val="restart"/>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按目前系统设备品牌、规格、型号。备品配件需匹配现有系统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2</w:t>
            </w:r>
          </w:p>
        </w:tc>
        <w:tc>
          <w:tcPr>
            <w:tcW w:w="3447"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智能感烟探测器</w:t>
            </w:r>
          </w:p>
        </w:tc>
        <w:tc>
          <w:tcPr>
            <w:tcW w:w="1335" w:type="dxa"/>
            <w:vAlign w:val="center"/>
          </w:tcPr>
          <w:p>
            <w:pPr>
              <w:adjustRightInd w:val="0"/>
              <w:snapToGrid w:val="0"/>
              <w:jc w:val="left"/>
              <w:rPr>
                <w:rFonts w:ascii="仿宋_GB2312" w:eastAsia="仿宋_GB2312" w:hAnsiTheme="minorEastAsia"/>
                <w:sz w:val="24"/>
                <w:highlight w:val="none"/>
              </w:rPr>
            </w:pPr>
            <w:r>
              <w:rPr>
                <w:rFonts w:hint="eastAsia" w:ascii="仿宋_GB2312" w:eastAsia="仿宋_GB2312" w:hAnsiTheme="minorEastAsia"/>
                <w:sz w:val="24"/>
                <w:highlight w:val="none"/>
              </w:rPr>
              <w:t>个</w:t>
            </w:r>
          </w:p>
        </w:tc>
        <w:tc>
          <w:tcPr>
            <w:tcW w:w="1334"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p>
        </w:tc>
        <w:tc>
          <w:tcPr>
            <w:tcW w:w="1489" w:type="dxa"/>
            <w:vMerge w:val="continue"/>
            <w:vAlign w:val="center"/>
          </w:tcPr>
          <w:p>
            <w:pPr>
              <w:tabs>
                <w:tab w:val="left" w:pos="2721"/>
              </w:tabs>
              <w:adjustRightInd w:val="0"/>
              <w:snapToGrid w:val="0"/>
              <w:spacing w:line="360" w:lineRule="auto"/>
              <w:jc w:val="left"/>
              <w:rPr>
                <w:rFonts w:ascii="仿宋_GB2312" w:eastAsia="仿宋_GB2312" w:hAnsi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3</w:t>
            </w:r>
          </w:p>
        </w:tc>
        <w:tc>
          <w:tcPr>
            <w:tcW w:w="3447" w:type="dxa"/>
            <w:vAlign w:val="center"/>
          </w:tcPr>
          <w:p>
            <w:pPr>
              <w:tabs>
                <w:tab w:val="left" w:pos="2721"/>
              </w:tabs>
              <w:adjustRightInd w:val="0"/>
              <w:snapToGrid w:val="0"/>
              <w:spacing w:line="400" w:lineRule="exact"/>
              <w:jc w:val="left"/>
              <w:rPr>
                <w:rFonts w:ascii="仿宋_GB2312" w:eastAsia="仿宋_GB2312" w:hAnsiTheme="minorEastAsia"/>
                <w:sz w:val="24"/>
                <w:highlight w:val="none"/>
              </w:rPr>
            </w:pPr>
            <w:r>
              <w:rPr>
                <w:rFonts w:hint="eastAsia" w:ascii="仿宋_GB2312" w:eastAsia="仿宋_GB2312" w:hAnsiTheme="minorEastAsia"/>
                <w:sz w:val="24"/>
                <w:highlight w:val="none"/>
              </w:rPr>
              <w:t>缆式线型定温火灾探测器（智能型）</w:t>
            </w:r>
          </w:p>
        </w:tc>
        <w:tc>
          <w:tcPr>
            <w:tcW w:w="1335" w:type="dxa"/>
            <w:vAlign w:val="center"/>
          </w:tcPr>
          <w:p>
            <w:pPr>
              <w:adjustRightInd w:val="0"/>
              <w:snapToGrid w:val="0"/>
              <w:jc w:val="left"/>
              <w:rPr>
                <w:rFonts w:ascii="仿宋_GB2312" w:eastAsia="仿宋_GB2312" w:hAnsiTheme="minorEastAsia"/>
                <w:sz w:val="24"/>
                <w:highlight w:val="none"/>
              </w:rPr>
            </w:pPr>
            <w:r>
              <w:rPr>
                <w:rFonts w:hint="eastAsia" w:ascii="仿宋_GB2312" w:eastAsia="仿宋_GB2312" w:hAnsiTheme="minorEastAsia"/>
                <w:sz w:val="24"/>
                <w:highlight w:val="none"/>
              </w:rPr>
              <w:t>个</w:t>
            </w:r>
          </w:p>
        </w:tc>
        <w:tc>
          <w:tcPr>
            <w:tcW w:w="1334"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p>
        </w:tc>
        <w:tc>
          <w:tcPr>
            <w:tcW w:w="1489" w:type="dxa"/>
            <w:vMerge w:val="continue"/>
            <w:vAlign w:val="center"/>
          </w:tcPr>
          <w:p>
            <w:pPr>
              <w:tabs>
                <w:tab w:val="left" w:pos="2721"/>
              </w:tabs>
              <w:adjustRightInd w:val="0"/>
              <w:snapToGrid w:val="0"/>
              <w:spacing w:line="360" w:lineRule="auto"/>
              <w:jc w:val="left"/>
              <w:rPr>
                <w:rFonts w:ascii="仿宋_GB2312" w:eastAsia="仿宋_GB2312" w:hAnsi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4</w:t>
            </w:r>
          </w:p>
        </w:tc>
        <w:tc>
          <w:tcPr>
            <w:tcW w:w="3447" w:type="dxa"/>
            <w:vAlign w:val="center"/>
          </w:tcPr>
          <w:p>
            <w:pPr>
              <w:tabs>
                <w:tab w:val="left" w:pos="2721"/>
              </w:tabs>
              <w:adjustRightInd w:val="0"/>
              <w:snapToGrid w:val="0"/>
              <w:spacing w:line="400" w:lineRule="exact"/>
              <w:jc w:val="left"/>
              <w:rPr>
                <w:rFonts w:ascii="仿宋_GB2312" w:eastAsia="仿宋_GB2312" w:hAnsiTheme="minorEastAsia"/>
                <w:sz w:val="24"/>
                <w:highlight w:val="none"/>
              </w:rPr>
            </w:pPr>
            <w:r>
              <w:rPr>
                <w:rFonts w:hint="eastAsia" w:ascii="仿宋_GB2312" w:eastAsia="仿宋_GB2312" w:hAnsiTheme="minorEastAsia"/>
                <w:sz w:val="24"/>
                <w:highlight w:val="none"/>
              </w:rPr>
              <w:t>带消防电话插孔的智能手动报警按钮</w:t>
            </w:r>
          </w:p>
        </w:tc>
        <w:tc>
          <w:tcPr>
            <w:tcW w:w="1335" w:type="dxa"/>
            <w:vAlign w:val="center"/>
          </w:tcPr>
          <w:p>
            <w:pPr>
              <w:adjustRightInd w:val="0"/>
              <w:snapToGrid w:val="0"/>
              <w:jc w:val="left"/>
              <w:rPr>
                <w:rFonts w:ascii="仿宋_GB2312" w:eastAsia="仿宋_GB2312" w:hAnsiTheme="minorEastAsia"/>
                <w:sz w:val="24"/>
                <w:highlight w:val="none"/>
              </w:rPr>
            </w:pPr>
            <w:r>
              <w:rPr>
                <w:rFonts w:hint="eastAsia" w:ascii="仿宋_GB2312" w:eastAsia="仿宋_GB2312" w:hAnsiTheme="minorEastAsia"/>
                <w:sz w:val="24"/>
                <w:highlight w:val="none"/>
              </w:rPr>
              <w:t>个</w:t>
            </w:r>
          </w:p>
        </w:tc>
        <w:tc>
          <w:tcPr>
            <w:tcW w:w="1334"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p>
        </w:tc>
        <w:tc>
          <w:tcPr>
            <w:tcW w:w="1489" w:type="dxa"/>
            <w:vMerge w:val="continue"/>
            <w:vAlign w:val="center"/>
          </w:tcPr>
          <w:p>
            <w:pPr>
              <w:tabs>
                <w:tab w:val="left" w:pos="2721"/>
              </w:tabs>
              <w:adjustRightInd w:val="0"/>
              <w:snapToGrid w:val="0"/>
              <w:spacing w:line="360" w:lineRule="auto"/>
              <w:jc w:val="left"/>
              <w:rPr>
                <w:rFonts w:ascii="仿宋_GB2312" w:eastAsia="仿宋_GB2312" w:hAnsi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5</w:t>
            </w:r>
          </w:p>
        </w:tc>
        <w:tc>
          <w:tcPr>
            <w:tcW w:w="3447"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智能消火栓按钮</w:t>
            </w:r>
          </w:p>
        </w:tc>
        <w:tc>
          <w:tcPr>
            <w:tcW w:w="1335" w:type="dxa"/>
            <w:vAlign w:val="center"/>
          </w:tcPr>
          <w:p>
            <w:pPr>
              <w:adjustRightInd w:val="0"/>
              <w:snapToGrid w:val="0"/>
              <w:jc w:val="left"/>
              <w:rPr>
                <w:rFonts w:ascii="仿宋_GB2312" w:eastAsia="仿宋_GB2312" w:hAnsiTheme="minorEastAsia"/>
                <w:sz w:val="24"/>
                <w:highlight w:val="none"/>
              </w:rPr>
            </w:pPr>
            <w:r>
              <w:rPr>
                <w:rFonts w:hint="eastAsia" w:ascii="仿宋_GB2312" w:eastAsia="仿宋_GB2312" w:hAnsiTheme="minorEastAsia"/>
                <w:sz w:val="24"/>
                <w:highlight w:val="none"/>
              </w:rPr>
              <w:t>个</w:t>
            </w:r>
          </w:p>
        </w:tc>
        <w:tc>
          <w:tcPr>
            <w:tcW w:w="1334"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p>
        </w:tc>
        <w:tc>
          <w:tcPr>
            <w:tcW w:w="1489" w:type="dxa"/>
            <w:vMerge w:val="continue"/>
            <w:vAlign w:val="center"/>
          </w:tcPr>
          <w:p>
            <w:pPr>
              <w:tabs>
                <w:tab w:val="left" w:pos="2721"/>
              </w:tabs>
              <w:adjustRightInd w:val="0"/>
              <w:snapToGrid w:val="0"/>
              <w:spacing w:line="360" w:lineRule="auto"/>
              <w:jc w:val="left"/>
              <w:rPr>
                <w:rFonts w:ascii="仿宋_GB2312" w:eastAsia="仿宋_GB2312" w:hAnsi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6</w:t>
            </w:r>
          </w:p>
        </w:tc>
        <w:tc>
          <w:tcPr>
            <w:tcW w:w="3447"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智能输入模块</w:t>
            </w:r>
          </w:p>
        </w:tc>
        <w:tc>
          <w:tcPr>
            <w:tcW w:w="1335" w:type="dxa"/>
            <w:vAlign w:val="center"/>
          </w:tcPr>
          <w:p>
            <w:pPr>
              <w:adjustRightInd w:val="0"/>
              <w:snapToGrid w:val="0"/>
              <w:jc w:val="left"/>
              <w:rPr>
                <w:rFonts w:ascii="仿宋_GB2312" w:eastAsia="仿宋_GB2312" w:hAnsiTheme="minorEastAsia"/>
                <w:sz w:val="24"/>
                <w:highlight w:val="none"/>
              </w:rPr>
            </w:pPr>
            <w:r>
              <w:rPr>
                <w:rFonts w:hint="eastAsia" w:ascii="仿宋_GB2312" w:eastAsia="仿宋_GB2312" w:hAnsiTheme="minorEastAsia"/>
                <w:sz w:val="24"/>
                <w:highlight w:val="none"/>
              </w:rPr>
              <w:t>个</w:t>
            </w:r>
          </w:p>
        </w:tc>
        <w:tc>
          <w:tcPr>
            <w:tcW w:w="1334"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p>
        </w:tc>
        <w:tc>
          <w:tcPr>
            <w:tcW w:w="1489" w:type="dxa"/>
            <w:vMerge w:val="continue"/>
            <w:vAlign w:val="center"/>
          </w:tcPr>
          <w:p>
            <w:pPr>
              <w:tabs>
                <w:tab w:val="left" w:pos="2721"/>
              </w:tabs>
              <w:adjustRightInd w:val="0"/>
              <w:snapToGrid w:val="0"/>
              <w:spacing w:line="360" w:lineRule="auto"/>
              <w:jc w:val="left"/>
              <w:rPr>
                <w:rFonts w:ascii="仿宋_GB2312" w:eastAsia="仿宋_GB2312" w:hAnsi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7</w:t>
            </w:r>
          </w:p>
        </w:tc>
        <w:tc>
          <w:tcPr>
            <w:tcW w:w="3447"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智能中继模块</w:t>
            </w:r>
          </w:p>
        </w:tc>
        <w:tc>
          <w:tcPr>
            <w:tcW w:w="1335" w:type="dxa"/>
            <w:vAlign w:val="center"/>
          </w:tcPr>
          <w:p>
            <w:pPr>
              <w:adjustRightInd w:val="0"/>
              <w:snapToGrid w:val="0"/>
              <w:jc w:val="left"/>
              <w:rPr>
                <w:rFonts w:ascii="仿宋_GB2312" w:eastAsia="仿宋_GB2312" w:hAnsiTheme="minorEastAsia"/>
                <w:sz w:val="24"/>
                <w:highlight w:val="none"/>
              </w:rPr>
            </w:pPr>
            <w:r>
              <w:rPr>
                <w:rFonts w:hint="eastAsia" w:ascii="仿宋_GB2312" w:eastAsia="仿宋_GB2312" w:hAnsiTheme="minorEastAsia"/>
                <w:sz w:val="24"/>
                <w:highlight w:val="none"/>
              </w:rPr>
              <w:t>个</w:t>
            </w:r>
          </w:p>
        </w:tc>
        <w:tc>
          <w:tcPr>
            <w:tcW w:w="1334"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p>
        </w:tc>
        <w:tc>
          <w:tcPr>
            <w:tcW w:w="1489" w:type="dxa"/>
            <w:vMerge w:val="continue"/>
            <w:vAlign w:val="center"/>
          </w:tcPr>
          <w:p>
            <w:pPr>
              <w:tabs>
                <w:tab w:val="left" w:pos="2721"/>
              </w:tabs>
              <w:adjustRightInd w:val="0"/>
              <w:snapToGrid w:val="0"/>
              <w:spacing w:line="360" w:lineRule="auto"/>
              <w:jc w:val="left"/>
              <w:rPr>
                <w:rFonts w:ascii="仿宋_GB2312" w:eastAsia="仿宋_GB2312" w:hAnsi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8</w:t>
            </w:r>
          </w:p>
        </w:tc>
        <w:tc>
          <w:tcPr>
            <w:tcW w:w="3447"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短路隔离器</w:t>
            </w:r>
          </w:p>
        </w:tc>
        <w:tc>
          <w:tcPr>
            <w:tcW w:w="1335" w:type="dxa"/>
            <w:vAlign w:val="center"/>
          </w:tcPr>
          <w:p>
            <w:pPr>
              <w:adjustRightInd w:val="0"/>
              <w:snapToGrid w:val="0"/>
              <w:jc w:val="left"/>
              <w:rPr>
                <w:rFonts w:ascii="仿宋_GB2312" w:eastAsia="仿宋_GB2312" w:hAnsiTheme="minorEastAsia"/>
                <w:sz w:val="24"/>
                <w:highlight w:val="none"/>
              </w:rPr>
            </w:pPr>
            <w:r>
              <w:rPr>
                <w:rFonts w:hint="eastAsia" w:ascii="仿宋_GB2312" w:eastAsia="仿宋_GB2312" w:hAnsiTheme="minorEastAsia"/>
                <w:sz w:val="24"/>
                <w:highlight w:val="none"/>
              </w:rPr>
              <w:t>个</w:t>
            </w:r>
          </w:p>
        </w:tc>
        <w:tc>
          <w:tcPr>
            <w:tcW w:w="1334"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p>
        </w:tc>
        <w:tc>
          <w:tcPr>
            <w:tcW w:w="1489" w:type="dxa"/>
            <w:vMerge w:val="continue"/>
            <w:vAlign w:val="center"/>
          </w:tcPr>
          <w:p>
            <w:pPr>
              <w:tabs>
                <w:tab w:val="left" w:pos="2721"/>
              </w:tabs>
              <w:adjustRightInd w:val="0"/>
              <w:snapToGrid w:val="0"/>
              <w:spacing w:line="360" w:lineRule="auto"/>
              <w:jc w:val="left"/>
              <w:rPr>
                <w:rFonts w:ascii="仿宋_GB2312" w:eastAsia="仿宋_GB2312" w:hAnsi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9</w:t>
            </w:r>
          </w:p>
        </w:tc>
        <w:tc>
          <w:tcPr>
            <w:tcW w:w="3447"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智能广播模块</w:t>
            </w:r>
          </w:p>
        </w:tc>
        <w:tc>
          <w:tcPr>
            <w:tcW w:w="1335" w:type="dxa"/>
            <w:vAlign w:val="center"/>
          </w:tcPr>
          <w:p>
            <w:pPr>
              <w:adjustRightInd w:val="0"/>
              <w:snapToGrid w:val="0"/>
              <w:jc w:val="left"/>
              <w:rPr>
                <w:rFonts w:ascii="仿宋_GB2312" w:eastAsia="仿宋_GB2312" w:hAnsiTheme="minorEastAsia"/>
                <w:sz w:val="24"/>
                <w:highlight w:val="none"/>
              </w:rPr>
            </w:pPr>
            <w:r>
              <w:rPr>
                <w:rFonts w:hint="eastAsia" w:ascii="仿宋_GB2312" w:eastAsia="仿宋_GB2312" w:hAnsiTheme="minorEastAsia"/>
                <w:sz w:val="24"/>
                <w:highlight w:val="none"/>
              </w:rPr>
              <w:t>个</w:t>
            </w:r>
          </w:p>
        </w:tc>
        <w:tc>
          <w:tcPr>
            <w:tcW w:w="1334"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p>
        </w:tc>
        <w:tc>
          <w:tcPr>
            <w:tcW w:w="1489" w:type="dxa"/>
            <w:vMerge w:val="continue"/>
            <w:vAlign w:val="center"/>
          </w:tcPr>
          <w:p>
            <w:pPr>
              <w:tabs>
                <w:tab w:val="left" w:pos="2721"/>
              </w:tabs>
              <w:adjustRightInd w:val="0"/>
              <w:snapToGrid w:val="0"/>
              <w:spacing w:line="360" w:lineRule="auto"/>
              <w:jc w:val="left"/>
              <w:rPr>
                <w:rFonts w:ascii="仿宋_GB2312" w:eastAsia="仿宋_GB2312" w:hAnsi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10</w:t>
            </w:r>
          </w:p>
        </w:tc>
        <w:tc>
          <w:tcPr>
            <w:tcW w:w="3447"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智能警铃模块</w:t>
            </w:r>
          </w:p>
        </w:tc>
        <w:tc>
          <w:tcPr>
            <w:tcW w:w="1335" w:type="dxa"/>
            <w:vAlign w:val="center"/>
          </w:tcPr>
          <w:p>
            <w:pPr>
              <w:adjustRightInd w:val="0"/>
              <w:snapToGrid w:val="0"/>
              <w:jc w:val="left"/>
              <w:rPr>
                <w:rFonts w:ascii="仿宋_GB2312" w:eastAsia="仿宋_GB2312" w:hAnsiTheme="minorEastAsia"/>
                <w:sz w:val="24"/>
                <w:highlight w:val="none"/>
              </w:rPr>
            </w:pPr>
            <w:r>
              <w:rPr>
                <w:rFonts w:hint="eastAsia" w:ascii="仿宋_GB2312" w:eastAsia="仿宋_GB2312" w:hAnsiTheme="minorEastAsia"/>
                <w:sz w:val="24"/>
                <w:highlight w:val="none"/>
              </w:rPr>
              <w:t>个</w:t>
            </w:r>
          </w:p>
        </w:tc>
        <w:tc>
          <w:tcPr>
            <w:tcW w:w="1334"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p>
        </w:tc>
        <w:tc>
          <w:tcPr>
            <w:tcW w:w="1489" w:type="dxa"/>
            <w:vMerge w:val="continue"/>
            <w:vAlign w:val="center"/>
          </w:tcPr>
          <w:p>
            <w:pPr>
              <w:tabs>
                <w:tab w:val="left" w:pos="2721"/>
              </w:tabs>
              <w:adjustRightInd w:val="0"/>
              <w:snapToGrid w:val="0"/>
              <w:spacing w:line="360" w:lineRule="auto"/>
              <w:jc w:val="left"/>
              <w:rPr>
                <w:rFonts w:ascii="仿宋_GB2312" w:eastAsia="仿宋_GB2312" w:hAnsi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11</w:t>
            </w:r>
          </w:p>
        </w:tc>
        <w:tc>
          <w:tcPr>
            <w:tcW w:w="3447"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智能输入输出模块</w:t>
            </w:r>
          </w:p>
        </w:tc>
        <w:tc>
          <w:tcPr>
            <w:tcW w:w="1335" w:type="dxa"/>
            <w:vAlign w:val="center"/>
          </w:tcPr>
          <w:p>
            <w:pPr>
              <w:adjustRightInd w:val="0"/>
              <w:snapToGrid w:val="0"/>
              <w:jc w:val="left"/>
              <w:rPr>
                <w:rFonts w:ascii="仿宋_GB2312" w:eastAsia="仿宋_GB2312" w:hAnsiTheme="minorEastAsia"/>
                <w:sz w:val="24"/>
                <w:highlight w:val="none"/>
              </w:rPr>
            </w:pPr>
            <w:r>
              <w:rPr>
                <w:rFonts w:hint="eastAsia" w:ascii="仿宋_GB2312" w:eastAsia="仿宋_GB2312" w:hAnsiTheme="minorEastAsia"/>
                <w:sz w:val="24"/>
                <w:highlight w:val="none"/>
              </w:rPr>
              <w:t>个</w:t>
            </w:r>
          </w:p>
        </w:tc>
        <w:tc>
          <w:tcPr>
            <w:tcW w:w="1334"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p>
        </w:tc>
        <w:tc>
          <w:tcPr>
            <w:tcW w:w="1489" w:type="dxa"/>
            <w:vMerge w:val="continue"/>
            <w:vAlign w:val="center"/>
          </w:tcPr>
          <w:p>
            <w:pPr>
              <w:tabs>
                <w:tab w:val="left" w:pos="2721"/>
              </w:tabs>
              <w:adjustRightInd w:val="0"/>
              <w:snapToGrid w:val="0"/>
              <w:spacing w:line="360" w:lineRule="auto"/>
              <w:jc w:val="left"/>
              <w:rPr>
                <w:rFonts w:ascii="仿宋_GB2312" w:eastAsia="仿宋_GB2312" w:hAnsi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12</w:t>
            </w:r>
          </w:p>
        </w:tc>
        <w:tc>
          <w:tcPr>
            <w:tcW w:w="3447"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多线联动模块</w:t>
            </w:r>
          </w:p>
        </w:tc>
        <w:tc>
          <w:tcPr>
            <w:tcW w:w="1335" w:type="dxa"/>
            <w:vAlign w:val="center"/>
          </w:tcPr>
          <w:p>
            <w:pPr>
              <w:adjustRightInd w:val="0"/>
              <w:snapToGrid w:val="0"/>
              <w:jc w:val="left"/>
              <w:rPr>
                <w:rFonts w:ascii="仿宋_GB2312" w:eastAsia="仿宋_GB2312" w:hAnsiTheme="minorEastAsia"/>
                <w:sz w:val="24"/>
                <w:highlight w:val="none"/>
              </w:rPr>
            </w:pPr>
            <w:r>
              <w:rPr>
                <w:rFonts w:hint="eastAsia" w:ascii="仿宋_GB2312" w:eastAsia="仿宋_GB2312" w:hAnsiTheme="minorEastAsia"/>
                <w:sz w:val="24"/>
                <w:highlight w:val="none"/>
              </w:rPr>
              <w:t>个</w:t>
            </w:r>
          </w:p>
        </w:tc>
        <w:tc>
          <w:tcPr>
            <w:tcW w:w="1334"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p>
        </w:tc>
        <w:tc>
          <w:tcPr>
            <w:tcW w:w="1489" w:type="dxa"/>
            <w:vMerge w:val="continue"/>
            <w:vAlign w:val="center"/>
          </w:tcPr>
          <w:p>
            <w:pPr>
              <w:tabs>
                <w:tab w:val="left" w:pos="2721"/>
              </w:tabs>
              <w:adjustRightInd w:val="0"/>
              <w:snapToGrid w:val="0"/>
              <w:spacing w:line="360" w:lineRule="auto"/>
              <w:jc w:val="left"/>
              <w:rPr>
                <w:rFonts w:ascii="仿宋_GB2312" w:eastAsia="仿宋_GB2312" w:hAnsi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13</w:t>
            </w:r>
          </w:p>
        </w:tc>
        <w:tc>
          <w:tcPr>
            <w:tcW w:w="3447"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切换模块</w:t>
            </w:r>
          </w:p>
        </w:tc>
        <w:tc>
          <w:tcPr>
            <w:tcW w:w="1335" w:type="dxa"/>
            <w:vAlign w:val="center"/>
          </w:tcPr>
          <w:p>
            <w:pPr>
              <w:adjustRightInd w:val="0"/>
              <w:snapToGrid w:val="0"/>
              <w:jc w:val="left"/>
              <w:rPr>
                <w:rFonts w:ascii="仿宋_GB2312" w:eastAsia="仿宋_GB2312" w:hAnsiTheme="minorEastAsia"/>
                <w:sz w:val="24"/>
                <w:highlight w:val="none"/>
              </w:rPr>
            </w:pPr>
            <w:r>
              <w:rPr>
                <w:rFonts w:hint="eastAsia" w:ascii="仿宋_GB2312" w:eastAsia="仿宋_GB2312" w:hAnsiTheme="minorEastAsia"/>
                <w:sz w:val="24"/>
                <w:highlight w:val="none"/>
              </w:rPr>
              <w:t>个</w:t>
            </w:r>
          </w:p>
        </w:tc>
        <w:tc>
          <w:tcPr>
            <w:tcW w:w="1334"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p>
        </w:tc>
        <w:tc>
          <w:tcPr>
            <w:tcW w:w="1489" w:type="dxa"/>
            <w:vMerge w:val="continue"/>
            <w:vAlign w:val="center"/>
          </w:tcPr>
          <w:p>
            <w:pPr>
              <w:tabs>
                <w:tab w:val="left" w:pos="2721"/>
              </w:tabs>
              <w:adjustRightInd w:val="0"/>
              <w:snapToGrid w:val="0"/>
              <w:spacing w:line="360" w:lineRule="auto"/>
              <w:jc w:val="left"/>
              <w:rPr>
                <w:rFonts w:ascii="仿宋_GB2312" w:eastAsia="仿宋_GB2312" w:hAnsi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14</w:t>
            </w:r>
          </w:p>
        </w:tc>
        <w:tc>
          <w:tcPr>
            <w:tcW w:w="3447"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消防声光报警器</w:t>
            </w:r>
          </w:p>
        </w:tc>
        <w:tc>
          <w:tcPr>
            <w:tcW w:w="1335" w:type="dxa"/>
            <w:vAlign w:val="center"/>
          </w:tcPr>
          <w:p>
            <w:pPr>
              <w:adjustRightInd w:val="0"/>
              <w:snapToGrid w:val="0"/>
              <w:jc w:val="left"/>
              <w:rPr>
                <w:rFonts w:ascii="仿宋_GB2312" w:eastAsia="仿宋_GB2312" w:hAnsiTheme="minorEastAsia"/>
                <w:sz w:val="24"/>
                <w:highlight w:val="none"/>
              </w:rPr>
            </w:pPr>
            <w:r>
              <w:rPr>
                <w:rFonts w:hint="eastAsia" w:ascii="仿宋_GB2312" w:eastAsia="仿宋_GB2312" w:hAnsiTheme="minorEastAsia"/>
                <w:sz w:val="24"/>
                <w:highlight w:val="none"/>
              </w:rPr>
              <w:t>个</w:t>
            </w:r>
          </w:p>
        </w:tc>
        <w:tc>
          <w:tcPr>
            <w:tcW w:w="1334"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p>
        </w:tc>
        <w:tc>
          <w:tcPr>
            <w:tcW w:w="1489" w:type="dxa"/>
            <w:vMerge w:val="continue"/>
            <w:vAlign w:val="center"/>
          </w:tcPr>
          <w:p>
            <w:pPr>
              <w:tabs>
                <w:tab w:val="left" w:pos="2721"/>
              </w:tabs>
              <w:adjustRightInd w:val="0"/>
              <w:snapToGrid w:val="0"/>
              <w:spacing w:line="360" w:lineRule="auto"/>
              <w:jc w:val="left"/>
              <w:rPr>
                <w:rFonts w:ascii="仿宋_GB2312" w:eastAsia="仿宋_GB2312" w:hAnsi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15</w:t>
            </w:r>
          </w:p>
        </w:tc>
        <w:tc>
          <w:tcPr>
            <w:tcW w:w="3447"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消防广播（吸顶）（3W）</w:t>
            </w:r>
          </w:p>
        </w:tc>
        <w:tc>
          <w:tcPr>
            <w:tcW w:w="1335" w:type="dxa"/>
            <w:vAlign w:val="center"/>
          </w:tcPr>
          <w:p>
            <w:pPr>
              <w:adjustRightInd w:val="0"/>
              <w:snapToGrid w:val="0"/>
              <w:jc w:val="left"/>
              <w:rPr>
                <w:rFonts w:ascii="仿宋_GB2312" w:eastAsia="仿宋_GB2312" w:hAnsiTheme="minorEastAsia"/>
                <w:sz w:val="24"/>
                <w:highlight w:val="none"/>
              </w:rPr>
            </w:pPr>
            <w:r>
              <w:rPr>
                <w:rFonts w:hint="eastAsia" w:ascii="仿宋_GB2312" w:eastAsia="仿宋_GB2312" w:hAnsiTheme="minorEastAsia"/>
                <w:sz w:val="24"/>
                <w:highlight w:val="none"/>
              </w:rPr>
              <w:t>个</w:t>
            </w:r>
          </w:p>
        </w:tc>
        <w:tc>
          <w:tcPr>
            <w:tcW w:w="1334"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p>
        </w:tc>
        <w:tc>
          <w:tcPr>
            <w:tcW w:w="1489" w:type="dxa"/>
            <w:vMerge w:val="continue"/>
            <w:vAlign w:val="center"/>
          </w:tcPr>
          <w:p>
            <w:pPr>
              <w:tabs>
                <w:tab w:val="left" w:pos="2721"/>
              </w:tabs>
              <w:adjustRightInd w:val="0"/>
              <w:snapToGrid w:val="0"/>
              <w:spacing w:line="360" w:lineRule="auto"/>
              <w:jc w:val="left"/>
              <w:rPr>
                <w:rFonts w:ascii="仿宋_GB2312" w:eastAsia="仿宋_GB2312" w:hAnsi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16</w:t>
            </w:r>
          </w:p>
        </w:tc>
        <w:tc>
          <w:tcPr>
            <w:tcW w:w="3447"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消防广播（挂壁）（3W）</w:t>
            </w:r>
          </w:p>
        </w:tc>
        <w:tc>
          <w:tcPr>
            <w:tcW w:w="1335" w:type="dxa"/>
            <w:vAlign w:val="center"/>
          </w:tcPr>
          <w:p>
            <w:pPr>
              <w:adjustRightInd w:val="0"/>
              <w:snapToGrid w:val="0"/>
              <w:jc w:val="left"/>
              <w:rPr>
                <w:rFonts w:ascii="仿宋_GB2312" w:eastAsia="仿宋_GB2312" w:hAnsiTheme="minorEastAsia"/>
                <w:sz w:val="24"/>
                <w:highlight w:val="none"/>
              </w:rPr>
            </w:pPr>
            <w:r>
              <w:rPr>
                <w:rFonts w:hint="eastAsia" w:ascii="仿宋_GB2312" w:eastAsia="仿宋_GB2312" w:hAnsiTheme="minorEastAsia"/>
                <w:sz w:val="24"/>
                <w:highlight w:val="none"/>
              </w:rPr>
              <w:t>个</w:t>
            </w:r>
          </w:p>
        </w:tc>
        <w:tc>
          <w:tcPr>
            <w:tcW w:w="1334"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p>
        </w:tc>
        <w:tc>
          <w:tcPr>
            <w:tcW w:w="1489" w:type="dxa"/>
            <w:vMerge w:val="continue"/>
            <w:vAlign w:val="center"/>
          </w:tcPr>
          <w:p>
            <w:pPr>
              <w:tabs>
                <w:tab w:val="left" w:pos="2721"/>
              </w:tabs>
              <w:adjustRightInd w:val="0"/>
              <w:snapToGrid w:val="0"/>
              <w:spacing w:line="360" w:lineRule="auto"/>
              <w:jc w:val="left"/>
              <w:rPr>
                <w:rFonts w:ascii="仿宋_GB2312" w:eastAsia="仿宋_GB2312" w:hAnsi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17</w:t>
            </w:r>
          </w:p>
        </w:tc>
        <w:tc>
          <w:tcPr>
            <w:tcW w:w="3447"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编码器</w:t>
            </w:r>
          </w:p>
        </w:tc>
        <w:tc>
          <w:tcPr>
            <w:tcW w:w="1335" w:type="dxa"/>
            <w:vAlign w:val="center"/>
          </w:tcPr>
          <w:p>
            <w:pPr>
              <w:adjustRightInd w:val="0"/>
              <w:snapToGrid w:val="0"/>
              <w:jc w:val="left"/>
              <w:rPr>
                <w:rFonts w:ascii="仿宋_GB2312" w:eastAsia="仿宋_GB2312" w:hAnsiTheme="minorEastAsia"/>
                <w:sz w:val="24"/>
                <w:highlight w:val="none"/>
              </w:rPr>
            </w:pPr>
            <w:r>
              <w:rPr>
                <w:rFonts w:hint="eastAsia" w:ascii="仿宋_GB2312" w:eastAsia="仿宋_GB2312" w:hAnsiTheme="minorEastAsia"/>
                <w:sz w:val="24"/>
                <w:highlight w:val="none"/>
              </w:rPr>
              <w:t>个</w:t>
            </w:r>
          </w:p>
        </w:tc>
        <w:tc>
          <w:tcPr>
            <w:tcW w:w="1334"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p>
        </w:tc>
        <w:tc>
          <w:tcPr>
            <w:tcW w:w="1489" w:type="dxa"/>
            <w:vMerge w:val="continue"/>
            <w:vAlign w:val="center"/>
          </w:tcPr>
          <w:p>
            <w:pPr>
              <w:tabs>
                <w:tab w:val="left" w:pos="2721"/>
              </w:tabs>
              <w:adjustRightInd w:val="0"/>
              <w:snapToGrid w:val="0"/>
              <w:spacing w:line="360" w:lineRule="auto"/>
              <w:jc w:val="left"/>
              <w:rPr>
                <w:rFonts w:ascii="仿宋_GB2312" w:eastAsia="仿宋_GB2312" w:hAnsi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18</w:t>
            </w:r>
          </w:p>
        </w:tc>
        <w:tc>
          <w:tcPr>
            <w:tcW w:w="3447" w:type="dxa"/>
            <w:vAlign w:val="center"/>
          </w:tcPr>
          <w:p>
            <w:pPr>
              <w:rPr>
                <w:rFonts w:ascii="仿宋_GB2312" w:hAnsi="宋体" w:eastAsia="仿宋_GB2312" w:cs="宋体"/>
                <w:sz w:val="24"/>
                <w:highlight w:val="none"/>
              </w:rPr>
            </w:pPr>
            <w:r>
              <w:rPr>
                <w:rFonts w:hint="eastAsia" w:ascii="仿宋_GB2312" w:eastAsia="仿宋_GB2312"/>
                <w:sz w:val="24"/>
                <w:highlight w:val="none"/>
              </w:rPr>
              <w:t>尾迁</w:t>
            </w:r>
          </w:p>
        </w:tc>
        <w:tc>
          <w:tcPr>
            <w:tcW w:w="1335" w:type="dxa"/>
            <w:vAlign w:val="center"/>
          </w:tcPr>
          <w:p>
            <w:pPr>
              <w:adjustRightInd w:val="0"/>
              <w:snapToGrid w:val="0"/>
              <w:jc w:val="left"/>
              <w:rPr>
                <w:rFonts w:ascii="仿宋_GB2312" w:eastAsia="仿宋_GB2312" w:hAnsiTheme="minorEastAsia"/>
                <w:sz w:val="24"/>
                <w:highlight w:val="none"/>
              </w:rPr>
            </w:pPr>
            <w:r>
              <w:rPr>
                <w:rFonts w:hint="eastAsia" w:ascii="仿宋_GB2312" w:eastAsia="仿宋_GB2312" w:hAnsiTheme="minorEastAsia"/>
                <w:sz w:val="24"/>
                <w:highlight w:val="none"/>
              </w:rPr>
              <w:t>条</w:t>
            </w:r>
          </w:p>
        </w:tc>
        <w:tc>
          <w:tcPr>
            <w:tcW w:w="1334"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p>
        </w:tc>
        <w:tc>
          <w:tcPr>
            <w:tcW w:w="1489" w:type="dxa"/>
            <w:vMerge w:val="continue"/>
            <w:vAlign w:val="center"/>
          </w:tcPr>
          <w:p>
            <w:pPr>
              <w:tabs>
                <w:tab w:val="left" w:pos="2721"/>
              </w:tabs>
              <w:adjustRightInd w:val="0"/>
              <w:snapToGrid w:val="0"/>
              <w:spacing w:line="360" w:lineRule="auto"/>
              <w:jc w:val="left"/>
              <w:rPr>
                <w:rFonts w:ascii="仿宋_GB2312" w:eastAsia="仿宋_GB2312" w:hAnsi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19</w:t>
            </w:r>
          </w:p>
        </w:tc>
        <w:tc>
          <w:tcPr>
            <w:tcW w:w="3447" w:type="dxa"/>
            <w:vAlign w:val="center"/>
          </w:tcPr>
          <w:p>
            <w:pPr>
              <w:rPr>
                <w:rFonts w:ascii="仿宋_GB2312" w:hAnsi="宋体" w:eastAsia="仿宋_GB2312" w:cs="宋体"/>
                <w:sz w:val="24"/>
                <w:highlight w:val="none"/>
              </w:rPr>
            </w:pPr>
            <w:r>
              <w:rPr>
                <w:rFonts w:hint="eastAsia" w:ascii="仿宋_GB2312" w:eastAsia="仿宋_GB2312"/>
                <w:sz w:val="24"/>
                <w:highlight w:val="none"/>
              </w:rPr>
              <w:t>专用开关电源</w:t>
            </w:r>
          </w:p>
        </w:tc>
        <w:tc>
          <w:tcPr>
            <w:tcW w:w="1335" w:type="dxa"/>
            <w:vAlign w:val="center"/>
          </w:tcPr>
          <w:p>
            <w:pPr>
              <w:adjustRightInd w:val="0"/>
              <w:snapToGrid w:val="0"/>
              <w:jc w:val="left"/>
              <w:rPr>
                <w:rFonts w:ascii="仿宋_GB2312" w:eastAsia="仿宋_GB2312" w:hAnsiTheme="minorEastAsia"/>
                <w:sz w:val="24"/>
                <w:highlight w:val="none"/>
              </w:rPr>
            </w:pPr>
            <w:r>
              <w:rPr>
                <w:rFonts w:hint="eastAsia" w:ascii="仿宋_GB2312" w:eastAsia="仿宋_GB2312" w:hAnsiTheme="minorEastAsia"/>
                <w:sz w:val="24"/>
                <w:highlight w:val="none"/>
              </w:rPr>
              <w:t>个</w:t>
            </w:r>
          </w:p>
        </w:tc>
        <w:tc>
          <w:tcPr>
            <w:tcW w:w="1334"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p>
        </w:tc>
        <w:tc>
          <w:tcPr>
            <w:tcW w:w="1489" w:type="dxa"/>
            <w:vMerge w:val="continue"/>
            <w:vAlign w:val="center"/>
          </w:tcPr>
          <w:p>
            <w:pPr>
              <w:tabs>
                <w:tab w:val="left" w:pos="2721"/>
              </w:tabs>
              <w:adjustRightInd w:val="0"/>
              <w:snapToGrid w:val="0"/>
              <w:spacing w:line="360" w:lineRule="auto"/>
              <w:jc w:val="left"/>
              <w:rPr>
                <w:rFonts w:ascii="仿宋_GB2312" w:eastAsia="仿宋_GB2312" w:hAnsi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20</w:t>
            </w:r>
          </w:p>
        </w:tc>
        <w:tc>
          <w:tcPr>
            <w:tcW w:w="3447" w:type="dxa"/>
            <w:vAlign w:val="center"/>
          </w:tcPr>
          <w:p>
            <w:pPr>
              <w:rPr>
                <w:rFonts w:ascii="仿宋_GB2312" w:hAnsi="宋体" w:eastAsia="仿宋_GB2312" w:cs="宋体"/>
                <w:sz w:val="24"/>
                <w:highlight w:val="none"/>
              </w:rPr>
            </w:pPr>
            <w:r>
              <w:rPr>
                <w:rFonts w:hint="eastAsia" w:ascii="仿宋_GB2312" w:eastAsia="仿宋_GB2312"/>
                <w:sz w:val="24"/>
                <w:highlight w:val="none"/>
              </w:rPr>
              <w:t>光纤跳线盒</w:t>
            </w:r>
          </w:p>
        </w:tc>
        <w:tc>
          <w:tcPr>
            <w:tcW w:w="1335" w:type="dxa"/>
            <w:vAlign w:val="center"/>
          </w:tcPr>
          <w:p>
            <w:pPr>
              <w:adjustRightInd w:val="0"/>
              <w:snapToGrid w:val="0"/>
              <w:jc w:val="left"/>
              <w:rPr>
                <w:rFonts w:ascii="仿宋_GB2312" w:eastAsia="仿宋_GB2312" w:hAnsiTheme="minorEastAsia"/>
                <w:sz w:val="24"/>
                <w:highlight w:val="none"/>
              </w:rPr>
            </w:pPr>
            <w:r>
              <w:rPr>
                <w:rFonts w:hint="eastAsia" w:ascii="仿宋_GB2312" w:eastAsia="仿宋_GB2312" w:hAnsiTheme="minorEastAsia"/>
                <w:sz w:val="24"/>
                <w:highlight w:val="none"/>
              </w:rPr>
              <w:t>个</w:t>
            </w:r>
          </w:p>
        </w:tc>
        <w:tc>
          <w:tcPr>
            <w:tcW w:w="1334"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p>
        </w:tc>
        <w:tc>
          <w:tcPr>
            <w:tcW w:w="1489" w:type="dxa"/>
            <w:vMerge w:val="continue"/>
            <w:vAlign w:val="center"/>
          </w:tcPr>
          <w:p>
            <w:pPr>
              <w:tabs>
                <w:tab w:val="left" w:pos="2721"/>
              </w:tabs>
              <w:adjustRightInd w:val="0"/>
              <w:snapToGrid w:val="0"/>
              <w:spacing w:line="360" w:lineRule="auto"/>
              <w:jc w:val="left"/>
              <w:rPr>
                <w:rFonts w:ascii="仿宋_GB2312" w:eastAsia="仿宋_GB2312" w:hAnsi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21</w:t>
            </w:r>
          </w:p>
        </w:tc>
        <w:tc>
          <w:tcPr>
            <w:tcW w:w="3447" w:type="dxa"/>
            <w:vAlign w:val="center"/>
          </w:tcPr>
          <w:p>
            <w:pPr>
              <w:rPr>
                <w:rFonts w:ascii="仿宋_GB2312" w:hAnsi="宋体" w:eastAsia="仿宋_GB2312" w:cs="宋体"/>
                <w:sz w:val="24"/>
                <w:highlight w:val="none"/>
              </w:rPr>
            </w:pPr>
            <w:r>
              <w:rPr>
                <w:rFonts w:hint="eastAsia" w:ascii="仿宋_GB2312" w:eastAsia="仿宋_GB2312"/>
                <w:sz w:val="24"/>
                <w:highlight w:val="none"/>
              </w:rPr>
              <w:t>光纤熔接盒</w:t>
            </w:r>
          </w:p>
        </w:tc>
        <w:tc>
          <w:tcPr>
            <w:tcW w:w="1335" w:type="dxa"/>
            <w:vAlign w:val="center"/>
          </w:tcPr>
          <w:p>
            <w:pPr>
              <w:adjustRightInd w:val="0"/>
              <w:snapToGrid w:val="0"/>
              <w:jc w:val="left"/>
              <w:rPr>
                <w:rFonts w:ascii="仿宋_GB2312" w:eastAsia="仿宋_GB2312" w:hAnsiTheme="minorEastAsia"/>
                <w:sz w:val="24"/>
                <w:highlight w:val="none"/>
              </w:rPr>
            </w:pPr>
            <w:r>
              <w:rPr>
                <w:rFonts w:hint="eastAsia" w:ascii="仿宋_GB2312" w:eastAsia="仿宋_GB2312" w:hAnsiTheme="minorEastAsia"/>
                <w:sz w:val="24"/>
                <w:highlight w:val="none"/>
              </w:rPr>
              <w:t>个</w:t>
            </w:r>
          </w:p>
        </w:tc>
        <w:tc>
          <w:tcPr>
            <w:tcW w:w="1334"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p>
        </w:tc>
        <w:tc>
          <w:tcPr>
            <w:tcW w:w="1489" w:type="dxa"/>
            <w:vMerge w:val="continue"/>
            <w:vAlign w:val="center"/>
          </w:tcPr>
          <w:p>
            <w:pPr>
              <w:tabs>
                <w:tab w:val="left" w:pos="2721"/>
              </w:tabs>
              <w:adjustRightInd w:val="0"/>
              <w:snapToGrid w:val="0"/>
              <w:spacing w:line="360" w:lineRule="auto"/>
              <w:jc w:val="left"/>
              <w:rPr>
                <w:rFonts w:ascii="仿宋_GB2312" w:eastAsia="仿宋_GB2312" w:hAnsi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22</w:t>
            </w:r>
          </w:p>
        </w:tc>
        <w:tc>
          <w:tcPr>
            <w:tcW w:w="3447" w:type="dxa"/>
            <w:vAlign w:val="center"/>
          </w:tcPr>
          <w:p>
            <w:pPr>
              <w:rPr>
                <w:rFonts w:ascii="仿宋_GB2312" w:hAnsi="宋体" w:eastAsia="仿宋_GB2312" w:cs="宋体"/>
                <w:sz w:val="24"/>
                <w:highlight w:val="none"/>
              </w:rPr>
            </w:pPr>
            <w:r>
              <w:rPr>
                <w:rFonts w:hint="eastAsia" w:ascii="仿宋_GB2312" w:eastAsia="仿宋_GB2312"/>
                <w:sz w:val="24"/>
                <w:highlight w:val="none"/>
              </w:rPr>
              <w:t>光纤收发器</w:t>
            </w:r>
          </w:p>
        </w:tc>
        <w:tc>
          <w:tcPr>
            <w:tcW w:w="1335" w:type="dxa"/>
            <w:vAlign w:val="center"/>
          </w:tcPr>
          <w:p>
            <w:pPr>
              <w:adjustRightInd w:val="0"/>
              <w:snapToGrid w:val="0"/>
              <w:jc w:val="left"/>
              <w:rPr>
                <w:rFonts w:ascii="仿宋_GB2312" w:eastAsia="仿宋_GB2312" w:hAnsiTheme="minorEastAsia"/>
                <w:sz w:val="24"/>
                <w:highlight w:val="none"/>
              </w:rPr>
            </w:pPr>
            <w:r>
              <w:rPr>
                <w:rFonts w:hint="eastAsia" w:ascii="仿宋_GB2312" w:eastAsia="仿宋_GB2312" w:hAnsiTheme="minorEastAsia"/>
                <w:sz w:val="24"/>
                <w:highlight w:val="none"/>
              </w:rPr>
              <w:t>个</w:t>
            </w:r>
          </w:p>
        </w:tc>
        <w:tc>
          <w:tcPr>
            <w:tcW w:w="1334"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p>
        </w:tc>
        <w:tc>
          <w:tcPr>
            <w:tcW w:w="1489" w:type="dxa"/>
            <w:vMerge w:val="continue"/>
            <w:vAlign w:val="center"/>
          </w:tcPr>
          <w:p>
            <w:pPr>
              <w:tabs>
                <w:tab w:val="left" w:pos="2721"/>
              </w:tabs>
              <w:adjustRightInd w:val="0"/>
              <w:snapToGrid w:val="0"/>
              <w:spacing w:line="360" w:lineRule="auto"/>
              <w:jc w:val="left"/>
              <w:rPr>
                <w:rFonts w:ascii="仿宋_GB2312" w:eastAsia="仿宋_GB2312" w:hAnsi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23</w:t>
            </w:r>
          </w:p>
        </w:tc>
        <w:tc>
          <w:tcPr>
            <w:tcW w:w="3447" w:type="dxa"/>
            <w:vAlign w:val="center"/>
          </w:tcPr>
          <w:p>
            <w:pPr>
              <w:rPr>
                <w:rFonts w:ascii="仿宋_GB2312" w:hAnsi="宋体" w:eastAsia="仿宋_GB2312" w:cs="宋体"/>
                <w:sz w:val="24"/>
                <w:highlight w:val="none"/>
              </w:rPr>
            </w:pPr>
            <w:r>
              <w:rPr>
                <w:rFonts w:hint="eastAsia" w:ascii="仿宋_GB2312" w:eastAsia="仿宋_GB2312"/>
                <w:sz w:val="24"/>
                <w:highlight w:val="none"/>
              </w:rPr>
              <w:t>网络通讯线</w:t>
            </w:r>
          </w:p>
        </w:tc>
        <w:tc>
          <w:tcPr>
            <w:tcW w:w="1335" w:type="dxa"/>
            <w:vAlign w:val="center"/>
          </w:tcPr>
          <w:p>
            <w:pPr>
              <w:adjustRightInd w:val="0"/>
              <w:snapToGrid w:val="0"/>
              <w:jc w:val="left"/>
              <w:rPr>
                <w:rFonts w:ascii="仿宋_GB2312" w:eastAsia="仿宋_GB2312" w:hAnsiTheme="minorEastAsia"/>
                <w:sz w:val="24"/>
                <w:highlight w:val="none"/>
              </w:rPr>
            </w:pPr>
            <w:r>
              <w:rPr>
                <w:rFonts w:hint="eastAsia" w:ascii="仿宋_GB2312" w:eastAsia="仿宋_GB2312" w:hAnsiTheme="minorEastAsia"/>
                <w:sz w:val="24"/>
                <w:highlight w:val="none"/>
              </w:rPr>
              <w:t>米</w:t>
            </w:r>
          </w:p>
        </w:tc>
        <w:tc>
          <w:tcPr>
            <w:tcW w:w="1334"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p>
        </w:tc>
        <w:tc>
          <w:tcPr>
            <w:tcW w:w="1489" w:type="dxa"/>
            <w:vMerge w:val="continue"/>
            <w:vAlign w:val="center"/>
          </w:tcPr>
          <w:p>
            <w:pPr>
              <w:tabs>
                <w:tab w:val="left" w:pos="2721"/>
              </w:tabs>
              <w:adjustRightInd w:val="0"/>
              <w:snapToGrid w:val="0"/>
              <w:spacing w:line="360" w:lineRule="auto"/>
              <w:jc w:val="left"/>
              <w:rPr>
                <w:rFonts w:ascii="仿宋_GB2312" w:eastAsia="仿宋_GB2312" w:hAnsi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24</w:t>
            </w:r>
          </w:p>
        </w:tc>
        <w:tc>
          <w:tcPr>
            <w:tcW w:w="3447" w:type="dxa"/>
            <w:vAlign w:val="center"/>
          </w:tcPr>
          <w:p>
            <w:pPr>
              <w:rPr>
                <w:rFonts w:ascii="仿宋_GB2312" w:hAnsi="宋体" w:eastAsia="仿宋_GB2312" w:cs="宋体"/>
                <w:sz w:val="24"/>
                <w:highlight w:val="none"/>
              </w:rPr>
            </w:pPr>
            <w:r>
              <w:rPr>
                <w:rFonts w:hint="eastAsia" w:ascii="仿宋_GB2312" w:eastAsia="仿宋_GB2312"/>
                <w:sz w:val="24"/>
                <w:highlight w:val="none"/>
              </w:rPr>
              <w:t>联网接口卡</w:t>
            </w:r>
          </w:p>
        </w:tc>
        <w:tc>
          <w:tcPr>
            <w:tcW w:w="1335" w:type="dxa"/>
            <w:vAlign w:val="center"/>
          </w:tcPr>
          <w:p>
            <w:pPr>
              <w:adjustRightInd w:val="0"/>
              <w:snapToGrid w:val="0"/>
              <w:jc w:val="left"/>
              <w:rPr>
                <w:rFonts w:ascii="仿宋_GB2312" w:eastAsia="仿宋_GB2312" w:hAnsiTheme="minorEastAsia"/>
                <w:sz w:val="24"/>
                <w:highlight w:val="none"/>
              </w:rPr>
            </w:pPr>
            <w:r>
              <w:rPr>
                <w:rFonts w:hint="eastAsia" w:ascii="仿宋_GB2312" w:eastAsia="仿宋_GB2312" w:hAnsiTheme="minorEastAsia"/>
                <w:sz w:val="24"/>
                <w:highlight w:val="none"/>
              </w:rPr>
              <w:t>个</w:t>
            </w:r>
          </w:p>
        </w:tc>
        <w:tc>
          <w:tcPr>
            <w:tcW w:w="1334"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p>
        </w:tc>
        <w:tc>
          <w:tcPr>
            <w:tcW w:w="1489" w:type="dxa"/>
            <w:vMerge w:val="continue"/>
            <w:vAlign w:val="center"/>
          </w:tcPr>
          <w:p>
            <w:pPr>
              <w:tabs>
                <w:tab w:val="left" w:pos="2721"/>
              </w:tabs>
              <w:adjustRightInd w:val="0"/>
              <w:snapToGrid w:val="0"/>
              <w:spacing w:line="360" w:lineRule="auto"/>
              <w:jc w:val="left"/>
              <w:rPr>
                <w:rFonts w:ascii="仿宋_GB2312" w:eastAsia="仿宋_GB2312" w:hAnsi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25</w:t>
            </w:r>
          </w:p>
        </w:tc>
        <w:tc>
          <w:tcPr>
            <w:tcW w:w="3447" w:type="dxa"/>
            <w:vAlign w:val="center"/>
          </w:tcPr>
          <w:p>
            <w:pPr>
              <w:rPr>
                <w:rFonts w:ascii="仿宋_GB2312" w:hAnsi="宋体" w:eastAsia="仿宋_GB2312" w:cs="宋体"/>
                <w:sz w:val="24"/>
                <w:highlight w:val="none"/>
              </w:rPr>
            </w:pPr>
            <w:r>
              <w:rPr>
                <w:rFonts w:hint="eastAsia" w:ascii="仿宋_GB2312" w:eastAsia="仿宋_GB2312"/>
                <w:sz w:val="24"/>
                <w:highlight w:val="none"/>
              </w:rPr>
              <w:t>输入/输出模块</w:t>
            </w:r>
          </w:p>
        </w:tc>
        <w:tc>
          <w:tcPr>
            <w:tcW w:w="1335" w:type="dxa"/>
            <w:vAlign w:val="center"/>
          </w:tcPr>
          <w:p>
            <w:pPr>
              <w:adjustRightInd w:val="0"/>
              <w:snapToGrid w:val="0"/>
              <w:jc w:val="left"/>
              <w:rPr>
                <w:rFonts w:ascii="仿宋_GB2312" w:eastAsia="仿宋_GB2312" w:hAnsiTheme="minorEastAsia"/>
                <w:sz w:val="24"/>
                <w:highlight w:val="none"/>
              </w:rPr>
            </w:pPr>
            <w:r>
              <w:rPr>
                <w:rFonts w:hint="eastAsia" w:ascii="仿宋_GB2312" w:eastAsia="仿宋_GB2312" w:hAnsiTheme="minorEastAsia"/>
                <w:sz w:val="24"/>
                <w:highlight w:val="none"/>
              </w:rPr>
              <w:t>个</w:t>
            </w:r>
          </w:p>
        </w:tc>
        <w:tc>
          <w:tcPr>
            <w:tcW w:w="1334"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p>
        </w:tc>
        <w:tc>
          <w:tcPr>
            <w:tcW w:w="1489" w:type="dxa"/>
            <w:vMerge w:val="continue"/>
            <w:vAlign w:val="center"/>
          </w:tcPr>
          <w:p>
            <w:pPr>
              <w:tabs>
                <w:tab w:val="left" w:pos="2721"/>
              </w:tabs>
              <w:adjustRightInd w:val="0"/>
              <w:snapToGrid w:val="0"/>
              <w:spacing w:line="360" w:lineRule="auto"/>
              <w:jc w:val="left"/>
              <w:rPr>
                <w:rFonts w:ascii="仿宋_GB2312" w:eastAsia="仿宋_GB2312" w:hAnsi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26</w:t>
            </w:r>
          </w:p>
        </w:tc>
        <w:tc>
          <w:tcPr>
            <w:tcW w:w="3447" w:type="dxa"/>
            <w:vAlign w:val="center"/>
          </w:tcPr>
          <w:p>
            <w:pPr>
              <w:rPr>
                <w:rFonts w:ascii="仿宋_GB2312" w:hAnsi="宋体" w:eastAsia="仿宋_GB2312" w:cs="宋体"/>
                <w:sz w:val="24"/>
                <w:highlight w:val="none"/>
              </w:rPr>
            </w:pPr>
            <w:r>
              <w:rPr>
                <w:rFonts w:hint="eastAsia" w:ascii="仿宋_GB2312" w:eastAsia="仿宋_GB2312"/>
                <w:sz w:val="24"/>
                <w:highlight w:val="none"/>
              </w:rPr>
              <w:t>信号模块</w:t>
            </w:r>
          </w:p>
        </w:tc>
        <w:tc>
          <w:tcPr>
            <w:tcW w:w="1335" w:type="dxa"/>
            <w:vAlign w:val="center"/>
          </w:tcPr>
          <w:p>
            <w:pPr>
              <w:adjustRightInd w:val="0"/>
              <w:snapToGrid w:val="0"/>
              <w:jc w:val="left"/>
              <w:rPr>
                <w:rFonts w:ascii="仿宋_GB2312" w:eastAsia="仿宋_GB2312" w:hAnsiTheme="minorEastAsia"/>
                <w:sz w:val="24"/>
                <w:highlight w:val="none"/>
              </w:rPr>
            </w:pPr>
            <w:r>
              <w:rPr>
                <w:rFonts w:hint="eastAsia" w:ascii="仿宋_GB2312" w:eastAsia="仿宋_GB2312" w:hAnsiTheme="minorEastAsia"/>
                <w:sz w:val="24"/>
                <w:highlight w:val="none"/>
              </w:rPr>
              <w:t>个</w:t>
            </w:r>
          </w:p>
        </w:tc>
        <w:tc>
          <w:tcPr>
            <w:tcW w:w="1334"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p>
        </w:tc>
        <w:tc>
          <w:tcPr>
            <w:tcW w:w="1489" w:type="dxa"/>
            <w:vMerge w:val="continue"/>
            <w:vAlign w:val="center"/>
          </w:tcPr>
          <w:p>
            <w:pPr>
              <w:tabs>
                <w:tab w:val="left" w:pos="2721"/>
              </w:tabs>
              <w:adjustRightInd w:val="0"/>
              <w:snapToGrid w:val="0"/>
              <w:spacing w:line="360" w:lineRule="auto"/>
              <w:jc w:val="left"/>
              <w:rPr>
                <w:rFonts w:ascii="仿宋_GB2312" w:eastAsia="仿宋_GB2312" w:hAnsi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27</w:t>
            </w:r>
          </w:p>
        </w:tc>
        <w:tc>
          <w:tcPr>
            <w:tcW w:w="3447" w:type="dxa"/>
            <w:vAlign w:val="center"/>
          </w:tcPr>
          <w:p>
            <w:pPr>
              <w:rPr>
                <w:rFonts w:ascii="仿宋_GB2312" w:hAnsi="宋体" w:eastAsia="仿宋_GB2312" w:cs="宋体"/>
                <w:sz w:val="24"/>
                <w:highlight w:val="none"/>
              </w:rPr>
            </w:pPr>
            <w:r>
              <w:rPr>
                <w:rFonts w:hint="eastAsia" w:ascii="仿宋_GB2312" w:eastAsia="仿宋_GB2312"/>
                <w:sz w:val="24"/>
                <w:highlight w:val="none"/>
              </w:rPr>
              <w:t>网络交换机</w:t>
            </w:r>
          </w:p>
        </w:tc>
        <w:tc>
          <w:tcPr>
            <w:tcW w:w="1335" w:type="dxa"/>
            <w:vAlign w:val="center"/>
          </w:tcPr>
          <w:p>
            <w:pPr>
              <w:adjustRightInd w:val="0"/>
              <w:snapToGrid w:val="0"/>
              <w:jc w:val="left"/>
              <w:rPr>
                <w:rFonts w:ascii="仿宋_GB2312" w:eastAsia="仿宋_GB2312" w:hAnsiTheme="minorEastAsia"/>
                <w:sz w:val="24"/>
                <w:highlight w:val="none"/>
              </w:rPr>
            </w:pPr>
            <w:r>
              <w:rPr>
                <w:rFonts w:hint="eastAsia" w:ascii="仿宋_GB2312" w:eastAsia="仿宋_GB2312" w:hAnsiTheme="minorEastAsia"/>
                <w:sz w:val="24"/>
                <w:highlight w:val="none"/>
              </w:rPr>
              <w:t>个</w:t>
            </w:r>
          </w:p>
        </w:tc>
        <w:tc>
          <w:tcPr>
            <w:tcW w:w="1334"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p>
        </w:tc>
        <w:tc>
          <w:tcPr>
            <w:tcW w:w="1489" w:type="dxa"/>
            <w:vMerge w:val="continue"/>
            <w:vAlign w:val="center"/>
          </w:tcPr>
          <w:p>
            <w:pPr>
              <w:tabs>
                <w:tab w:val="left" w:pos="2721"/>
              </w:tabs>
              <w:adjustRightInd w:val="0"/>
              <w:snapToGrid w:val="0"/>
              <w:spacing w:line="360" w:lineRule="auto"/>
              <w:jc w:val="left"/>
              <w:rPr>
                <w:rFonts w:ascii="仿宋_GB2312" w:eastAsia="仿宋_GB2312" w:hAnsiTheme="minorEastAsia"/>
                <w:sz w:val="24"/>
                <w:highlight w:val="none"/>
              </w:rPr>
            </w:pPr>
          </w:p>
        </w:tc>
      </w:tr>
    </w:tbl>
    <w:p>
      <w:pPr>
        <w:widowControl/>
        <w:ind w:firstLine="562" w:firstLineChars="200"/>
        <w:jc w:val="left"/>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八、考核及实施办法</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1、按制定的维保方案计划实施维保，按规定进行检查及测试，并以月度报表的形式向甲方提交维保月度工作报告及保养记录。每月10日前交上月的报表，迟交的每次扣罚100元。</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2、每月底双方负责消防维保工作的相关人员按合同规定的标准和要求共同检查一次,检查结果的不合格项，每项扣罚50元并限期整改，检查结果记录在汇总表。</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3、接报故障后不能在规定时间处理的，记有效投诉一次，扣罚100元/次。</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4、如因故障影响消防设备正常运行达一个工作日或以上记有效投诉一次，扣罚100元。</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5、</w:t>
      </w:r>
      <w:r>
        <w:rPr>
          <w:rFonts w:hint="eastAsia" w:asciiTheme="minorEastAsia" w:hAnsiTheme="minorEastAsia" w:eastAsiaTheme="minorEastAsia"/>
          <w:color w:val="auto"/>
          <w:sz w:val="28"/>
          <w:szCs w:val="28"/>
          <w:highlight w:val="none"/>
          <w:lang w:val="en-US" w:eastAsia="zh-CN"/>
        </w:rPr>
        <w:t>消防维保单位</w:t>
      </w:r>
      <w:r>
        <w:rPr>
          <w:rFonts w:hint="eastAsia" w:asciiTheme="minorEastAsia" w:hAnsiTheme="minorEastAsia" w:eastAsiaTheme="minorEastAsia"/>
          <w:color w:val="auto"/>
          <w:sz w:val="28"/>
          <w:szCs w:val="28"/>
          <w:highlight w:val="none"/>
        </w:rPr>
        <w:t>如不按合同进行维保的，经甲方确认的记有效投诉一次，扣罚200元。</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6、如维保人员接到报修通知不能按合同规定时间到现场处理，记有效投诉一次，扣罚100元。相同故障接报后多日未处理，以每天100元累计扣罚。</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7、如因消防设备维护、监控不到位而发生人身事故，扣除</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1个月的维修保养费，并按规定追究责任。</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8、如确有特殊原因不能在三个工作日内将消防设备恢复正常运行，应向甲方作出书面报告，否则将记有效投诉一次，扣罚300元。</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9、若出现连续三个月每个月扣款超过1000元，</w:t>
      </w:r>
      <w:r>
        <w:rPr>
          <w:rFonts w:hint="eastAsia" w:asciiTheme="minorEastAsia" w:hAnsiTheme="minorEastAsia" w:eastAsiaTheme="minorEastAsia"/>
          <w:color w:val="auto"/>
          <w:sz w:val="28"/>
          <w:szCs w:val="28"/>
          <w:highlight w:val="none"/>
          <w:lang w:val="en-US" w:eastAsia="zh-CN"/>
        </w:rPr>
        <w:t>采购</w:t>
      </w:r>
      <w:r>
        <w:rPr>
          <w:rFonts w:hint="eastAsia" w:asciiTheme="minorEastAsia" w:hAnsiTheme="minorEastAsia" w:eastAsiaTheme="minorEastAsia"/>
          <w:color w:val="auto"/>
          <w:sz w:val="28"/>
          <w:szCs w:val="28"/>
          <w:highlight w:val="none"/>
        </w:rPr>
        <w:t>方有权终止合同。</w:t>
      </w:r>
    </w:p>
    <w:p>
      <w:pPr>
        <w:tabs>
          <w:tab w:val="left" w:pos="2721"/>
        </w:tabs>
        <w:spacing w:line="360" w:lineRule="auto"/>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w:t>
      </w:r>
      <w:r>
        <w:rPr>
          <w:rFonts w:asciiTheme="minorEastAsia" w:hAnsiTheme="minorEastAsia" w:eastAsiaTheme="minorEastAsia"/>
          <w:color w:val="auto"/>
          <w:sz w:val="28"/>
          <w:szCs w:val="28"/>
          <w:highlight w:val="none"/>
        </w:rPr>
        <w:t>0</w:t>
      </w:r>
      <w:r>
        <w:rPr>
          <w:rFonts w:hint="eastAsia" w:asciiTheme="minorEastAsia" w:hAnsiTheme="minorEastAsia" w:eastAsiaTheme="minorEastAsia"/>
          <w:color w:val="auto"/>
          <w:sz w:val="28"/>
          <w:szCs w:val="28"/>
          <w:highlight w:val="none"/>
        </w:rPr>
        <w:t>、</w:t>
      </w:r>
      <w:r>
        <w:rPr>
          <w:rFonts w:hint="eastAsia" w:asciiTheme="minorEastAsia" w:hAnsiTheme="minorEastAsia" w:eastAsiaTheme="minorEastAsia"/>
          <w:color w:val="auto"/>
          <w:sz w:val="28"/>
          <w:szCs w:val="28"/>
          <w:highlight w:val="none"/>
          <w:lang w:val="en-US" w:eastAsia="zh-CN"/>
        </w:rPr>
        <w:t>消防</w:t>
      </w:r>
      <w:r>
        <w:rPr>
          <w:rFonts w:hint="eastAsia" w:asciiTheme="minorEastAsia" w:hAnsiTheme="minorEastAsia" w:eastAsiaTheme="minorEastAsia"/>
          <w:color w:val="auto"/>
          <w:sz w:val="28"/>
          <w:szCs w:val="28"/>
          <w:highlight w:val="none"/>
        </w:rPr>
        <w:t>维保单位应提供有效的通讯方式，1小时内联系不上扣罚50元，4小时内联系不上扣罚200元。</w:t>
      </w:r>
    </w:p>
    <w:p>
      <w:pPr>
        <w:tabs>
          <w:tab w:val="left" w:pos="2721"/>
        </w:tabs>
        <w:spacing w:line="360" w:lineRule="auto"/>
        <w:ind w:firstLine="562" w:firstLineChars="200"/>
        <w:rPr>
          <w:rFonts w:asciiTheme="minorEastAsia" w:hAnsiTheme="minorEastAsia" w:eastAsiaTheme="minorEastAsia"/>
          <w:b/>
          <w:color w:val="auto"/>
          <w:sz w:val="28"/>
          <w:szCs w:val="28"/>
          <w:highlight w:val="none"/>
        </w:rPr>
      </w:pPr>
      <w:r>
        <w:rPr>
          <w:rFonts w:asciiTheme="minorEastAsia" w:hAnsiTheme="minorEastAsia" w:eastAsiaTheme="minorEastAsia"/>
          <w:b/>
          <w:color w:val="auto"/>
          <w:sz w:val="28"/>
          <w:szCs w:val="28"/>
          <w:highlight w:val="none"/>
        </w:rPr>
        <w:t>九</w:t>
      </w:r>
      <w:r>
        <w:rPr>
          <w:rFonts w:hint="eastAsia" w:asciiTheme="minorEastAsia" w:hAnsiTheme="minorEastAsia" w:eastAsiaTheme="minorEastAsia"/>
          <w:b/>
          <w:color w:val="auto"/>
          <w:sz w:val="28"/>
          <w:szCs w:val="28"/>
          <w:highlight w:val="none"/>
        </w:rPr>
        <w:t>、</w:t>
      </w:r>
      <w:r>
        <w:rPr>
          <w:rFonts w:asciiTheme="minorEastAsia" w:hAnsiTheme="minorEastAsia" w:eastAsiaTheme="minorEastAsia"/>
          <w:b/>
          <w:color w:val="auto"/>
          <w:sz w:val="28"/>
          <w:szCs w:val="28"/>
          <w:highlight w:val="none"/>
        </w:rPr>
        <w:t>安全要求</w:t>
      </w:r>
    </w:p>
    <w:p>
      <w:pPr>
        <w:tabs>
          <w:tab w:val="left" w:pos="2721"/>
        </w:tabs>
        <w:spacing w:line="360" w:lineRule="auto"/>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工作人员进场前必须通过安全培训，工作时严格按操作规程作业并注意自身安全。</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工作人员人身安全及人身保险由</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自理。</w:t>
      </w:r>
    </w:p>
    <w:p>
      <w:pPr>
        <w:tabs>
          <w:tab w:val="left" w:pos="2721"/>
        </w:tabs>
        <w:spacing w:line="360" w:lineRule="auto"/>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必须严格管理所属人员，教育所属人员严格遵守国家有关安全作业制度和规定，按照安全规程操作作业；</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作业人员作业时应使用合格的安全防护器具，在实施现场应设置安全警示标识；从业人员必须持有有效上岗证（包括特殊作业人员操作上岗证）；属高空作业的，</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应</w:t>
      </w:r>
      <w:r>
        <w:rPr>
          <w:rFonts w:hint="eastAsia" w:asciiTheme="minorEastAsia" w:hAnsiTheme="minorEastAsia" w:eastAsiaTheme="minorEastAsia"/>
          <w:color w:val="auto"/>
          <w:sz w:val="28"/>
          <w:szCs w:val="28"/>
          <w:highlight w:val="none"/>
          <w:lang w:val="en-US" w:eastAsia="zh-CN"/>
        </w:rPr>
        <w:t>负责</w:t>
      </w:r>
      <w:r>
        <w:rPr>
          <w:rFonts w:hint="eastAsia" w:asciiTheme="minorEastAsia" w:hAnsiTheme="minorEastAsia" w:eastAsiaTheme="minorEastAsia"/>
          <w:color w:val="auto"/>
          <w:sz w:val="28"/>
          <w:szCs w:val="28"/>
          <w:highlight w:val="none"/>
        </w:rPr>
        <w:t>为</w:t>
      </w:r>
      <w:r>
        <w:rPr>
          <w:rFonts w:hint="eastAsia" w:asciiTheme="minorEastAsia" w:hAnsiTheme="minorEastAsia" w:eastAsiaTheme="minorEastAsia"/>
          <w:color w:val="auto"/>
          <w:sz w:val="28"/>
          <w:szCs w:val="28"/>
          <w:highlight w:val="none"/>
          <w:lang w:val="en-US" w:eastAsia="zh-CN"/>
        </w:rPr>
        <w:t>作业者</w:t>
      </w:r>
      <w:r>
        <w:rPr>
          <w:rFonts w:hint="eastAsia" w:asciiTheme="minorEastAsia" w:hAnsiTheme="minorEastAsia" w:eastAsiaTheme="minorEastAsia"/>
          <w:color w:val="auto"/>
          <w:sz w:val="28"/>
          <w:szCs w:val="28"/>
          <w:highlight w:val="none"/>
        </w:rPr>
        <w:t>购买高空作业保险单据复印报甲方备案。</w:t>
      </w:r>
    </w:p>
    <w:p>
      <w:pPr>
        <w:tabs>
          <w:tab w:val="left" w:pos="2721"/>
        </w:tabs>
        <w:spacing w:line="360" w:lineRule="auto"/>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3、</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应对员工的安全负责</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工作人员在工作中发生安全事故或作出违法、违章行为，其后果由</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自行负责，采购方不承当任何责任和费用；</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在履行合同过程中，给采购方或第三方造成人身或财产损失的，有</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承担全部的赔偿责任。</w:t>
      </w:r>
    </w:p>
    <w:p>
      <w:pPr>
        <w:tabs>
          <w:tab w:val="left" w:pos="2721"/>
        </w:tabs>
        <w:spacing w:line="360" w:lineRule="auto"/>
        <w:ind w:firstLine="560" w:firstLineChars="200"/>
        <w:rPr>
          <w:rFonts w:ascii="宋体" w:hAnsi="宋体"/>
          <w:color w:val="auto"/>
          <w:sz w:val="28"/>
          <w:szCs w:val="28"/>
          <w:highlight w:val="none"/>
        </w:rPr>
      </w:pPr>
      <w:r>
        <w:rPr>
          <w:rFonts w:hint="eastAsia" w:asciiTheme="minorEastAsia" w:hAnsiTheme="minorEastAsia" w:eastAsiaTheme="minorEastAsia"/>
          <w:color w:val="auto"/>
          <w:sz w:val="28"/>
          <w:szCs w:val="28"/>
          <w:highlight w:val="none"/>
        </w:rPr>
        <w:t>4、</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应按安全工作有关规定，采取严格、科学的安全防护措施，确保</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保养人员及他人的人身安全，承担由于自身安全措施不力造成的事故的责任和发生</w:t>
      </w:r>
      <w:r>
        <w:rPr>
          <w:rFonts w:hint="eastAsia" w:ascii="宋体" w:hAnsi="宋体"/>
          <w:color w:val="auto"/>
          <w:sz w:val="28"/>
          <w:szCs w:val="28"/>
          <w:highlight w:val="none"/>
        </w:rPr>
        <w:t>的费用。</w:t>
      </w:r>
    </w:p>
    <w:p>
      <w:pPr>
        <w:tabs>
          <w:tab w:val="left" w:pos="2721"/>
        </w:tabs>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5、若发生重大伤亡事故，</w:t>
      </w:r>
      <w:r>
        <w:rPr>
          <w:rFonts w:hint="eastAsia" w:ascii="宋体" w:hAnsi="宋体"/>
          <w:color w:val="auto"/>
          <w:sz w:val="28"/>
          <w:szCs w:val="28"/>
          <w:highlight w:val="none"/>
          <w:lang w:eastAsia="zh-CN"/>
        </w:rPr>
        <w:t>消防维保单位</w:t>
      </w:r>
      <w:r>
        <w:rPr>
          <w:rFonts w:hint="eastAsia" w:ascii="宋体" w:hAnsi="宋体"/>
          <w:color w:val="auto"/>
          <w:sz w:val="28"/>
          <w:szCs w:val="28"/>
          <w:highlight w:val="none"/>
        </w:rPr>
        <w:t>应按有关规定立即报告当地消防局并通知采购方代表，</w:t>
      </w:r>
      <w:r>
        <w:rPr>
          <w:rFonts w:hint="eastAsia" w:ascii="宋体" w:hAnsi="宋体"/>
          <w:color w:val="auto"/>
          <w:sz w:val="28"/>
          <w:szCs w:val="28"/>
          <w:highlight w:val="none"/>
          <w:lang w:val="en-US" w:eastAsia="zh-CN"/>
        </w:rPr>
        <w:t>并</w:t>
      </w:r>
      <w:r>
        <w:rPr>
          <w:rFonts w:hint="eastAsia" w:ascii="宋体" w:hAnsi="宋体"/>
          <w:color w:val="auto"/>
          <w:sz w:val="28"/>
          <w:szCs w:val="28"/>
          <w:highlight w:val="none"/>
        </w:rPr>
        <w:t>为抢救提供必要的条件，发生费用由责任方承担。</w:t>
      </w:r>
    </w:p>
    <w:p>
      <w:pPr>
        <w:tabs>
          <w:tab w:val="left" w:pos="2721"/>
        </w:tabs>
        <w:spacing w:line="360" w:lineRule="auto"/>
        <w:ind w:firstLine="560" w:firstLineChars="200"/>
        <w:rPr>
          <w:rFonts w:asciiTheme="minorEastAsia" w:hAnsiTheme="minorEastAsia" w:eastAsiaTheme="minorEastAsia"/>
          <w:color w:val="auto"/>
          <w:sz w:val="28"/>
          <w:szCs w:val="28"/>
          <w:highlight w:val="none"/>
        </w:rPr>
      </w:pPr>
      <w:r>
        <w:rPr>
          <w:rFonts w:hint="eastAsia" w:ascii="宋体" w:hAnsi="宋体"/>
          <w:color w:val="auto"/>
          <w:sz w:val="28"/>
          <w:szCs w:val="28"/>
          <w:highlight w:val="none"/>
        </w:rPr>
        <w:t>6、</w:t>
      </w:r>
      <w:r>
        <w:rPr>
          <w:rFonts w:hint="eastAsia" w:ascii="宋体" w:hAnsi="宋体"/>
          <w:color w:val="auto"/>
          <w:sz w:val="28"/>
          <w:szCs w:val="28"/>
          <w:highlight w:val="none"/>
          <w:lang w:eastAsia="zh-CN"/>
        </w:rPr>
        <w:t>消防维保单位</w:t>
      </w:r>
      <w:r>
        <w:rPr>
          <w:rFonts w:hint="eastAsia" w:ascii="宋体" w:hAnsi="宋体"/>
          <w:color w:val="auto"/>
          <w:sz w:val="28"/>
          <w:szCs w:val="28"/>
          <w:highlight w:val="none"/>
        </w:rPr>
        <w:t>在动力设备、易燃易爆场所和贵重设备等易发生危险的场合进行维修保养时，应事先向采购方代表报告应采取的安全保护措施。采购方应派员在现场监督和协助</w:t>
      </w:r>
      <w:r>
        <w:rPr>
          <w:rFonts w:hint="eastAsia" w:ascii="宋体" w:hAnsi="宋体"/>
          <w:color w:val="auto"/>
          <w:sz w:val="28"/>
          <w:szCs w:val="28"/>
          <w:highlight w:val="none"/>
          <w:lang w:eastAsia="zh-CN"/>
        </w:rPr>
        <w:t>消防维保单位</w:t>
      </w:r>
      <w:r>
        <w:rPr>
          <w:rFonts w:hint="eastAsia" w:ascii="宋体" w:hAnsi="宋体"/>
          <w:color w:val="auto"/>
          <w:sz w:val="28"/>
          <w:szCs w:val="28"/>
          <w:highlight w:val="none"/>
        </w:rPr>
        <w:t>进行有关工作。不论采购方是否采取上述配合措施，</w:t>
      </w:r>
      <w:r>
        <w:rPr>
          <w:rFonts w:hint="eastAsia" w:ascii="宋体" w:hAnsi="宋体"/>
          <w:color w:val="auto"/>
          <w:sz w:val="28"/>
          <w:szCs w:val="28"/>
          <w:highlight w:val="none"/>
          <w:lang w:eastAsia="zh-CN"/>
        </w:rPr>
        <w:t>消防维保单位</w:t>
      </w:r>
      <w:r>
        <w:rPr>
          <w:rFonts w:hint="eastAsia" w:ascii="宋体" w:hAnsi="宋体"/>
          <w:color w:val="auto"/>
          <w:sz w:val="28"/>
          <w:szCs w:val="28"/>
          <w:highlight w:val="none"/>
        </w:rPr>
        <w:t>均应在满足安全的条件下进行工作。</w:t>
      </w:r>
    </w:p>
    <w:p>
      <w:pPr>
        <w:ind w:firstLine="562" w:firstLineChars="200"/>
        <w:rPr>
          <w:b/>
          <w:color w:val="auto"/>
          <w:sz w:val="28"/>
          <w:szCs w:val="28"/>
          <w:highlight w:val="none"/>
        </w:rPr>
      </w:pPr>
      <w:r>
        <w:rPr>
          <w:rFonts w:hint="eastAsia"/>
          <w:b/>
          <w:color w:val="auto"/>
          <w:sz w:val="28"/>
          <w:szCs w:val="28"/>
          <w:highlight w:val="none"/>
        </w:rPr>
        <w:t>十、费用支付方式</w:t>
      </w:r>
    </w:p>
    <w:p>
      <w:pPr>
        <w:ind w:firstLine="560" w:firstLineChars="200"/>
        <w:rPr>
          <w:rFonts w:ascii="宋体" w:hAnsi="宋体" w:cs="Arial"/>
          <w:color w:val="auto"/>
          <w:sz w:val="28"/>
          <w:szCs w:val="28"/>
          <w:highlight w:val="none"/>
        </w:rPr>
      </w:pPr>
      <w:r>
        <w:rPr>
          <w:rFonts w:ascii="宋体" w:hAnsi="宋体" w:cs="Arial"/>
          <w:color w:val="auto"/>
          <w:sz w:val="28"/>
          <w:szCs w:val="28"/>
          <w:highlight w:val="none"/>
        </w:rPr>
        <w:t>1、</w:t>
      </w:r>
      <w:r>
        <w:rPr>
          <w:rFonts w:hint="eastAsia" w:ascii="宋体" w:hAnsi="宋体" w:cs="Arial"/>
          <w:color w:val="auto"/>
          <w:sz w:val="28"/>
          <w:szCs w:val="28"/>
          <w:highlight w:val="none"/>
        </w:rPr>
        <w:t>全年维修保养费用按季度支付；</w:t>
      </w:r>
    </w:p>
    <w:p>
      <w:pPr>
        <w:ind w:firstLine="560" w:firstLineChars="200"/>
        <w:rPr>
          <w:rFonts w:ascii="宋体" w:hAnsi="宋体" w:cs="Arial"/>
          <w:color w:val="auto"/>
          <w:sz w:val="28"/>
          <w:szCs w:val="28"/>
          <w:highlight w:val="none"/>
        </w:rPr>
      </w:pPr>
      <w:r>
        <w:rPr>
          <w:rFonts w:hint="eastAsia" w:ascii="宋体" w:hAnsi="宋体" w:cs="Arial"/>
          <w:color w:val="auto"/>
          <w:sz w:val="28"/>
          <w:szCs w:val="28"/>
          <w:highlight w:val="none"/>
        </w:rPr>
        <w:t>2、每季度保养季度工作完成，经采购方考核认定</w:t>
      </w:r>
      <w:r>
        <w:rPr>
          <w:rFonts w:hint="eastAsia" w:ascii="宋体" w:hAnsi="宋体" w:cs="Arial"/>
          <w:color w:val="auto"/>
          <w:sz w:val="28"/>
          <w:szCs w:val="28"/>
          <w:highlight w:val="none"/>
          <w:lang w:eastAsia="zh-CN"/>
        </w:rPr>
        <w:t>消防维保单位</w:t>
      </w:r>
      <w:r>
        <w:rPr>
          <w:rFonts w:hint="eastAsia" w:ascii="宋体" w:hAnsi="宋体" w:cs="Arial"/>
          <w:color w:val="auto"/>
          <w:sz w:val="28"/>
          <w:szCs w:val="28"/>
          <w:highlight w:val="none"/>
        </w:rPr>
        <w:t>服务符合合同约定，</w:t>
      </w:r>
      <w:r>
        <w:rPr>
          <w:rFonts w:hint="eastAsia" w:ascii="宋体" w:hAnsi="宋体" w:cs="Arial"/>
          <w:color w:val="auto"/>
          <w:sz w:val="28"/>
          <w:szCs w:val="28"/>
          <w:highlight w:val="none"/>
          <w:lang w:val="en-US" w:eastAsia="zh-CN"/>
        </w:rPr>
        <w:t>次</w:t>
      </w:r>
      <w:r>
        <w:rPr>
          <w:rFonts w:hint="eastAsia" w:ascii="宋体" w:hAnsi="宋体" w:cs="Arial"/>
          <w:color w:val="auto"/>
          <w:sz w:val="28"/>
          <w:szCs w:val="28"/>
          <w:highlight w:val="none"/>
        </w:rPr>
        <w:t>季的头一个月内付清上季度的维修保养费。</w:t>
      </w:r>
    </w:p>
    <w:p>
      <w:pPr>
        <w:ind w:firstLine="560" w:firstLineChars="200"/>
        <w:rPr>
          <w:rFonts w:ascii="宋体" w:hAnsi="宋体" w:cs="Arial"/>
          <w:color w:val="auto"/>
          <w:sz w:val="28"/>
          <w:szCs w:val="28"/>
          <w:highlight w:val="none"/>
        </w:rPr>
      </w:pPr>
      <w:r>
        <w:rPr>
          <w:rFonts w:ascii="宋体" w:hAnsi="宋体" w:cs="Arial"/>
          <w:color w:val="auto"/>
          <w:sz w:val="28"/>
          <w:szCs w:val="28"/>
          <w:highlight w:val="none"/>
        </w:rPr>
        <w:t>3、</w:t>
      </w:r>
      <w:r>
        <w:rPr>
          <w:rFonts w:hint="eastAsia" w:ascii="宋体" w:hAnsi="宋体" w:cs="Arial"/>
          <w:color w:val="auto"/>
          <w:sz w:val="28"/>
          <w:szCs w:val="28"/>
          <w:highlight w:val="none"/>
        </w:rPr>
        <w:t>合同到期，经采购方考核认定</w:t>
      </w:r>
      <w:r>
        <w:rPr>
          <w:rFonts w:hint="eastAsia" w:ascii="宋体" w:hAnsi="宋体" w:cs="Arial"/>
          <w:color w:val="auto"/>
          <w:sz w:val="28"/>
          <w:szCs w:val="28"/>
          <w:highlight w:val="none"/>
          <w:lang w:eastAsia="zh-CN"/>
        </w:rPr>
        <w:t>消防维保单位</w:t>
      </w:r>
      <w:r>
        <w:rPr>
          <w:rFonts w:hint="eastAsia" w:ascii="宋体" w:hAnsi="宋体" w:cs="Arial"/>
          <w:color w:val="auto"/>
          <w:sz w:val="28"/>
          <w:szCs w:val="28"/>
          <w:highlight w:val="none"/>
        </w:rPr>
        <w:t>服务符合合同约定，合同终止后一个月内付清余款。</w:t>
      </w:r>
    </w:p>
    <w:p>
      <w:pPr>
        <w:ind w:firstLine="560" w:firstLineChars="200"/>
        <w:rPr>
          <w:rFonts w:ascii="宋体" w:hAnsi="宋体" w:cs="Arial"/>
          <w:color w:val="auto"/>
          <w:sz w:val="28"/>
          <w:szCs w:val="28"/>
          <w:highlight w:val="none"/>
        </w:rPr>
      </w:pPr>
      <w:r>
        <w:rPr>
          <w:rFonts w:ascii="宋体" w:hAnsi="宋体" w:cs="Arial"/>
          <w:color w:val="auto"/>
          <w:sz w:val="28"/>
          <w:szCs w:val="28"/>
          <w:highlight w:val="none"/>
        </w:rPr>
        <w:t>4</w:t>
      </w:r>
      <w:r>
        <w:rPr>
          <w:rFonts w:hint="eastAsia" w:ascii="宋体" w:hAnsi="宋体" w:cs="Arial"/>
          <w:color w:val="auto"/>
          <w:sz w:val="28"/>
          <w:szCs w:val="28"/>
          <w:highlight w:val="none"/>
        </w:rPr>
        <w:t>、每次付款前</w:t>
      </w:r>
      <w:r>
        <w:rPr>
          <w:rFonts w:hint="eastAsia" w:ascii="宋体" w:hAnsi="宋体" w:cs="Arial"/>
          <w:color w:val="auto"/>
          <w:sz w:val="28"/>
          <w:szCs w:val="28"/>
          <w:highlight w:val="none"/>
          <w:lang w:eastAsia="zh-CN"/>
        </w:rPr>
        <w:t>消防维保单位</w:t>
      </w:r>
      <w:r>
        <w:rPr>
          <w:rFonts w:hint="eastAsia" w:ascii="宋体" w:hAnsi="宋体" w:cs="Arial"/>
          <w:color w:val="auto"/>
          <w:sz w:val="28"/>
          <w:szCs w:val="28"/>
          <w:highlight w:val="none"/>
        </w:rPr>
        <w:t>开具符合国家税务规定的等额合格的增值税专用发票给甲方。</w:t>
      </w:r>
      <w:r>
        <w:rPr>
          <w:rFonts w:hint="eastAsia" w:ascii="宋体" w:hAnsi="宋体" w:cs="Arial"/>
          <w:color w:val="auto"/>
          <w:sz w:val="28"/>
          <w:szCs w:val="28"/>
          <w:highlight w:val="none"/>
          <w:lang w:eastAsia="zh-CN"/>
        </w:rPr>
        <w:t>消防维保单位</w:t>
      </w:r>
      <w:r>
        <w:rPr>
          <w:rFonts w:hint="eastAsia" w:ascii="宋体" w:hAnsi="宋体" w:cs="Arial"/>
          <w:color w:val="auto"/>
          <w:sz w:val="28"/>
          <w:szCs w:val="28"/>
          <w:highlight w:val="none"/>
        </w:rPr>
        <w:t>晚于付款期限提供的，甲方付款期限相应顺延。</w:t>
      </w:r>
    </w:p>
    <w:p>
      <w:pPr>
        <w:ind w:firstLine="562" w:firstLineChars="200"/>
        <w:rPr>
          <w:b/>
          <w:color w:val="auto"/>
          <w:sz w:val="28"/>
          <w:szCs w:val="28"/>
          <w:highlight w:val="none"/>
        </w:rPr>
      </w:pPr>
      <w:r>
        <w:rPr>
          <w:rFonts w:hint="eastAsia"/>
          <w:b/>
          <w:color w:val="auto"/>
          <w:sz w:val="28"/>
          <w:szCs w:val="28"/>
          <w:highlight w:val="none"/>
        </w:rPr>
        <w:t>十一、投标文件</w:t>
      </w:r>
    </w:p>
    <w:p>
      <w:pPr>
        <w:ind w:firstLine="560" w:firstLineChars="200"/>
        <w:rPr>
          <w:color w:val="auto"/>
          <w:sz w:val="28"/>
          <w:szCs w:val="28"/>
          <w:highlight w:val="none"/>
        </w:rPr>
      </w:pPr>
      <w:r>
        <w:rPr>
          <w:rFonts w:hint="eastAsia"/>
          <w:color w:val="auto"/>
          <w:sz w:val="28"/>
          <w:szCs w:val="28"/>
          <w:highlight w:val="none"/>
        </w:rPr>
        <w:t>根据甲方要求的投标文件格式，进行密封报价（盖章）。投标文件应包含以下内容：</w:t>
      </w:r>
    </w:p>
    <w:p>
      <w:pPr>
        <w:ind w:firstLine="560" w:firstLineChars="200"/>
        <w:rPr>
          <w:color w:val="auto"/>
          <w:sz w:val="28"/>
          <w:szCs w:val="28"/>
          <w:highlight w:val="none"/>
        </w:rPr>
      </w:pPr>
      <w:r>
        <w:rPr>
          <w:rFonts w:hint="eastAsia"/>
          <w:color w:val="auto"/>
          <w:sz w:val="28"/>
          <w:szCs w:val="28"/>
          <w:highlight w:val="none"/>
        </w:rPr>
        <w:t>（一）商务部分（提供复印件，并加盖公章）</w:t>
      </w:r>
    </w:p>
    <w:p>
      <w:pPr>
        <w:numPr>
          <w:ilvl w:val="0"/>
          <w:numId w:val="2"/>
        </w:numPr>
        <w:ind w:left="0" w:firstLine="560" w:firstLineChars="200"/>
        <w:rPr>
          <w:rFonts w:ascii="宋体" w:hAnsi="宋体"/>
          <w:color w:val="auto"/>
          <w:sz w:val="28"/>
          <w:szCs w:val="28"/>
          <w:highlight w:val="none"/>
        </w:rPr>
      </w:pPr>
      <w:r>
        <w:rPr>
          <w:rFonts w:hint="eastAsia" w:ascii="宋体" w:hAnsi="宋体"/>
          <w:color w:val="auto"/>
          <w:sz w:val="28"/>
          <w:szCs w:val="28"/>
          <w:highlight w:val="none"/>
        </w:rPr>
        <w:t>有效的企业工商营业执照、企业法人组织机构代码证书、税务登记证书（或三证合一）；</w:t>
      </w:r>
    </w:p>
    <w:p>
      <w:pPr>
        <w:numPr>
          <w:ilvl w:val="0"/>
          <w:numId w:val="2"/>
        </w:numPr>
        <w:ind w:left="0" w:firstLine="560" w:firstLineChars="200"/>
        <w:rPr>
          <w:rFonts w:ascii="宋体" w:hAnsi="宋体"/>
          <w:color w:val="auto"/>
          <w:sz w:val="28"/>
          <w:szCs w:val="28"/>
          <w:highlight w:val="none"/>
        </w:rPr>
      </w:pPr>
      <w:r>
        <w:rPr>
          <w:rFonts w:hint="eastAsia" w:ascii="宋体" w:hAnsi="宋体"/>
          <w:color w:val="auto"/>
          <w:sz w:val="28"/>
          <w:szCs w:val="28"/>
          <w:highlight w:val="none"/>
        </w:rPr>
        <w:t>供应商调查表（格式见附件2）</w:t>
      </w:r>
    </w:p>
    <w:p>
      <w:pPr>
        <w:numPr>
          <w:ilvl w:val="0"/>
          <w:numId w:val="2"/>
        </w:numPr>
        <w:ind w:left="0" w:firstLine="560" w:firstLineChars="200"/>
        <w:rPr>
          <w:rFonts w:ascii="宋体" w:hAnsi="宋体"/>
          <w:color w:val="auto"/>
          <w:sz w:val="28"/>
          <w:szCs w:val="28"/>
          <w:highlight w:val="none"/>
        </w:rPr>
      </w:pPr>
      <w:r>
        <w:rPr>
          <w:rFonts w:hint="eastAsia" w:ascii="宋体" w:hAnsi="宋体"/>
          <w:color w:val="auto"/>
          <w:sz w:val="28"/>
          <w:szCs w:val="28"/>
          <w:highlight w:val="none"/>
        </w:rPr>
        <w:t>法定代表人证明书、法定代表人授权委托书原件（格式见附件3和附件4）；</w:t>
      </w:r>
    </w:p>
    <w:p>
      <w:pPr>
        <w:numPr>
          <w:ilvl w:val="0"/>
          <w:numId w:val="2"/>
        </w:numPr>
        <w:ind w:left="0" w:firstLine="560" w:firstLineChars="200"/>
        <w:rPr>
          <w:rFonts w:ascii="宋体" w:hAnsi="宋体"/>
          <w:color w:val="auto"/>
          <w:sz w:val="28"/>
          <w:szCs w:val="28"/>
          <w:highlight w:val="none"/>
        </w:rPr>
      </w:pPr>
      <w:r>
        <w:rPr>
          <w:rFonts w:hint="eastAsia" w:ascii="宋体" w:hAnsi="宋体" w:cs="Arial"/>
          <w:color w:val="auto"/>
          <w:sz w:val="28"/>
          <w:szCs w:val="28"/>
          <w:highlight w:val="none"/>
        </w:rPr>
        <w:t>提供在社会消防技术服务信息系统网站平台上（https://shhxf.119.gov.cn/）消防设施维护保养资质的截图材料；</w:t>
      </w:r>
    </w:p>
    <w:p>
      <w:pPr>
        <w:numPr>
          <w:ilvl w:val="0"/>
          <w:numId w:val="2"/>
        </w:numPr>
        <w:ind w:left="0" w:firstLine="560" w:firstLineChars="200"/>
        <w:rPr>
          <w:rFonts w:ascii="宋体" w:hAnsi="宋体"/>
          <w:color w:val="auto"/>
          <w:sz w:val="28"/>
          <w:szCs w:val="28"/>
          <w:highlight w:val="none"/>
        </w:rPr>
      </w:pPr>
      <w:r>
        <w:rPr>
          <w:rFonts w:hint="eastAsia" w:ascii="宋体" w:hAnsi="宋体"/>
          <w:color w:val="auto"/>
          <w:sz w:val="28"/>
          <w:szCs w:val="28"/>
          <w:highlight w:val="none"/>
        </w:rPr>
        <w:t>本工程拟派项目负责人简历表</w:t>
      </w:r>
      <w:r>
        <w:rPr>
          <w:rFonts w:ascii="宋体" w:hAnsi="宋体"/>
          <w:color w:val="auto"/>
          <w:sz w:val="28"/>
          <w:szCs w:val="28"/>
          <w:highlight w:val="none"/>
        </w:rPr>
        <w:t>（包括姓名、部门和职务、</w:t>
      </w:r>
      <w:r>
        <w:rPr>
          <w:rFonts w:hint="eastAsia" w:ascii="宋体" w:hAnsi="宋体"/>
          <w:color w:val="auto"/>
          <w:sz w:val="28"/>
          <w:szCs w:val="28"/>
          <w:highlight w:val="none"/>
        </w:rPr>
        <w:t>所学专业和</w:t>
      </w:r>
      <w:r>
        <w:rPr>
          <w:rFonts w:ascii="宋体" w:hAnsi="宋体"/>
          <w:color w:val="auto"/>
          <w:sz w:val="28"/>
          <w:szCs w:val="28"/>
          <w:highlight w:val="none"/>
        </w:rPr>
        <w:t>毕业</w:t>
      </w:r>
      <w:r>
        <w:rPr>
          <w:rFonts w:hint="eastAsia" w:ascii="宋体" w:hAnsi="宋体"/>
          <w:color w:val="auto"/>
          <w:sz w:val="28"/>
          <w:szCs w:val="28"/>
          <w:highlight w:val="none"/>
        </w:rPr>
        <w:t>院校名称及毕业</w:t>
      </w:r>
      <w:r>
        <w:rPr>
          <w:rFonts w:ascii="宋体" w:hAnsi="宋体"/>
          <w:color w:val="auto"/>
          <w:sz w:val="28"/>
          <w:szCs w:val="28"/>
          <w:highlight w:val="none"/>
        </w:rPr>
        <w:t>时间、主要资历、经验及承担过的</w:t>
      </w:r>
      <w:r>
        <w:rPr>
          <w:rFonts w:hint="eastAsia" w:ascii="宋体" w:hAnsi="宋体"/>
          <w:color w:val="auto"/>
          <w:sz w:val="28"/>
          <w:szCs w:val="28"/>
          <w:highlight w:val="none"/>
        </w:rPr>
        <w:t>类似</w:t>
      </w:r>
      <w:r>
        <w:rPr>
          <w:rFonts w:ascii="宋体" w:hAnsi="宋体"/>
          <w:color w:val="auto"/>
          <w:sz w:val="28"/>
          <w:szCs w:val="28"/>
          <w:highlight w:val="none"/>
        </w:rPr>
        <w:t>项目</w:t>
      </w:r>
      <w:r>
        <w:rPr>
          <w:rFonts w:hint="eastAsia" w:ascii="宋体" w:hAnsi="宋体"/>
          <w:color w:val="auto"/>
          <w:sz w:val="28"/>
          <w:szCs w:val="28"/>
          <w:highlight w:val="none"/>
        </w:rPr>
        <w:t>，</w:t>
      </w:r>
      <w:r>
        <w:rPr>
          <w:rFonts w:ascii="宋体" w:hAnsi="宋体"/>
          <w:color w:val="auto"/>
          <w:sz w:val="28"/>
          <w:szCs w:val="28"/>
          <w:highlight w:val="none"/>
        </w:rPr>
        <w:t>获得认证资质证书</w:t>
      </w:r>
      <w:r>
        <w:rPr>
          <w:rFonts w:hint="eastAsia" w:ascii="宋体" w:hAnsi="宋体"/>
          <w:color w:val="auto"/>
          <w:sz w:val="28"/>
          <w:szCs w:val="28"/>
          <w:highlight w:val="none"/>
        </w:rPr>
        <w:t>及复印件</w:t>
      </w:r>
      <w:r>
        <w:rPr>
          <w:rFonts w:ascii="宋体" w:hAnsi="宋体"/>
          <w:color w:val="auto"/>
          <w:sz w:val="28"/>
          <w:szCs w:val="28"/>
          <w:highlight w:val="none"/>
        </w:rPr>
        <w:t>）</w:t>
      </w:r>
      <w:r>
        <w:rPr>
          <w:rFonts w:hint="eastAsia" w:ascii="宋体" w:hAnsi="宋体"/>
          <w:color w:val="auto"/>
          <w:sz w:val="28"/>
          <w:szCs w:val="28"/>
          <w:highlight w:val="none"/>
        </w:rPr>
        <w:t>；</w:t>
      </w:r>
    </w:p>
    <w:p>
      <w:pPr>
        <w:numPr>
          <w:ilvl w:val="0"/>
          <w:numId w:val="2"/>
        </w:numPr>
        <w:ind w:left="0" w:firstLine="560" w:firstLineChars="200"/>
        <w:rPr>
          <w:rFonts w:ascii="宋体" w:hAnsi="宋体"/>
          <w:color w:val="auto"/>
          <w:sz w:val="28"/>
          <w:szCs w:val="28"/>
          <w:highlight w:val="none"/>
        </w:rPr>
      </w:pPr>
      <w:r>
        <w:rPr>
          <w:rFonts w:hint="eastAsia" w:ascii="宋体" w:hAnsi="宋体"/>
          <w:color w:val="auto"/>
          <w:sz w:val="28"/>
          <w:szCs w:val="28"/>
          <w:highlight w:val="none"/>
        </w:rPr>
        <w:t>投标人近3年内(20</w:t>
      </w:r>
      <w:r>
        <w:rPr>
          <w:rFonts w:hint="eastAsia" w:ascii="宋体" w:hAnsi="宋体"/>
          <w:color w:val="auto"/>
          <w:sz w:val="28"/>
          <w:szCs w:val="28"/>
          <w:highlight w:val="none"/>
          <w:lang w:val="en-US" w:eastAsia="zh-CN"/>
        </w:rPr>
        <w:t>20</w:t>
      </w:r>
      <w:r>
        <w:rPr>
          <w:rFonts w:hint="eastAsia" w:ascii="宋体" w:hAnsi="宋体"/>
          <w:color w:val="auto"/>
          <w:sz w:val="28"/>
          <w:szCs w:val="28"/>
          <w:highlight w:val="none"/>
        </w:rPr>
        <w:t>年1月1日至今)完成过质量合格的类似工程项目业绩（需提供合同等相关证明材料复印件）</w:t>
      </w:r>
      <w:r>
        <w:rPr>
          <w:rFonts w:hint="eastAsia"/>
          <w:color w:val="auto"/>
          <w:sz w:val="28"/>
          <w:szCs w:val="28"/>
          <w:highlight w:val="none"/>
        </w:rPr>
        <w:t>；</w:t>
      </w:r>
    </w:p>
    <w:p>
      <w:pPr>
        <w:numPr>
          <w:ilvl w:val="0"/>
          <w:numId w:val="2"/>
        </w:numPr>
        <w:ind w:left="0" w:firstLine="560" w:firstLineChars="200"/>
        <w:rPr>
          <w:color w:val="auto"/>
          <w:sz w:val="28"/>
          <w:szCs w:val="28"/>
          <w:highlight w:val="none"/>
        </w:rPr>
      </w:pPr>
      <w:r>
        <w:rPr>
          <w:rFonts w:hint="eastAsia" w:ascii="宋体" w:hAnsi="宋体"/>
          <w:color w:val="auto"/>
          <w:sz w:val="28"/>
          <w:szCs w:val="28"/>
          <w:highlight w:val="none"/>
        </w:rPr>
        <w:t>投标人</w:t>
      </w:r>
      <w:r>
        <w:rPr>
          <w:rFonts w:hint="eastAsia" w:ascii="宋体" w:hAnsi="宋体" w:cs="Arial"/>
          <w:color w:val="auto"/>
          <w:sz w:val="28"/>
          <w:szCs w:val="28"/>
          <w:highlight w:val="none"/>
        </w:rPr>
        <w:t>认为有必要的其他资质等材料复印件。</w:t>
      </w:r>
    </w:p>
    <w:p>
      <w:pPr>
        <w:ind w:firstLine="560" w:firstLineChars="200"/>
        <w:rPr>
          <w:color w:val="auto"/>
          <w:sz w:val="28"/>
          <w:szCs w:val="28"/>
          <w:highlight w:val="none"/>
        </w:rPr>
      </w:pPr>
      <w:r>
        <w:rPr>
          <w:rFonts w:hint="eastAsia"/>
          <w:color w:val="auto"/>
          <w:sz w:val="28"/>
          <w:szCs w:val="28"/>
          <w:highlight w:val="none"/>
        </w:rPr>
        <w:t>（二）技术部分（格式自定，加盖公章）</w:t>
      </w:r>
    </w:p>
    <w:p>
      <w:pPr>
        <w:ind w:firstLine="560" w:firstLineChars="200"/>
        <w:rPr>
          <w:color w:val="auto"/>
          <w:sz w:val="28"/>
          <w:szCs w:val="28"/>
          <w:highlight w:val="none"/>
        </w:rPr>
      </w:pPr>
      <w:r>
        <w:rPr>
          <w:rFonts w:hint="eastAsia"/>
          <w:color w:val="auto"/>
          <w:sz w:val="28"/>
          <w:szCs w:val="28"/>
          <w:highlight w:val="none"/>
        </w:rPr>
        <w:t>维保方案：</w:t>
      </w:r>
      <w:r>
        <w:rPr>
          <w:rFonts w:hint="eastAsia"/>
          <w:b/>
          <w:color w:val="auto"/>
          <w:sz w:val="28"/>
          <w:szCs w:val="28"/>
          <w:highlight w:val="none"/>
        </w:rPr>
        <w:t>维保单位应充分了解现场条件，并针对本项目制定切实可行的</w:t>
      </w:r>
      <w:r>
        <w:rPr>
          <w:rFonts w:hint="eastAsia"/>
          <w:b/>
          <w:color w:val="auto"/>
          <w:sz w:val="28"/>
          <w:szCs w:val="28"/>
          <w:highlight w:val="none"/>
          <w:u w:val="double"/>
        </w:rPr>
        <w:t>维保方案</w:t>
      </w:r>
      <w:r>
        <w:rPr>
          <w:rFonts w:hint="eastAsia"/>
          <w:color w:val="auto"/>
          <w:sz w:val="28"/>
          <w:szCs w:val="28"/>
          <w:highlight w:val="none"/>
        </w:rPr>
        <w:t>，包括但不限于：</w:t>
      </w:r>
    </w:p>
    <w:p>
      <w:pPr>
        <w:widowControl/>
        <w:numPr>
          <w:ilvl w:val="0"/>
          <w:numId w:val="3"/>
        </w:numPr>
        <w:ind w:left="0" w:firstLine="560" w:firstLineChars="200"/>
        <w:rPr>
          <w:rFonts w:ascii="宋体" w:hAnsi="宋体" w:cs="Arial"/>
          <w:color w:val="auto"/>
          <w:sz w:val="28"/>
          <w:szCs w:val="28"/>
          <w:highlight w:val="none"/>
        </w:rPr>
      </w:pPr>
      <w:r>
        <w:rPr>
          <w:rFonts w:hint="eastAsia" w:ascii="宋体" w:hAnsi="宋体" w:cs="Arial"/>
          <w:color w:val="auto"/>
          <w:sz w:val="28"/>
          <w:szCs w:val="28"/>
          <w:highlight w:val="none"/>
        </w:rPr>
        <w:t>总体实施方案；</w:t>
      </w:r>
    </w:p>
    <w:p>
      <w:pPr>
        <w:widowControl/>
        <w:numPr>
          <w:ilvl w:val="0"/>
          <w:numId w:val="3"/>
        </w:numPr>
        <w:ind w:left="0" w:firstLine="560" w:firstLineChars="200"/>
        <w:rPr>
          <w:rFonts w:ascii="宋体" w:hAnsi="宋体" w:cs="Arial"/>
          <w:color w:val="auto"/>
          <w:sz w:val="28"/>
          <w:szCs w:val="28"/>
          <w:highlight w:val="none"/>
        </w:rPr>
      </w:pPr>
      <w:r>
        <w:rPr>
          <w:rFonts w:hint="eastAsia" w:ascii="宋体" w:hAnsi="宋体" w:cs="Arial"/>
          <w:color w:val="auto"/>
          <w:sz w:val="28"/>
          <w:szCs w:val="28"/>
          <w:highlight w:val="none"/>
        </w:rPr>
        <w:t>实施进度计划；</w:t>
      </w:r>
    </w:p>
    <w:p>
      <w:pPr>
        <w:widowControl/>
        <w:numPr>
          <w:ilvl w:val="0"/>
          <w:numId w:val="3"/>
        </w:numPr>
        <w:ind w:left="0" w:firstLine="560" w:firstLineChars="200"/>
        <w:rPr>
          <w:rFonts w:ascii="宋体" w:hAnsi="宋体" w:cs="Arial"/>
          <w:color w:val="auto"/>
          <w:sz w:val="28"/>
          <w:szCs w:val="28"/>
          <w:highlight w:val="none"/>
        </w:rPr>
      </w:pPr>
      <w:r>
        <w:rPr>
          <w:rFonts w:hint="eastAsia" w:ascii="宋体" w:hAnsi="宋体" w:cs="Arial"/>
          <w:color w:val="auto"/>
          <w:sz w:val="28"/>
          <w:szCs w:val="28"/>
          <w:highlight w:val="none"/>
        </w:rPr>
        <w:t>确保实施进度的技术和组织措施；</w:t>
      </w:r>
    </w:p>
    <w:p>
      <w:pPr>
        <w:widowControl/>
        <w:numPr>
          <w:ilvl w:val="0"/>
          <w:numId w:val="3"/>
        </w:numPr>
        <w:ind w:left="0" w:firstLine="560" w:firstLineChars="200"/>
        <w:rPr>
          <w:rFonts w:ascii="宋体" w:hAnsi="宋体" w:cs="Arial"/>
          <w:color w:val="auto"/>
          <w:sz w:val="28"/>
          <w:szCs w:val="28"/>
          <w:highlight w:val="none"/>
        </w:rPr>
      </w:pPr>
      <w:r>
        <w:rPr>
          <w:rFonts w:hint="eastAsia" w:ascii="宋体" w:hAnsi="宋体" w:cs="Arial"/>
          <w:color w:val="auto"/>
          <w:sz w:val="28"/>
          <w:szCs w:val="28"/>
          <w:highlight w:val="none"/>
        </w:rPr>
        <w:t>投入的机械设备；</w:t>
      </w:r>
    </w:p>
    <w:p>
      <w:pPr>
        <w:widowControl/>
        <w:numPr>
          <w:ilvl w:val="0"/>
          <w:numId w:val="3"/>
        </w:numPr>
        <w:ind w:left="0" w:firstLine="560" w:firstLineChars="200"/>
        <w:rPr>
          <w:color w:val="auto"/>
          <w:sz w:val="28"/>
          <w:szCs w:val="28"/>
          <w:highlight w:val="none"/>
        </w:rPr>
      </w:pPr>
      <w:r>
        <w:rPr>
          <w:rFonts w:hint="eastAsia" w:ascii="宋体" w:hAnsi="宋体" w:cs="Arial"/>
          <w:color w:val="auto"/>
          <w:sz w:val="28"/>
          <w:szCs w:val="28"/>
          <w:highlight w:val="none"/>
        </w:rPr>
        <w:t>投标人认为其它需要说明的文字。</w:t>
      </w:r>
    </w:p>
    <w:p>
      <w:pPr>
        <w:ind w:firstLine="560" w:firstLineChars="200"/>
        <w:rPr>
          <w:color w:val="auto"/>
          <w:sz w:val="28"/>
          <w:szCs w:val="28"/>
          <w:highlight w:val="none"/>
        </w:rPr>
      </w:pPr>
      <w:r>
        <w:rPr>
          <w:rFonts w:hint="eastAsia"/>
          <w:color w:val="auto"/>
          <w:sz w:val="28"/>
          <w:szCs w:val="28"/>
          <w:highlight w:val="none"/>
        </w:rPr>
        <w:t>（三）价格文件（加盖公章）</w:t>
      </w:r>
    </w:p>
    <w:p>
      <w:pPr>
        <w:numPr>
          <w:ilvl w:val="0"/>
          <w:numId w:val="4"/>
        </w:numPr>
        <w:ind w:left="0" w:firstLine="560" w:firstLineChars="200"/>
        <w:rPr>
          <w:rFonts w:ascii="宋体" w:hAnsi="宋体" w:cs="Arial"/>
          <w:color w:val="auto"/>
          <w:sz w:val="28"/>
          <w:szCs w:val="28"/>
          <w:highlight w:val="none"/>
        </w:rPr>
      </w:pPr>
      <w:r>
        <w:rPr>
          <w:rFonts w:hint="eastAsia" w:ascii="宋体" w:hAnsi="宋体" w:cs="Arial"/>
          <w:color w:val="auto"/>
          <w:sz w:val="28"/>
          <w:szCs w:val="28"/>
          <w:highlight w:val="none"/>
        </w:rPr>
        <w:t>报价一览表：（格式见附件1）</w:t>
      </w:r>
    </w:p>
    <w:p>
      <w:pPr>
        <w:numPr>
          <w:ilvl w:val="0"/>
          <w:numId w:val="4"/>
        </w:numPr>
        <w:ind w:left="0" w:firstLine="560" w:firstLineChars="200"/>
        <w:rPr>
          <w:rFonts w:ascii="宋体" w:hAnsi="宋体" w:cs="Arial"/>
          <w:color w:val="auto"/>
          <w:sz w:val="28"/>
          <w:szCs w:val="28"/>
          <w:highlight w:val="none"/>
        </w:rPr>
      </w:pPr>
      <w:r>
        <w:rPr>
          <w:rFonts w:hint="eastAsia" w:ascii="宋体" w:hAnsi="宋体" w:cs="Arial"/>
          <w:color w:val="auto"/>
          <w:sz w:val="28"/>
          <w:szCs w:val="28"/>
          <w:highlight w:val="none"/>
        </w:rPr>
        <w:t>报价明细表：格式自拟，包括但不限于各项目单价及综合总报价，并注明未含税总价、税率及含税总价。</w:t>
      </w:r>
    </w:p>
    <w:p>
      <w:pPr>
        <w:ind w:firstLine="562" w:firstLineChars="200"/>
        <w:rPr>
          <w:b/>
          <w:color w:val="auto"/>
          <w:sz w:val="28"/>
          <w:szCs w:val="28"/>
          <w:highlight w:val="none"/>
        </w:rPr>
      </w:pPr>
      <w:r>
        <w:rPr>
          <w:rFonts w:hint="eastAsia"/>
          <w:b/>
          <w:color w:val="auto"/>
          <w:sz w:val="28"/>
          <w:szCs w:val="28"/>
          <w:highlight w:val="none"/>
        </w:rPr>
        <w:t>十二、评标方法</w:t>
      </w:r>
    </w:p>
    <w:p>
      <w:pPr>
        <w:ind w:firstLine="560" w:firstLineChars="200"/>
        <w:rPr>
          <w:color w:val="auto"/>
          <w:sz w:val="28"/>
          <w:szCs w:val="28"/>
          <w:highlight w:val="none"/>
        </w:rPr>
      </w:pPr>
      <w:r>
        <w:rPr>
          <w:rFonts w:hint="eastAsia"/>
          <w:color w:val="auto"/>
          <w:sz w:val="28"/>
          <w:szCs w:val="28"/>
          <w:highlight w:val="none"/>
        </w:rPr>
        <w:t>本项目采用综合评</w:t>
      </w:r>
      <w:r>
        <w:rPr>
          <w:rFonts w:hint="eastAsia"/>
          <w:color w:val="auto"/>
          <w:sz w:val="28"/>
          <w:szCs w:val="28"/>
          <w:highlight w:val="none"/>
          <w:lang w:val="en-US" w:eastAsia="zh-CN"/>
        </w:rPr>
        <w:t>分</w:t>
      </w:r>
      <w:r>
        <w:rPr>
          <w:rFonts w:hint="eastAsia"/>
          <w:color w:val="auto"/>
          <w:sz w:val="28"/>
          <w:szCs w:val="28"/>
          <w:highlight w:val="none"/>
        </w:rPr>
        <w:t>法，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投标人资格审查（见附件5）和投标文件有效性审查（见附件6）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ind w:firstLine="562" w:firstLineChars="200"/>
        <w:rPr>
          <w:rFonts w:ascii="宋体" w:hAnsi="宋体" w:cs="Arial"/>
          <w:b/>
          <w:color w:val="auto"/>
          <w:sz w:val="28"/>
          <w:szCs w:val="28"/>
          <w:highlight w:val="none"/>
        </w:rPr>
      </w:pPr>
      <w:r>
        <w:rPr>
          <w:rFonts w:hint="eastAsia" w:ascii="宋体" w:hAnsi="宋体" w:cs="Arial"/>
          <w:b/>
          <w:color w:val="auto"/>
          <w:sz w:val="28"/>
          <w:szCs w:val="28"/>
          <w:highlight w:val="none"/>
        </w:rPr>
        <w:t>十</w:t>
      </w:r>
      <w:r>
        <w:rPr>
          <w:rFonts w:hint="eastAsia"/>
          <w:b/>
          <w:color w:val="auto"/>
          <w:sz w:val="28"/>
          <w:szCs w:val="28"/>
          <w:highlight w:val="none"/>
        </w:rPr>
        <w:t>三</w:t>
      </w:r>
      <w:r>
        <w:rPr>
          <w:rFonts w:hint="eastAsia" w:ascii="宋体" w:hAnsi="宋体" w:cs="Arial"/>
          <w:b/>
          <w:color w:val="auto"/>
          <w:sz w:val="28"/>
          <w:szCs w:val="28"/>
          <w:highlight w:val="none"/>
        </w:rPr>
        <w:t>、勘踏现场</w:t>
      </w:r>
    </w:p>
    <w:p>
      <w:pPr>
        <w:ind w:firstLine="560" w:firstLineChars="200"/>
        <w:rPr>
          <w:color w:val="auto"/>
          <w:sz w:val="28"/>
          <w:szCs w:val="28"/>
          <w:highlight w:val="none"/>
        </w:rPr>
      </w:pPr>
      <w:r>
        <w:rPr>
          <w:rFonts w:hint="eastAsia"/>
          <w:color w:val="auto"/>
          <w:sz w:val="28"/>
          <w:szCs w:val="28"/>
          <w:highlight w:val="none"/>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20</w:t>
      </w:r>
      <w:r>
        <w:rPr>
          <w:color w:val="auto"/>
          <w:sz w:val="28"/>
          <w:szCs w:val="28"/>
          <w:highlight w:val="none"/>
        </w:rPr>
        <w:t>2</w:t>
      </w:r>
      <w:r>
        <w:rPr>
          <w:rFonts w:hint="eastAsia"/>
          <w:color w:val="auto"/>
          <w:sz w:val="28"/>
          <w:szCs w:val="28"/>
          <w:highlight w:val="none"/>
          <w:lang w:val="en-US" w:eastAsia="zh-CN"/>
        </w:rPr>
        <w:t>3</w:t>
      </w:r>
      <w:r>
        <w:rPr>
          <w:rFonts w:hint="eastAsia"/>
          <w:color w:val="auto"/>
          <w:sz w:val="28"/>
          <w:szCs w:val="28"/>
          <w:highlight w:val="none"/>
        </w:rPr>
        <w:t>年</w:t>
      </w:r>
      <w:r>
        <w:rPr>
          <w:rFonts w:hint="eastAsia"/>
          <w:color w:val="auto"/>
          <w:sz w:val="28"/>
          <w:szCs w:val="28"/>
          <w:highlight w:val="none"/>
          <w:lang w:val="en-US" w:eastAsia="zh-CN"/>
        </w:rPr>
        <w:t>7</w:t>
      </w:r>
      <w:r>
        <w:rPr>
          <w:rFonts w:hint="eastAsia"/>
          <w:color w:val="auto"/>
          <w:sz w:val="28"/>
          <w:szCs w:val="28"/>
          <w:highlight w:val="none"/>
        </w:rPr>
        <w:t>月</w:t>
      </w:r>
      <w:r>
        <w:rPr>
          <w:rFonts w:hint="default"/>
          <w:color w:val="auto"/>
          <w:sz w:val="28"/>
          <w:szCs w:val="28"/>
          <w:highlight w:val="none"/>
          <w:lang w:val="en-US" w:eastAsia="zh-CN"/>
        </w:rPr>
        <w:t xml:space="preserve"> </w:t>
      </w:r>
      <w:r>
        <w:rPr>
          <w:rFonts w:hint="eastAsia"/>
          <w:color w:val="auto"/>
          <w:sz w:val="28"/>
          <w:szCs w:val="28"/>
          <w:highlight w:val="none"/>
        </w:rPr>
        <w:t>日</w:t>
      </w:r>
      <w:r>
        <w:rPr>
          <w:color w:val="auto"/>
          <w:sz w:val="28"/>
          <w:szCs w:val="28"/>
          <w:highlight w:val="none"/>
        </w:rPr>
        <w:t>10</w:t>
      </w:r>
      <w:r>
        <w:rPr>
          <w:rFonts w:hint="eastAsia"/>
          <w:color w:val="auto"/>
          <w:sz w:val="28"/>
          <w:szCs w:val="28"/>
          <w:highlight w:val="none"/>
        </w:rPr>
        <w:t>:</w:t>
      </w:r>
      <w:r>
        <w:rPr>
          <w:color w:val="auto"/>
          <w:sz w:val="28"/>
          <w:szCs w:val="28"/>
          <w:highlight w:val="none"/>
        </w:rPr>
        <w:t>00</w:t>
      </w:r>
      <w:r>
        <w:rPr>
          <w:rFonts w:hint="eastAsia"/>
          <w:color w:val="auto"/>
          <w:sz w:val="28"/>
          <w:szCs w:val="28"/>
          <w:highlight w:val="none"/>
        </w:rPr>
        <w:t>时，集中地点：广州市番禺区大学城明志街1号信息枢纽楼一楼西门。勘踏现场联系人梁</w:t>
      </w:r>
      <w:r>
        <w:rPr>
          <w:rFonts w:hint="eastAsia"/>
          <w:color w:val="auto"/>
          <w:sz w:val="28"/>
          <w:szCs w:val="28"/>
          <w:highlight w:val="none"/>
        </w:rPr>
        <w:t>工，联系电话：</w:t>
      </w:r>
      <w:r>
        <w:rPr>
          <w:color w:val="auto"/>
          <w:sz w:val="28"/>
          <w:szCs w:val="28"/>
          <w:highlight w:val="none"/>
        </w:rPr>
        <w:t>020-393020</w:t>
      </w:r>
      <w:r>
        <w:rPr>
          <w:color w:val="auto"/>
          <w:sz w:val="28"/>
          <w:szCs w:val="28"/>
          <w:highlight w:val="none"/>
        </w:rPr>
        <w:t>20</w:t>
      </w:r>
      <w:r>
        <w:rPr>
          <w:rFonts w:hint="eastAsia"/>
          <w:color w:val="auto"/>
          <w:sz w:val="28"/>
          <w:szCs w:val="28"/>
          <w:highlight w:val="none"/>
        </w:rPr>
        <w:t>。投标人未在规定时间勘踏现场的，甲方不再另行组织，由投标人自行前往勘踏。</w:t>
      </w:r>
    </w:p>
    <w:p>
      <w:pPr>
        <w:ind w:firstLine="562" w:firstLineChars="200"/>
        <w:rPr>
          <w:rFonts w:ascii="宋体" w:hAnsi="宋体" w:cs="Arial"/>
          <w:b/>
          <w:color w:val="auto"/>
          <w:sz w:val="28"/>
          <w:szCs w:val="28"/>
          <w:highlight w:val="none"/>
        </w:rPr>
      </w:pPr>
      <w:r>
        <w:rPr>
          <w:rFonts w:hint="eastAsia" w:ascii="宋体" w:hAnsi="宋体" w:cs="Arial"/>
          <w:b/>
          <w:color w:val="auto"/>
          <w:sz w:val="28"/>
          <w:szCs w:val="28"/>
          <w:highlight w:val="none"/>
        </w:rPr>
        <w:t>十四、递交投标文件</w:t>
      </w:r>
    </w:p>
    <w:p>
      <w:pPr>
        <w:ind w:firstLine="560" w:firstLineChars="200"/>
        <w:rPr>
          <w:rFonts w:ascii="宋体" w:hAnsi="宋体" w:cs="Arial"/>
          <w:color w:val="auto"/>
          <w:sz w:val="28"/>
          <w:szCs w:val="28"/>
          <w:highlight w:val="none"/>
        </w:rPr>
      </w:pPr>
      <w:r>
        <w:rPr>
          <w:rFonts w:hint="eastAsia" w:ascii="宋体" w:hAnsi="宋体" w:cs="Arial"/>
          <w:color w:val="auto"/>
          <w:sz w:val="28"/>
          <w:szCs w:val="28"/>
          <w:highlight w:val="none"/>
        </w:rPr>
        <w:t>（一）</w:t>
      </w:r>
      <w:r>
        <w:rPr>
          <w:rFonts w:hint="eastAsia" w:ascii="宋体" w:hAnsi="宋体" w:cs="Arial"/>
          <w:b/>
          <w:color w:val="auto"/>
          <w:sz w:val="28"/>
          <w:szCs w:val="28"/>
          <w:highlight w:val="none"/>
        </w:rPr>
        <w:t>投标单位以密封的形式（一式一份，无需装订）</w:t>
      </w:r>
      <w:r>
        <w:rPr>
          <w:rFonts w:hint="eastAsia" w:ascii="宋体" w:hAnsi="宋体" w:cs="Arial"/>
          <w:color w:val="auto"/>
          <w:sz w:val="28"/>
          <w:szCs w:val="28"/>
          <w:highlight w:val="none"/>
        </w:rPr>
        <w:t>提供投标文件到：广州市番禺区大学城明志街1号信息枢纽楼9楼采购合同部，采购方接受现场递交或邮寄两种方式。</w:t>
      </w:r>
    </w:p>
    <w:p>
      <w:pPr>
        <w:ind w:firstLine="560" w:firstLineChars="200"/>
        <w:rPr>
          <w:rFonts w:ascii="宋体" w:hAnsi="宋体" w:cs="Arial"/>
          <w:color w:val="auto"/>
          <w:sz w:val="28"/>
          <w:szCs w:val="28"/>
          <w:highlight w:val="none"/>
        </w:rPr>
      </w:pPr>
      <w:r>
        <w:rPr>
          <w:rFonts w:hint="eastAsia" w:ascii="宋体" w:hAnsi="宋体" w:cs="Arial"/>
          <w:color w:val="auto"/>
          <w:sz w:val="28"/>
          <w:szCs w:val="28"/>
          <w:highlight w:val="none"/>
        </w:rPr>
        <w:t>（二）投标文件递交截止时间：20</w:t>
      </w:r>
      <w:r>
        <w:rPr>
          <w:rFonts w:ascii="宋体" w:hAnsi="宋体" w:cs="Arial"/>
          <w:color w:val="auto"/>
          <w:sz w:val="28"/>
          <w:szCs w:val="28"/>
          <w:highlight w:val="none"/>
        </w:rPr>
        <w:t>2</w:t>
      </w:r>
      <w:r>
        <w:rPr>
          <w:rFonts w:hint="eastAsia" w:ascii="宋体" w:hAnsi="宋体" w:cs="Arial"/>
          <w:color w:val="auto"/>
          <w:sz w:val="28"/>
          <w:szCs w:val="28"/>
          <w:highlight w:val="none"/>
          <w:lang w:val="en-US" w:eastAsia="zh-CN"/>
        </w:rPr>
        <w:t>3</w:t>
      </w:r>
      <w:r>
        <w:rPr>
          <w:rFonts w:hint="eastAsia" w:ascii="宋体" w:hAnsi="宋体" w:cs="Arial"/>
          <w:color w:val="auto"/>
          <w:sz w:val="28"/>
          <w:szCs w:val="28"/>
          <w:highlight w:val="none"/>
        </w:rPr>
        <w:t>年</w:t>
      </w:r>
      <w:r>
        <w:rPr>
          <w:rFonts w:hint="eastAsia" w:ascii="宋体" w:hAnsi="宋体" w:cs="Arial"/>
          <w:color w:val="auto"/>
          <w:sz w:val="28"/>
          <w:szCs w:val="28"/>
          <w:highlight w:val="none"/>
          <w:lang w:val="en-US" w:eastAsia="zh-CN"/>
        </w:rPr>
        <w:t>7</w:t>
      </w:r>
      <w:r>
        <w:rPr>
          <w:rFonts w:hint="eastAsia" w:ascii="宋体" w:hAnsi="宋体" w:cs="Arial"/>
          <w:color w:val="auto"/>
          <w:sz w:val="28"/>
          <w:szCs w:val="28"/>
          <w:highlight w:val="none"/>
        </w:rPr>
        <w:t>月日北京时间</w:t>
      </w:r>
      <w:r>
        <w:rPr>
          <w:rFonts w:ascii="宋体" w:hAnsi="宋体" w:cs="Arial"/>
          <w:color w:val="auto"/>
          <w:sz w:val="28"/>
          <w:szCs w:val="28"/>
          <w:highlight w:val="none"/>
        </w:rPr>
        <w:t>15</w:t>
      </w:r>
      <w:r>
        <w:rPr>
          <w:rFonts w:hint="eastAsia" w:ascii="宋体" w:hAnsi="宋体" w:cs="Arial"/>
          <w:color w:val="auto"/>
          <w:sz w:val="28"/>
          <w:szCs w:val="28"/>
          <w:highlight w:val="none"/>
        </w:rPr>
        <w:t>时</w:t>
      </w:r>
      <w:r>
        <w:rPr>
          <w:rFonts w:ascii="宋体" w:hAnsi="宋体" w:cs="Arial"/>
          <w:color w:val="auto"/>
          <w:sz w:val="28"/>
          <w:szCs w:val="28"/>
          <w:highlight w:val="none"/>
        </w:rPr>
        <w:t>30</w:t>
      </w:r>
      <w:r>
        <w:rPr>
          <w:rFonts w:hint="eastAsia" w:ascii="宋体" w:hAnsi="宋体" w:cs="Arial"/>
          <w:color w:val="auto"/>
          <w:sz w:val="28"/>
          <w:szCs w:val="28"/>
          <w:highlight w:val="none"/>
        </w:rPr>
        <w:t>分前。递交的投标文件或投标文件信封未密封，或未在骑缝处盖章或签字，或逾期送达的采购方有权不予受理。</w:t>
      </w:r>
    </w:p>
    <w:p>
      <w:pPr>
        <w:ind w:firstLine="562" w:firstLineChars="200"/>
        <w:rPr>
          <w:rFonts w:ascii="宋体" w:hAnsi="宋体" w:cs="Arial"/>
          <w:b/>
          <w:color w:val="auto"/>
          <w:sz w:val="28"/>
          <w:szCs w:val="28"/>
          <w:highlight w:val="none"/>
        </w:rPr>
      </w:pPr>
      <w:r>
        <w:rPr>
          <w:rFonts w:ascii="宋体" w:hAnsi="宋体" w:cs="Arial"/>
          <w:b/>
          <w:color w:val="auto"/>
          <w:sz w:val="28"/>
          <w:szCs w:val="28"/>
          <w:highlight w:val="none"/>
        </w:rPr>
        <w:t>十</w:t>
      </w:r>
      <w:r>
        <w:rPr>
          <w:rFonts w:hint="eastAsia" w:ascii="宋体" w:hAnsi="宋体" w:cs="Arial"/>
          <w:b/>
          <w:color w:val="auto"/>
          <w:sz w:val="28"/>
          <w:szCs w:val="28"/>
          <w:highlight w:val="none"/>
        </w:rPr>
        <w:t>五、</w:t>
      </w:r>
      <w:r>
        <w:rPr>
          <w:rFonts w:hint="eastAsia" w:ascii="宋体" w:hAnsi="宋体" w:cs="Arial"/>
          <w:color w:val="auto"/>
          <w:sz w:val="28"/>
          <w:szCs w:val="28"/>
          <w:highlight w:val="none"/>
        </w:rPr>
        <w:t>本竞选文件在广州国企阳光采购服务平台（http://ygcg.gzggzy.cn）、</w:t>
      </w:r>
      <w:r>
        <w:rPr>
          <w:rFonts w:hint="eastAsia" w:ascii="宋体" w:hAnsi="宋体" w:cs="Arial"/>
          <w:color w:val="auto"/>
          <w:sz w:val="28"/>
          <w:szCs w:val="28"/>
          <w:highlight w:val="none"/>
          <w:lang w:eastAsia="zh-CN"/>
        </w:rPr>
        <w:t>广州城投综合能源投资经营管理有限公司</w:t>
      </w:r>
      <w:r>
        <w:rPr>
          <w:rFonts w:hint="eastAsia" w:ascii="宋体" w:hAnsi="宋体" w:cs="Arial"/>
          <w:color w:val="auto"/>
          <w:sz w:val="28"/>
          <w:szCs w:val="28"/>
          <w:highlight w:val="none"/>
        </w:rPr>
        <w:t>网站（网址：https://www.gzuci.com/）同时发布。本竞选文件在各媒体发布的文本如有不同之处，以在</w:t>
      </w:r>
      <w:r>
        <w:rPr>
          <w:rFonts w:hint="eastAsia" w:ascii="宋体" w:hAnsi="宋体" w:cs="Arial"/>
          <w:color w:val="auto"/>
          <w:sz w:val="28"/>
          <w:szCs w:val="28"/>
          <w:highlight w:val="none"/>
          <w:lang w:eastAsia="zh-CN"/>
        </w:rPr>
        <w:t>广州城投综合能源投资经营管理有限公司</w:t>
      </w:r>
      <w:r>
        <w:rPr>
          <w:rFonts w:hint="eastAsia" w:ascii="宋体" w:hAnsi="宋体" w:cs="Arial"/>
          <w:color w:val="auto"/>
          <w:sz w:val="28"/>
          <w:szCs w:val="28"/>
          <w:highlight w:val="none"/>
        </w:rPr>
        <w:t>网站发布的文本为准。</w:t>
      </w:r>
      <w:r>
        <w:rPr>
          <w:rFonts w:hint="eastAsia" w:cs="宋体" w:asciiTheme="minorEastAsia" w:hAnsiTheme="minorEastAsia"/>
          <w:color w:val="auto"/>
          <w:sz w:val="28"/>
          <w:szCs w:val="28"/>
          <w:highlight w:val="none"/>
        </w:rPr>
        <w:t>项目相关竞选文件等资料请自行在网站下载。</w:t>
      </w:r>
    </w:p>
    <w:p>
      <w:pPr>
        <w:ind w:firstLine="562" w:firstLineChars="200"/>
        <w:rPr>
          <w:rFonts w:ascii="宋体" w:hAnsi="宋体" w:cs="Arial"/>
          <w:b/>
          <w:color w:val="auto"/>
          <w:sz w:val="28"/>
          <w:szCs w:val="28"/>
          <w:highlight w:val="none"/>
        </w:rPr>
      </w:pPr>
      <w:r>
        <w:rPr>
          <w:rFonts w:hint="eastAsia" w:ascii="宋体" w:hAnsi="宋体" w:cs="Arial"/>
          <w:b/>
          <w:color w:val="auto"/>
          <w:sz w:val="28"/>
          <w:szCs w:val="28"/>
          <w:highlight w:val="none"/>
        </w:rPr>
        <w:t>十六、采购人地址和联系方式</w:t>
      </w:r>
    </w:p>
    <w:p>
      <w:pPr>
        <w:ind w:firstLine="560" w:firstLineChars="200"/>
        <w:rPr>
          <w:rFonts w:hint="eastAsia" w:ascii="宋体" w:hAnsi="宋体" w:eastAsia="宋体" w:cs="Arial"/>
          <w:color w:val="auto"/>
          <w:sz w:val="28"/>
          <w:szCs w:val="28"/>
          <w:highlight w:val="none"/>
          <w:lang w:eastAsia="zh-CN"/>
        </w:rPr>
      </w:pPr>
      <w:r>
        <w:rPr>
          <w:rFonts w:hint="eastAsia" w:ascii="宋体" w:hAnsi="宋体" w:cs="Arial"/>
          <w:color w:val="auto"/>
          <w:sz w:val="28"/>
          <w:szCs w:val="28"/>
          <w:highlight w:val="none"/>
        </w:rPr>
        <w:t>采购人：</w:t>
      </w:r>
      <w:r>
        <w:rPr>
          <w:rFonts w:hint="eastAsia" w:ascii="宋体" w:hAnsi="宋体" w:cs="Arial"/>
          <w:color w:val="auto"/>
          <w:sz w:val="28"/>
          <w:szCs w:val="28"/>
          <w:highlight w:val="none"/>
          <w:lang w:eastAsia="zh-CN"/>
        </w:rPr>
        <w:t>广州城投综合能源投资经营管理有限公司</w:t>
      </w:r>
    </w:p>
    <w:p>
      <w:pPr>
        <w:ind w:firstLine="560" w:firstLineChars="200"/>
        <w:rPr>
          <w:rFonts w:ascii="宋体" w:hAnsi="宋体" w:cs="Arial"/>
          <w:color w:val="auto"/>
          <w:sz w:val="28"/>
          <w:szCs w:val="28"/>
          <w:highlight w:val="none"/>
        </w:rPr>
      </w:pPr>
      <w:r>
        <w:rPr>
          <w:rFonts w:hint="eastAsia" w:ascii="宋体" w:hAnsi="宋体" w:cs="Arial"/>
          <w:color w:val="auto"/>
          <w:sz w:val="28"/>
          <w:szCs w:val="28"/>
          <w:highlight w:val="none"/>
        </w:rPr>
        <w:t>联系地址：广州市番禺区大学城明志街</w:t>
      </w:r>
      <w:r>
        <w:rPr>
          <w:rFonts w:ascii="Arial" w:hAnsi="Arial" w:cs="Arial"/>
          <w:color w:val="auto"/>
          <w:sz w:val="28"/>
          <w:szCs w:val="28"/>
          <w:highlight w:val="none"/>
        </w:rPr>
        <w:t>1</w:t>
      </w:r>
      <w:r>
        <w:rPr>
          <w:rFonts w:hint="eastAsia" w:ascii="宋体" w:hAnsi="宋体" w:cs="Arial"/>
          <w:color w:val="auto"/>
          <w:sz w:val="28"/>
          <w:szCs w:val="28"/>
          <w:highlight w:val="none"/>
        </w:rPr>
        <w:t>号信息枢纽楼9楼</w:t>
      </w:r>
    </w:p>
    <w:p>
      <w:pPr>
        <w:ind w:firstLine="560" w:firstLineChars="200"/>
        <w:rPr>
          <w:rFonts w:ascii="Arial" w:hAnsi="Arial" w:cs="Arial"/>
          <w:color w:val="auto"/>
          <w:sz w:val="28"/>
          <w:szCs w:val="28"/>
          <w:highlight w:val="none"/>
        </w:rPr>
      </w:pPr>
      <w:r>
        <w:rPr>
          <w:rFonts w:hint="eastAsia" w:ascii="宋体" w:hAnsi="宋体" w:cs="Arial"/>
          <w:color w:val="auto"/>
          <w:sz w:val="28"/>
          <w:szCs w:val="28"/>
          <w:highlight w:val="none"/>
        </w:rPr>
        <w:t>联系人：</w:t>
      </w:r>
      <w:r>
        <w:rPr>
          <w:rFonts w:hint="eastAsia" w:ascii="宋体" w:hAnsi="宋体" w:cs="Arial"/>
          <w:color w:val="auto"/>
          <w:sz w:val="28"/>
          <w:szCs w:val="28"/>
          <w:highlight w:val="none"/>
          <w:lang w:val="en-US" w:eastAsia="zh-CN"/>
        </w:rPr>
        <w:t>詹</w:t>
      </w:r>
      <w:r>
        <w:rPr>
          <w:rFonts w:hint="eastAsia" w:ascii="宋体" w:hAnsi="宋体" w:cs="Arial"/>
          <w:color w:val="auto"/>
          <w:sz w:val="28"/>
          <w:szCs w:val="28"/>
          <w:highlight w:val="none"/>
        </w:rPr>
        <w:t>工</w:t>
      </w:r>
    </w:p>
    <w:p>
      <w:pPr>
        <w:ind w:firstLine="560" w:firstLineChars="200"/>
        <w:rPr>
          <w:rFonts w:ascii="Arial" w:hAnsi="Arial" w:cs="Arial"/>
          <w:color w:val="auto"/>
          <w:sz w:val="28"/>
          <w:szCs w:val="28"/>
          <w:highlight w:val="none"/>
        </w:rPr>
      </w:pPr>
      <w:r>
        <w:rPr>
          <w:rFonts w:hint="eastAsia" w:ascii="宋体" w:hAnsi="宋体" w:cs="Arial"/>
          <w:color w:val="auto"/>
          <w:sz w:val="28"/>
          <w:szCs w:val="28"/>
          <w:highlight w:val="none"/>
        </w:rPr>
        <w:t>联系电话：0</w:t>
      </w:r>
      <w:r>
        <w:rPr>
          <w:rFonts w:ascii="宋体" w:hAnsi="宋体" w:cs="Arial"/>
          <w:color w:val="auto"/>
          <w:sz w:val="28"/>
          <w:szCs w:val="28"/>
          <w:highlight w:val="none"/>
        </w:rPr>
        <w:t>20-39302078</w:t>
      </w:r>
    </w:p>
    <w:p>
      <w:pPr>
        <w:rPr>
          <w:rFonts w:hint="default" w:ascii="宋体" w:hAnsi="宋体" w:eastAsia="宋体" w:cs="Arial"/>
          <w:color w:val="auto"/>
          <w:sz w:val="28"/>
          <w:szCs w:val="28"/>
          <w:highlight w:val="none"/>
          <w:lang w:val="en-US" w:eastAsia="zh-CN"/>
        </w:rPr>
      </w:pPr>
      <w:r>
        <w:rPr>
          <w:rFonts w:hint="eastAsia" w:ascii="宋体" w:hAnsi="宋体" w:cs="Arial"/>
          <w:color w:val="auto"/>
          <w:sz w:val="28"/>
          <w:szCs w:val="28"/>
          <w:highlight w:val="none"/>
        </w:rPr>
        <w:t>附件：1、报价一览表</w:t>
      </w:r>
    </w:p>
    <w:p>
      <w:pPr>
        <w:ind w:firstLine="840" w:firstLineChars="300"/>
        <w:rPr>
          <w:rFonts w:ascii="宋体" w:hAnsi="宋体" w:cs="Arial"/>
          <w:color w:val="auto"/>
          <w:sz w:val="28"/>
          <w:szCs w:val="28"/>
          <w:highlight w:val="none"/>
        </w:rPr>
      </w:pPr>
      <w:r>
        <w:rPr>
          <w:rFonts w:ascii="宋体" w:hAnsi="宋体" w:cs="Arial"/>
          <w:color w:val="auto"/>
          <w:sz w:val="28"/>
          <w:szCs w:val="28"/>
          <w:highlight w:val="none"/>
        </w:rPr>
        <w:t>2</w:t>
      </w:r>
      <w:r>
        <w:rPr>
          <w:rFonts w:hint="eastAsia" w:ascii="宋体" w:hAnsi="宋体" w:cs="Arial"/>
          <w:color w:val="auto"/>
          <w:sz w:val="28"/>
          <w:szCs w:val="28"/>
          <w:highlight w:val="none"/>
        </w:rPr>
        <w:t>、供应商调查表</w:t>
      </w:r>
    </w:p>
    <w:p>
      <w:pPr>
        <w:ind w:firstLine="840" w:firstLineChars="300"/>
        <w:rPr>
          <w:rFonts w:ascii="宋体" w:hAnsi="宋体" w:cs="Arial"/>
          <w:color w:val="auto"/>
          <w:sz w:val="28"/>
          <w:szCs w:val="28"/>
          <w:highlight w:val="none"/>
        </w:rPr>
      </w:pPr>
      <w:r>
        <w:rPr>
          <w:rFonts w:hint="eastAsia" w:ascii="宋体" w:hAnsi="宋体" w:cs="Arial"/>
          <w:color w:val="auto"/>
          <w:sz w:val="28"/>
          <w:szCs w:val="28"/>
          <w:highlight w:val="none"/>
        </w:rPr>
        <w:t>3、法定代表人身份证明书</w:t>
      </w:r>
    </w:p>
    <w:p>
      <w:pPr>
        <w:ind w:firstLine="840" w:firstLineChars="300"/>
        <w:rPr>
          <w:rFonts w:ascii="宋体" w:hAnsi="宋体" w:cs="Arial"/>
          <w:color w:val="auto"/>
          <w:sz w:val="28"/>
          <w:szCs w:val="28"/>
          <w:highlight w:val="none"/>
        </w:rPr>
      </w:pPr>
      <w:r>
        <w:rPr>
          <w:rFonts w:hint="eastAsia" w:ascii="宋体" w:hAnsi="宋体" w:cs="Arial"/>
          <w:color w:val="auto"/>
          <w:sz w:val="28"/>
          <w:szCs w:val="28"/>
          <w:highlight w:val="none"/>
        </w:rPr>
        <w:t>4、法定代表人授权委托证明书</w:t>
      </w:r>
    </w:p>
    <w:p>
      <w:pPr>
        <w:ind w:firstLine="840" w:firstLineChars="300"/>
        <w:rPr>
          <w:rFonts w:ascii="宋体" w:hAnsi="宋体" w:cs="Arial"/>
          <w:color w:val="auto"/>
          <w:sz w:val="28"/>
          <w:szCs w:val="28"/>
          <w:highlight w:val="none"/>
        </w:rPr>
      </w:pPr>
      <w:r>
        <w:rPr>
          <w:rFonts w:hint="eastAsia" w:ascii="宋体" w:hAnsi="宋体" w:cs="Arial"/>
          <w:color w:val="auto"/>
          <w:sz w:val="28"/>
          <w:szCs w:val="28"/>
          <w:highlight w:val="none"/>
        </w:rPr>
        <w:t>5、投标人资格审查表</w:t>
      </w:r>
    </w:p>
    <w:p>
      <w:pPr>
        <w:ind w:firstLine="840" w:firstLineChars="300"/>
        <w:rPr>
          <w:rFonts w:hint="eastAsia" w:ascii="宋体" w:hAnsi="宋体" w:cs="Arial"/>
          <w:color w:val="auto"/>
          <w:sz w:val="28"/>
          <w:szCs w:val="28"/>
          <w:highlight w:val="none"/>
        </w:rPr>
      </w:pPr>
      <w:r>
        <w:rPr>
          <w:rFonts w:hint="eastAsia" w:ascii="宋体" w:hAnsi="宋体" w:cs="Arial"/>
          <w:color w:val="auto"/>
          <w:sz w:val="28"/>
          <w:szCs w:val="28"/>
          <w:highlight w:val="none"/>
        </w:rPr>
        <w:t>6、投标文件有效性审查表</w:t>
      </w:r>
    </w:p>
    <w:p>
      <w:pPr>
        <w:ind w:firstLine="840" w:firstLineChars="300"/>
        <w:rPr>
          <w:rFonts w:hint="default" w:ascii="宋体" w:hAnsi="宋体" w:eastAsia="宋体" w:cs="Arial"/>
          <w:color w:val="auto"/>
          <w:sz w:val="28"/>
          <w:szCs w:val="28"/>
          <w:highlight w:val="none"/>
          <w:lang w:val="en-US" w:eastAsia="zh-CN"/>
        </w:rPr>
      </w:pPr>
      <w:r>
        <w:rPr>
          <w:rFonts w:hint="eastAsia" w:ascii="宋体" w:hAnsi="宋体" w:cs="Arial"/>
          <w:color w:val="auto"/>
          <w:sz w:val="28"/>
          <w:szCs w:val="28"/>
          <w:highlight w:val="none"/>
          <w:lang w:val="en-US" w:eastAsia="zh-CN"/>
        </w:rPr>
        <w:t>7、消防图纸（另册）</w:t>
      </w:r>
    </w:p>
    <w:p>
      <w:pPr>
        <w:pStyle w:val="5"/>
        <w:spacing w:line="360" w:lineRule="auto"/>
        <w:ind w:left="0" w:leftChars="0" w:right="1120" w:firstLine="2520" w:firstLineChars="900"/>
        <w:rPr>
          <w:color w:val="auto"/>
          <w:sz w:val="28"/>
          <w:szCs w:val="28"/>
          <w:highlight w:val="none"/>
        </w:rPr>
      </w:pPr>
    </w:p>
    <w:p>
      <w:pPr>
        <w:pStyle w:val="5"/>
        <w:spacing w:line="360" w:lineRule="auto"/>
        <w:ind w:left="0" w:leftChars="0" w:right="1120" w:firstLine="1400" w:firstLineChars="500"/>
        <w:rPr>
          <w:rFonts w:hint="eastAsia" w:eastAsia="宋体"/>
          <w:color w:val="auto"/>
          <w:sz w:val="28"/>
          <w:szCs w:val="28"/>
          <w:highlight w:val="none"/>
          <w:lang w:eastAsia="zh-CN"/>
        </w:rPr>
      </w:pPr>
      <w:r>
        <w:rPr>
          <w:rFonts w:hint="eastAsia"/>
          <w:color w:val="auto"/>
          <w:sz w:val="28"/>
          <w:szCs w:val="28"/>
          <w:highlight w:val="none"/>
        </w:rPr>
        <w:t>采购人：</w:t>
      </w:r>
      <w:r>
        <w:rPr>
          <w:rFonts w:hint="eastAsia"/>
          <w:color w:val="auto"/>
          <w:sz w:val="28"/>
          <w:szCs w:val="28"/>
          <w:highlight w:val="none"/>
          <w:lang w:eastAsia="zh-CN"/>
        </w:rPr>
        <w:t>广州城投综合能源投资经营管理有限公司</w:t>
      </w:r>
    </w:p>
    <w:p>
      <w:pPr>
        <w:spacing w:line="360" w:lineRule="auto"/>
        <w:ind w:firstLine="4760" w:firstLineChars="1700"/>
        <w:rPr>
          <w:color w:val="auto"/>
          <w:sz w:val="28"/>
          <w:szCs w:val="28"/>
          <w:highlight w:val="none"/>
        </w:rPr>
      </w:pPr>
      <w:r>
        <w:rPr>
          <w:rFonts w:hint="eastAsia"/>
          <w:color w:val="auto"/>
          <w:sz w:val="28"/>
          <w:szCs w:val="28"/>
          <w:highlight w:val="none"/>
        </w:rPr>
        <w:t>20</w:t>
      </w:r>
      <w:r>
        <w:rPr>
          <w:color w:val="auto"/>
          <w:sz w:val="28"/>
          <w:szCs w:val="28"/>
          <w:highlight w:val="none"/>
        </w:rPr>
        <w:t>2</w:t>
      </w:r>
      <w:r>
        <w:rPr>
          <w:rFonts w:hint="eastAsia"/>
          <w:color w:val="auto"/>
          <w:sz w:val="28"/>
          <w:szCs w:val="28"/>
          <w:highlight w:val="none"/>
          <w:lang w:val="en-US" w:eastAsia="zh-CN"/>
        </w:rPr>
        <w:t>3</w:t>
      </w:r>
      <w:r>
        <w:rPr>
          <w:rFonts w:hint="eastAsia"/>
          <w:color w:val="auto"/>
          <w:sz w:val="28"/>
          <w:szCs w:val="28"/>
          <w:highlight w:val="none"/>
        </w:rPr>
        <w:t>年</w:t>
      </w:r>
      <w:r>
        <w:rPr>
          <w:rFonts w:hint="eastAsia"/>
          <w:color w:val="auto"/>
          <w:sz w:val="28"/>
          <w:szCs w:val="28"/>
          <w:highlight w:val="none"/>
          <w:lang w:val="en-US" w:eastAsia="zh-CN"/>
        </w:rPr>
        <w:t>7</w:t>
      </w:r>
      <w:r>
        <w:rPr>
          <w:rFonts w:hint="eastAsia"/>
          <w:color w:val="auto"/>
          <w:sz w:val="28"/>
          <w:szCs w:val="28"/>
          <w:highlight w:val="none"/>
        </w:rPr>
        <w:t>月</w:t>
      </w:r>
      <w:r>
        <w:rPr>
          <w:rFonts w:hint="default"/>
          <w:color w:val="auto"/>
          <w:sz w:val="28"/>
          <w:szCs w:val="28"/>
          <w:highlight w:val="none"/>
          <w:lang w:val="en-US" w:eastAsia="zh-CN"/>
        </w:rPr>
        <w:t xml:space="preserve"> </w:t>
      </w:r>
      <w:bookmarkStart w:id="0" w:name="_GoBack"/>
      <w:bookmarkEnd w:id="0"/>
      <w:r>
        <w:rPr>
          <w:rFonts w:hint="eastAsia"/>
          <w:color w:val="auto"/>
          <w:sz w:val="28"/>
          <w:szCs w:val="28"/>
          <w:highlight w:val="none"/>
        </w:rPr>
        <w:t>日</w:t>
      </w:r>
    </w:p>
    <w:p>
      <w:pPr>
        <w:spacing w:line="400" w:lineRule="exact"/>
        <w:rPr>
          <w:rFonts w:ascii="宋体" w:hAnsi="宋体" w:cs="Arial"/>
          <w:color w:val="auto"/>
          <w:sz w:val="30"/>
          <w:szCs w:val="30"/>
          <w:highlight w:val="none"/>
        </w:rPr>
      </w:pPr>
    </w:p>
    <w:p>
      <w:pPr>
        <w:widowControl/>
        <w:jc w:val="left"/>
        <w:rPr>
          <w:rFonts w:ascii="宋体" w:hAnsi="宋体" w:cs="Arial"/>
          <w:color w:val="auto"/>
          <w:sz w:val="30"/>
          <w:szCs w:val="30"/>
          <w:highlight w:val="none"/>
        </w:rPr>
      </w:pPr>
      <w:r>
        <w:rPr>
          <w:rFonts w:ascii="宋体" w:hAnsi="宋体" w:cs="Arial"/>
          <w:color w:val="auto"/>
          <w:sz w:val="30"/>
          <w:szCs w:val="30"/>
          <w:highlight w:val="none"/>
        </w:rPr>
        <w:br w:type="page"/>
      </w:r>
    </w:p>
    <w:p>
      <w:pPr>
        <w:spacing w:line="400" w:lineRule="exact"/>
        <w:rPr>
          <w:rFonts w:hint="eastAsia" w:ascii="宋体" w:hAnsi="宋体" w:cs="Arial"/>
          <w:color w:val="auto"/>
          <w:sz w:val="30"/>
          <w:szCs w:val="30"/>
          <w:highlight w:val="none"/>
        </w:rPr>
      </w:pPr>
      <w:r>
        <w:rPr>
          <w:rFonts w:hint="eastAsia" w:ascii="宋体" w:hAnsi="宋体" w:cs="Arial"/>
          <w:color w:val="auto"/>
          <w:sz w:val="30"/>
          <w:szCs w:val="30"/>
          <w:highlight w:val="none"/>
        </w:rPr>
        <w:t>附件1</w:t>
      </w:r>
    </w:p>
    <w:p>
      <w:pPr>
        <w:spacing w:line="400" w:lineRule="exact"/>
        <w:rPr>
          <w:rFonts w:hint="default" w:ascii="宋体" w:hAnsi="宋体" w:eastAsia="宋体" w:cs="Arial"/>
          <w:color w:val="auto"/>
          <w:sz w:val="30"/>
          <w:szCs w:val="30"/>
          <w:highlight w:val="none"/>
          <w:lang w:val="en-US" w:eastAsia="zh-CN"/>
        </w:rPr>
      </w:pPr>
      <w:r>
        <w:rPr>
          <w:rFonts w:hint="eastAsia" w:ascii="宋体" w:hAnsi="宋体" w:cs="Arial"/>
          <w:color w:val="auto"/>
          <w:sz w:val="30"/>
          <w:szCs w:val="30"/>
          <w:highlight w:val="none"/>
          <w:lang w:val="en-US" w:eastAsia="zh-CN"/>
        </w:rPr>
        <w:t>附件1.1</w:t>
      </w:r>
    </w:p>
    <w:p>
      <w:pPr>
        <w:pStyle w:val="7"/>
        <w:ind w:firstLine="0" w:firstLineChars="0"/>
        <w:jc w:val="center"/>
        <w:rPr>
          <w:rFonts w:asciiTheme="minorEastAsia" w:hAnsiTheme="minorEastAsia" w:eastAsiaTheme="minorEastAsia"/>
          <w:b/>
          <w:color w:val="auto"/>
          <w:sz w:val="28"/>
          <w:szCs w:val="28"/>
          <w:highlight w:val="none"/>
        </w:rPr>
      </w:pPr>
      <w:r>
        <w:rPr>
          <w:rFonts w:asciiTheme="minorEastAsia" w:hAnsiTheme="minorEastAsia" w:eastAsiaTheme="minorEastAsia"/>
          <w:b/>
          <w:color w:val="auto"/>
          <w:sz w:val="28"/>
          <w:szCs w:val="28"/>
          <w:highlight w:val="none"/>
        </w:rPr>
        <w:t>报价一览表</w:t>
      </w:r>
    </w:p>
    <w:p>
      <w:pPr>
        <w:spacing w:line="360" w:lineRule="auto"/>
        <w:rPr>
          <w:rFonts w:hint="eastAsia" w:hAnsi="宋体" w:eastAsia="宋体"/>
          <w:color w:val="auto"/>
          <w:szCs w:val="21"/>
          <w:highlight w:val="none"/>
          <w:lang w:eastAsia="zh-CN"/>
        </w:rPr>
      </w:pPr>
      <w:r>
        <w:rPr>
          <w:rFonts w:hint="eastAsia" w:hAnsi="宋体"/>
          <w:color w:val="auto"/>
          <w:szCs w:val="21"/>
          <w:highlight w:val="none"/>
        </w:rPr>
        <w:t>项目名称：</w:t>
      </w:r>
      <w:r>
        <w:rPr>
          <w:rFonts w:hint="eastAsia" w:hAnsi="宋体"/>
          <w:color w:val="auto"/>
          <w:szCs w:val="21"/>
          <w:highlight w:val="none"/>
          <w:lang w:eastAsia="zh-CN"/>
        </w:rPr>
        <w:t>广州大学城公司消防系统维护保养项目</w:t>
      </w:r>
    </w:p>
    <w:tbl>
      <w:tblPr>
        <w:tblStyle w:val="15"/>
        <w:tblW w:w="90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268"/>
        <w:gridCol w:w="2126"/>
        <w:gridCol w:w="3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737" w:type="dxa"/>
            <w:vAlign w:val="center"/>
          </w:tcPr>
          <w:p>
            <w:pPr>
              <w:rPr>
                <w:rFonts w:hAnsi="宋体"/>
                <w:bCs/>
                <w:color w:val="auto"/>
                <w:sz w:val="24"/>
                <w:highlight w:val="none"/>
              </w:rPr>
            </w:pPr>
            <w:r>
              <w:rPr>
                <w:rFonts w:hint="eastAsia" w:hAnsi="宋体"/>
                <w:bCs/>
                <w:color w:val="auto"/>
                <w:sz w:val="24"/>
                <w:highlight w:val="none"/>
              </w:rPr>
              <w:t>序号</w:t>
            </w:r>
          </w:p>
        </w:tc>
        <w:tc>
          <w:tcPr>
            <w:tcW w:w="2268" w:type="dxa"/>
            <w:vAlign w:val="center"/>
          </w:tcPr>
          <w:p>
            <w:pPr>
              <w:rPr>
                <w:rFonts w:hAnsi="宋体"/>
                <w:bCs/>
                <w:color w:val="auto"/>
                <w:sz w:val="24"/>
                <w:highlight w:val="none"/>
              </w:rPr>
            </w:pPr>
            <w:r>
              <w:rPr>
                <w:rFonts w:hint="eastAsia" w:hAnsi="宋体"/>
                <w:bCs/>
                <w:color w:val="auto"/>
                <w:sz w:val="24"/>
                <w:highlight w:val="none"/>
              </w:rPr>
              <w:t>项目名称</w:t>
            </w:r>
          </w:p>
        </w:tc>
        <w:tc>
          <w:tcPr>
            <w:tcW w:w="5996" w:type="dxa"/>
            <w:gridSpan w:val="2"/>
            <w:vAlign w:val="center"/>
          </w:tcPr>
          <w:p>
            <w:pPr>
              <w:rPr>
                <w:rFonts w:hAnsi="宋体"/>
                <w:bCs/>
                <w:color w:val="auto"/>
                <w:sz w:val="24"/>
                <w:highlight w:val="none"/>
              </w:rPr>
            </w:pPr>
            <w:r>
              <w:rPr>
                <w:rFonts w:hint="eastAsia" w:hAnsi="宋体"/>
                <w:bCs/>
                <w:color w:val="auto"/>
                <w:sz w:val="24"/>
                <w:highlight w:val="none"/>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rPr>
                <w:rFonts w:hAnsi="宋体"/>
                <w:color w:val="auto"/>
                <w:sz w:val="24"/>
                <w:highlight w:val="none"/>
              </w:rPr>
            </w:pPr>
            <w:r>
              <w:rPr>
                <w:rFonts w:hint="eastAsia" w:hAnsi="宋体"/>
                <w:color w:val="auto"/>
                <w:sz w:val="24"/>
                <w:highlight w:val="none"/>
              </w:rPr>
              <w:t>1</w:t>
            </w:r>
          </w:p>
        </w:tc>
        <w:tc>
          <w:tcPr>
            <w:tcW w:w="2268" w:type="dxa"/>
            <w:vAlign w:val="center"/>
          </w:tcPr>
          <w:p>
            <w:pPr>
              <w:rPr>
                <w:rFonts w:hAnsi="宋体"/>
                <w:color w:val="auto"/>
                <w:sz w:val="24"/>
                <w:highlight w:val="none"/>
              </w:rPr>
            </w:pPr>
            <w:r>
              <w:rPr>
                <w:rFonts w:hint="eastAsia" w:hAnsi="宋体"/>
                <w:color w:val="auto"/>
                <w:sz w:val="24"/>
                <w:highlight w:val="none"/>
              </w:rPr>
              <w:t>投标总价</w:t>
            </w:r>
          </w:p>
        </w:tc>
        <w:tc>
          <w:tcPr>
            <w:tcW w:w="5996" w:type="dxa"/>
            <w:gridSpan w:val="2"/>
            <w:vAlign w:val="center"/>
          </w:tcPr>
          <w:p>
            <w:pPr>
              <w:rPr>
                <w:rFonts w:hAnsi="宋体"/>
                <w:color w:val="auto"/>
                <w:sz w:val="24"/>
                <w:highlight w:val="none"/>
              </w:rPr>
            </w:pPr>
            <w:r>
              <w:rPr>
                <w:rFonts w:hint="eastAsia" w:ascii="宋体" w:hAnsi="宋体"/>
                <w:color w:val="auto"/>
                <w:sz w:val="24"/>
                <w:highlight w:val="none"/>
              </w:rPr>
              <w:t>大写</w:t>
            </w:r>
            <w:r>
              <w:rPr>
                <w:rFonts w:hint="eastAsia" w:hAnsi="宋体"/>
                <w:color w:val="auto"/>
                <w:sz w:val="24"/>
                <w:highlight w:val="none"/>
              </w:rPr>
              <w:t>：</w:t>
            </w:r>
          </w:p>
          <w:p>
            <w:pPr>
              <w:rPr>
                <w:rFonts w:hAnsi="宋体"/>
                <w:color w:val="auto"/>
                <w:sz w:val="24"/>
                <w:highlight w:val="none"/>
              </w:rPr>
            </w:pPr>
            <w:r>
              <w:rPr>
                <w:rFonts w:hint="eastAsia" w:hAnsi="宋体"/>
                <w:color w:val="auto"/>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rPr>
                <w:rFonts w:hAnsi="宋体"/>
                <w:color w:val="auto"/>
                <w:sz w:val="24"/>
                <w:highlight w:val="none"/>
              </w:rPr>
            </w:pPr>
            <w:r>
              <w:rPr>
                <w:rFonts w:hAnsi="宋体"/>
                <w:color w:val="auto"/>
                <w:sz w:val="24"/>
                <w:highlight w:val="none"/>
              </w:rPr>
              <w:t>2</w:t>
            </w:r>
          </w:p>
        </w:tc>
        <w:tc>
          <w:tcPr>
            <w:tcW w:w="2268" w:type="dxa"/>
            <w:vAlign w:val="center"/>
          </w:tcPr>
          <w:p>
            <w:pPr>
              <w:rPr>
                <w:rFonts w:hAnsi="宋体"/>
                <w:color w:val="auto"/>
                <w:sz w:val="24"/>
                <w:highlight w:val="none"/>
              </w:rPr>
            </w:pPr>
            <w:r>
              <w:rPr>
                <w:rFonts w:hint="eastAsia" w:hAnsi="宋体"/>
                <w:color w:val="auto"/>
                <w:sz w:val="24"/>
                <w:highlight w:val="none"/>
              </w:rPr>
              <w:t>服务期限</w:t>
            </w:r>
          </w:p>
        </w:tc>
        <w:tc>
          <w:tcPr>
            <w:tcW w:w="5996" w:type="dxa"/>
            <w:gridSpan w:val="2"/>
            <w:vAlign w:val="center"/>
          </w:tcPr>
          <w:p>
            <w:pP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7" w:type="dxa"/>
            <w:vMerge w:val="restart"/>
            <w:vAlign w:val="center"/>
          </w:tcPr>
          <w:p>
            <w:pPr>
              <w:rPr>
                <w:rFonts w:hAnsi="宋体"/>
                <w:color w:val="auto"/>
                <w:sz w:val="24"/>
                <w:highlight w:val="none"/>
              </w:rPr>
            </w:pPr>
            <w:r>
              <w:rPr>
                <w:rFonts w:hAnsi="宋体"/>
                <w:color w:val="auto"/>
                <w:sz w:val="24"/>
                <w:highlight w:val="none"/>
              </w:rPr>
              <w:t>3</w:t>
            </w:r>
          </w:p>
        </w:tc>
        <w:tc>
          <w:tcPr>
            <w:tcW w:w="2268" w:type="dxa"/>
            <w:vMerge w:val="restart"/>
            <w:vAlign w:val="center"/>
          </w:tcPr>
          <w:p>
            <w:pPr>
              <w:rPr>
                <w:rFonts w:hAnsi="宋体"/>
                <w:color w:val="auto"/>
                <w:sz w:val="24"/>
                <w:highlight w:val="none"/>
              </w:rPr>
            </w:pPr>
            <w:r>
              <w:rPr>
                <w:rFonts w:hint="eastAsia" w:hAnsi="宋体"/>
                <w:color w:val="auto"/>
                <w:sz w:val="24"/>
                <w:highlight w:val="none"/>
              </w:rPr>
              <w:t>拟委派的项目</w:t>
            </w:r>
          </w:p>
          <w:p>
            <w:pPr>
              <w:rPr>
                <w:rFonts w:hAnsi="宋体"/>
                <w:color w:val="auto"/>
                <w:sz w:val="24"/>
                <w:highlight w:val="none"/>
              </w:rPr>
            </w:pPr>
            <w:r>
              <w:rPr>
                <w:rFonts w:hint="eastAsia" w:hAnsi="宋体"/>
                <w:color w:val="auto"/>
                <w:sz w:val="24"/>
                <w:highlight w:val="none"/>
              </w:rPr>
              <w:t>负责人</w:t>
            </w:r>
          </w:p>
        </w:tc>
        <w:tc>
          <w:tcPr>
            <w:tcW w:w="2126" w:type="dxa"/>
            <w:vAlign w:val="center"/>
          </w:tcPr>
          <w:p>
            <w:pPr>
              <w:rPr>
                <w:rFonts w:hAnsi="宋体"/>
                <w:color w:val="auto"/>
                <w:sz w:val="24"/>
                <w:highlight w:val="none"/>
              </w:rPr>
            </w:pPr>
            <w:r>
              <w:rPr>
                <w:rFonts w:hint="eastAsia" w:hAnsi="宋体"/>
                <w:color w:val="auto"/>
                <w:sz w:val="24"/>
                <w:highlight w:val="none"/>
              </w:rPr>
              <w:t>姓名</w:t>
            </w:r>
          </w:p>
        </w:tc>
        <w:tc>
          <w:tcPr>
            <w:tcW w:w="3870" w:type="dxa"/>
            <w:vAlign w:val="center"/>
          </w:tcPr>
          <w:p>
            <w:pP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7" w:type="dxa"/>
            <w:vMerge w:val="continue"/>
            <w:vAlign w:val="center"/>
          </w:tcPr>
          <w:p>
            <w:pPr>
              <w:rPr>
                <w:rFonts w:hAnsi="宋体"/>
                <w:color w:val="auto"/>
                <w:sz w:val="24"/>
                <w:highlight w:val="none"/>
              </w:rPr>
            </w:pPr>
          </w:p>
        </w:tc>
        <w:tc>
          <w:tcPr>
            <w:tcW w:w="2268" w:type="dxa"/>
            <w:vMerge w:val="continue"/>
            <w:vAlign w:val="center"/>
          </w:tcPr>
          <w:p>
            <w:pPr>
              <w:rPr>
                <w:rFonts w:hAnsi="宋体"/>
                <w:color w:val="auto"/>
                <w:sz w:val="24"/>
                <w:highlight w:val="none"/>
              </w:rPr>
            </w:pPr>
          </w:p>
        </w:tc>
        <w:tc>
          <w:tcPr>
            <w:tcW w:w="2126" w:type="dxa"/>
            <w:vAlign w:val="center"/>
          </w:tcPr>
          <w:p>
            <w:pPr>
              <w:rPr>
                <w:rFonts w:hAnsi="宋体"/>
                <w:color w:val="auto"/>
                <w:sz w:val="24"/>
                <w:highlight w:val="none"/>
              </w:rPr>
            </w:pPr>
            <w:r>
              <w:rPr>
                <w:rFonts w:hint="eastAsia" w:hAnsi="宋体"/>
                <w:color w:val="auto"/>
                <w:sz w:val="24"/>
                <w:highlight w:val="none"/>
              </w:rPr>
              <w:t>技术职称</w:t>
            </w:r>
          </w:p>
        </w:tc>
        <w:tc>
          <w:tcPr>
            <w:tcW w:w="3870" w:type="dxa"/>
            <w:vAlign w:val="center"/>
          </w:tcPr>
          <w:p>
            <w:pPr>
              <w:rPr>
                <w:rFonts w:hAnsi="宋体"/>
                <w:color w:val="auto"/>
                <w:sz w:val="24"/>
                <w:highlight w:val="none"/>
              </w:rPr>
            </w:pPr>
          </w:p>
        </w:tc>
      </w:tr>
    </w:tbl>
    <w:p>
      <w:pPr>
        <w:rPr>
          <w:rFonts w:hAnsi="宋体"/>
          <w:color w:val="auto"/>
          <w:highlight w:val="none"/>
        </w:rPr>
      </w:pPr>
    </w:p>
    <w:p>
      <w:pPr>
        <w:spacing w:line="360" w:lineRule="auto"/>
        <w:rPr>
          <w:rFonts w:hAnsi="宋体"/>
          <w:color w:val="auto"/>
          <w:highlight w:val="none"/>
        </w:rPr>
      </w:pPr>
      <w:r>
        <w:rPr>
          <w:rFonts w:hint="eastAsia" w:hAnsi="宋体"/>
          <w:color w:val="auto"/>
          <w:highlight w:val="none"/>
        </w:rPr>
        <w:t>注：（1）投标总价为人民币报价。</w:t>
      </w:r>
    </w:p>
    <w:p>
      <w:pPr>
        <w:spacing w:line="360" w:lineRule="auto"/>
        <w:ind w:firstLine="420" w:firstLineChars="200"/>
        <w:rPr>
          <w:rFonts w:hAnsi="宋体"/>
          <w:color w:val="auto"/>
          <w:highlight w:val="none"/>
        </w:rPr>
      </w:pPr>
      <w:r>
        <w:rPr>
          <w:rFonts w:hint="eastAsia" w:hAnsi="宋体"/>
          <w:color w:val="auto"/>
          <w:highlight w:val="none"/>
        </w:rPr>
        <w:t>（2）投标总价是所有需采购人支付的本次项目采购的金额总数，应包括竞选文件要求的全部内容，投标人完成本项目（如果中标）所必须的</w:t>
      </w:r>
      <w:r>
        <w:rPr>
          <w:rFonts w:hint="eastAsia" w:hAnsi="宋体"/>
          <w:bCs/>
          <w:color w:val="auto"/>
          <w:highlight w:val="none"/>
        </w:rPr>
        <w:t>所有成本费用和投标人应承担的一切税费</w:t>
      </w:r>
      <w:r>
        <w:rPr>
          <w:rFonts w:hint="eastAsia" w:hAnsi="宋体"/>
          <w:color w:val="auto"/>
          <w:highlight w:val="none"/>
        </w:rPr>
        <w:t>，包括但不限于全部人工费、材料、设备、工具、机具、安装运输、规费、措施费、合理利润、管理费、税费等及清理现场的费用、合同实施过程中应预见和不可预见费用等等。</w:t>
      </w:r>
    </w:p>
    <w:p>
      <w:pPr>
        <w:tabs>
          <w:tab w:val="left" w:pos="8364"/>
        </w:tabs>
        <w:spacing w:line="360" w:lineRule="auto"/>
        <w:ind w:firstLine="420" w:firstLineChars="200"/>
        <w:rPr>
          <w:rFonts w:hAnsi="宋体"/>
          <w:bCs/>
          <w:color w:val="auto"/>
          <w:highlight w:val="none"/>
        </w:rPr>
      </w:pPr>
      <w:r>
        <w:rPr>
          <w:rFonts w:hint="eastAsia" w:hAnsi="宋体"/>
          <w:color w:val="auto"/>
          <w:highlight w:val="none"/>
        </w:rPr>
        <w:t>（3）若用小写表示的金额和用大写表示的金额不一致，以大写表示的金额为准。</w:t>
      </w:r>
    </w:p>
    <w:p>
      <w:pPr>
        <w:spacing w:line="400" w:lineRule="exact"/>
        <w:rPr>
          <w:rFonts w:hAnsi="宋体"/>
          <w:color w:val="auto"/>
          <w:szCs w:val="21"/>
          <w:highlight w:val="none"/>
        </w:rPr>
      </w:pPr>
    </w:p>
    <w:p>
      <w:pPr>
        <w:spacing w:line="400" w:lineRule="exact"/>
        <w:rPr>
          <w:rFonts w:hAnsi="宋体"/>
          <w:color w:val="auto"/>
          <w:szCs w:val="21"/>
          <w:highlight w:val="none"/>
        </w:rPr>
      </w:pPr>
    </w:p>
    <w:p>
      <w:pPr>
        <w:spacing w:line="400" w:lineRule="exact"/>
        <w:rPr>
          <w:rFonts w:hAnsi="宋体"/>
          <w:color w:val="auto"/>
          <w:szCs w:val="21"/>
          <w:highlight w:val="none"/>
        </w:rPr>
      </w:pPr>
      <w:r>
        <w:rPr>
          <w:rFonts w:hint="eastAsia" w:hAnsi="宋体"/>
          <w:color w:val="auto"/>
          <w:szCs w:val="21"/>
          <w:highlight w:val="none"/>
        </w:rPr>
        <w:t>投标人名称（盖章）：</w:t>
      </w:r>
    </w:p>
    <w:p>
      <w:pPr>
        <w:rPr>
          <w:rFonts w:hAnsi="宋体"/>
          <w:color w:val="auto"/>
          <w:szCs w:val="21"/>
          <w:highlight w:val="none"/>
        </w:rPr>
      </w:pPr>
    </w:p>
    <w:p>
      <w:pPr>
        <w:rPr>
          <w:rFonts w:hAnsi="宋体"/>
          <w:color w:val="auto"/>
          <w:szCs w:val="21"/>
          <w:highlight w:val="none"/>
        </w:rPr>
      </w:pPr>
    </w:p>
    <w:p>
      <w:pPr>
        <w:rPr>
          <w:rFonts w:hint="eastAsia" w:hAnsi="宋体"/>
          <w:color w:val="auto"/>
          <w:szCs w:val="21"/>
          <w:highlight w:val="none"/>
        </w:rPr>
      </w:pPr>
      <w:r>
        <w:rPr>
          <w:rFonts w:hint="eastAsia" w:hAnsi="宋体"/>
          <w:color w:val="auto"/>
          <w:szCs w:val="21"/>
          <w:highlight w:val="none"/>
        </w:rPr>
        <w:t>日期：202</w:t>
      </w:r>
      <w:r>
        <w:rPr>
          <w:rFonts w:hint="eastAsia" w:hAnsi="宋体"/>
          <w:color w:val="auto"/>
          <w:szCs w:val="21"/>
          <w:highlight w:val="none"/>
          <w:lang w:val="en-US" w:eastAsia="zh-CN"/>
        </w:rPr>
        <w:t>3</w:t>
      </w:r>
      <w:r>
        <w:rPr>
          <w:rFonts w:hint="eastAsia" w:hAnsi="宋体"/>
          <w:color w:val="auto"/>
          <w:szCs w:val="21"/>
          <w:highlight w:val="none"/>
        </w:rPr>
        <w:t xml:space="preserve">年 </w:t>
      </w:r>
      <w:r>
        <w:rPr>
          <w:rFonts w:hAnsi="宋体"/>
          <w:color w:val="auto"/>
          <w:szCs w:val="21"/>
          <w:highlight w:val="none"/>
        </w:rPr>
        <w:t xml:space="preserve"> </w:t>
      </w:r>
      <w:r>
        <w:rPr>
          <w:rFonts w:hint="eastAsia" w:hAnsi="宋体"/>
          <w:color w:val="auto"/>
          <w:szCs w:val="21"/>
          <w:highlight w:val="none"/>
        </w:rPr>
        <w:t xml:space="preserve">月 </w:t>
      </w:r>
      <w:r>
        <w:rPr>
          <w:rFonts w:hAnsi="宋体"/>
          <w:color w:val="auto"/>
          <w:szCs w:val="21"/>
          <w:highlight w:val="none"/>
        </w:rPr>
        <w:t xml:space="preserve"> </w:t>
      </w:r>
      <w:r>
        <w:rPr>
          <w:rFonts w:hint="eastAsia" w:hAnsi="宋体"/>
          <w:color w:val="auto"/>
          <w:szCs w:val="21"/>
          <w:highlight w:val="none"/>
        </w:rPr>
        <w:t>日</w:t>
      </w:r>
    </w:p>
    <w:p>
      <w:pPr>
        <w:rPr>
          <w:rFonts w:hint="eastAsia" w:hAnsi="宋体"/>
          <w:color w:val="auto"/>
          <w:szCs w:val="21"/>
          <w:highlight w:val="none"/>
        </w:rPr>
      </w:pPr>
      <w:r>
        <w:rPr>
          <w:rFonts w:hint="eastAsia" w:hAnsi="宋体"/>
          <w:color w:val="auto"/>
          <w:szCs w:val="21"/>
          <w:highlight w:val="none"/>
        </w:rPr>
        <w:br w:type="page"/>
      </w:r>
    </w:p>
    <w:p>
      <w:pPr>
        <w:spacing w:line="560" w:lineRule="exact"/>
        <w:ind w:firstLine="0" w:firstLineChars="0"/>
        <w:rPr>
          <w:rFonts w:hint="default" w:eastAsia="宋体"/>
          <w:color w:val="auto"/>
          <w:sz w:val="28"/>
          <w:szCs w:val="28"/>
          <w:highlight w:val="none"/>
          <w:lang w:val="en-US" w:eastAsia="zh-CN"/>
        </w:rPr>
      </w:pPr>
      <w:r>
        <w:rPr>
          <w:rFonts w:hint="eastAsia"/>
          <w:color w:val="auto"/>
          <w:sz w:val="28"/>
          <w:szCs w:val="28"/>
          <w:highlight w:val="none"/>
          <w:lang w:val="en-US" w:eastAsia="zh-CN"/>
        </w:rPr>
        <w:t>附件1.2</w:t>
      </w:r>
    </w:p>
    <w:p>
      <w:pPr>
        <w:spacing w:line="560" w:lineRule="exact"/>
        <w:ind w:firstLine="2800" w:firstLineChars="1000"/>
        <w:rPr>
          <w:color w:val="auto"/>
          <w:sz w:val="28"/>
          <w:szCs w:val="28"/>
          <w:highlight w:val="none"/>
        </w:rPr>
      </w:pPr>
      <w:r>
        <w:rPr>
          <w:rFonts w:hint="eastAsia"/>
          <w:color w:val="auto"/>
          <w:sz w:val="28"/>
          <w:szCs w:val="28"/>
          <w:highlight w:val="none"/>
        </w:rPr>
        <w:t>租户二次装修接入调试报价表</w:t>
      </w:r>
    </w:p>
    <w:tbl>
      <w:tblPr>
        <w:tblStyle w:val="15"/>
        <w:tblW w:w="90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5250"/>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3"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接入点数</w:t>
            </w:r>
          </w:p>
        </w:tc>
        <w:tc>
          <w:tcPr>
            <w:tcW w:w="5250" w:type="dxa"/>
          </w:tcPr>
          <w:p>
            <w:pPr>
              <w:tabs>
                <w:tab w:val="left" w:pos="2721"/>
              </w:tabs>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工  作  内  容</w:t>
            </w:r>
          </w:p>
        </w:tc>
        <w:tc>
          <w:tcPr>
            <w:tcW w:w="2445" w:type="dxa"/>
          </w:tcPr>
          <w:p>
            <w:pPr>
              <w:tabs>
                <w:tab w:val="left" w:pos="2721"/>
              </w:tabs>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接入调试费用（元）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3"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1—10</w:t>
            </w:r>
          </w:p>
        </w:tc>
        <w:tc>
          <w:tcPr>
            <w:tcW w:w="5250"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新装消防报警信号接入系统并调试合格</w:t>
            </w:r>
          </w:p>
        </w:tc>
        <w:tc>
          <w:tcPr>
            <w:tcW w:w="2445" w:type="dxa"/>
          </w:tcPr>
          <w:p>
            <w:pPr>
              <w:tabs>
                <w:tab w:val="left" w:pos="2721"/>
              </w:tabs>
              <w:spacing w:line="360" w:lineRule="auto"/>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3"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11—30</w:t>
            </w:r>
          </w:p>
        </w:tc>
        <w:tc>
          <w:tcPr>
            <w:tcW w:w="5250"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新装消防报警信号接入系统并调试合格</w:t>
            </w:r>
          </w:p>
        </w:tc>
        <w:tc>
          <w:tcPr>
            <w:tcW w:w="2445" w:type="dxa"/>
          </w:tcPr>
          <w:p>
            <w:pPr>
              <w:tabs>
                <w:tab w:val="left" w:pos="2721"/>
              </w:tabs>
              <w:spacing w:line="360" w:lineRule="auto"/>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3"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31—60</w:t>
            </w:r>
          </w:p>
        </w:tc>
        <w:tc>
          <w:tcPr>
            <w:tcW w:w="5250"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新装消防报警信号接入系统并调试合格</w:t>
            </w:r>
          </w:p>
        </w:tc>
        <w:tc>
          <w:tcPr>
            <w:tcW w:w="2445" w:type="dxa"/>
          </w:tcPr>
          <w:p>
            <w:pPr>
              <w:tabs>
                <w:tab w:val="left" w:pos="2721"/>
              </w:tabs>
              <w:spacing w:line="360" w:lineRule="auto"/>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3"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61—130</w:t>
            </w:r>
          </w:p>
        </w:tc>
        <w:tc>
          <w:tcPr>
            <w:tcW w:w="5250"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新装消防报警信号接入系统并调试合格</w:t>
            </w:r>
          </w:p>
        </w:tc>
        <w:tc>
          <w:tcPr>
            <w:tcW w:w="2445" w:type="dxa"/>
          </w:tcPr>
          <w:p>
            <w:pPr>
              <w:tabs>
                <w:tab w:val="left" w:pos="2721"/>
              </w:tabs>
              <w:spacing w:line="360" w:lineRule="auto"/>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3"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131—200</w:t>
            </w:r>
          </w:p>
        </w:tc>
        <w:tc>
          <w:tcPr>
            <w:tcW w:w="5250"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新装消防报警信号接入系统并调试合格</w:t>
            </w:r>
          </w:p>
        </w:tc>
        <w:tc>
          <w:tcPr>
            <w:tcW w:w="2445" w:type="dxa"/>
          </w:tcPr>
          <w:p>
            <w:pPr>
              <w:tabs>
                <w:tab w:val="left" w:pos="2721"/>
              </w:tabs>
              <w:spacing w:line="360" w:lineRule="auto"/>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3"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201—250</w:t>
            </w:r>
          </w:p>
        </w:tc>
        <w:tc>
          <w:tcPr>
            <w:tcW w:w="5250"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新装消防报警信号接入系统并调试合格</w:t>
            </w:r>
          </w:p>
        </w:tc>
        <w:tc>
          <w:tcPr>
            <w:tcW w:w="2445" w:type="dxa"/>
          </w:tcPr>
          <w:p>
            <w:pPr>
              <w:tabs>
                <w:tab w:val="left" w:pos="2721"/>
              </w:tabs>
              <w:spacing w:line="360" w:lineRule="auto"/>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3"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251—350</w:t>
            </w:r>
          </w:p>
        </w:tc>
        <w:tc>
          <w:tcPr>
            <w:tcW w:w="5250"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新装消防报警信号接入系统并调试合格</w:t>
            </w:r>
          </w:p>
        </w:tc>
        <w:tc>
          <w:tcPr>
            <w:tcW w:w="2445" w:type="dxa"/>
          </w:tcPr>
          <w:p>
            <w:pPr>
              <w:tabs>
                <w:tab w:val="left" w:pos="2721"/>
              </w:tabs>
              <w:spacing w:line="360" w:lineRule="auto"/>
              <w:rPr>
                <w:rFonts w:asciiTheme="minorEastAsia" w:hAnsiTheme="minorEastAsia" w:eastAsiaTheme="minorEastAsia"/>
                <w:color w:val="auto"/>
                <w:szCs w:val="21"/>
                <w:highlight w:val="none"/>
              </w:rPr>
            </w:pPr>
          </w:p>
        </w:tc>
      </w:tr>
    </w:tbl>
    <w:p>
      <w:pPr>
        <w:spacing w:line="560" w:lineRule="exac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注：1、点数指区域内烟感、温感，破玻按钮、水流指示等需报警显示的消防报警配件个数；</w:t>
      </w:r>
    </w:p>
    <w:p>
      <w:pPr>
        <w:numPr>
          <w:ilvl w:val="-1"/>
          <w:numId w:val="0"/>
        </w:numPr>
        <w:spacing w:line="560" w:lineRule="exact"/>
        <w:ind w:left="420" w:leftChars="200" w:firstLine="0" w:firstLineChars="0"/>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lang w:val="en-US" w:eastAsia="zh-CN"/>
        </w:rPr>
        <w:t>2、</w:t>
      </w:r>
      <w:r>
        <w:rPr>
          <w:rFonts w:hint="eastAsia" w:asciiTheme="minorEastAsia" w:hAnsiTheme="minorEastAsia" w:eastAsiaTheme="minorEastAsia"/>
          <w:color w:val="auto"/>
          <w:sz w:val="28"/>
          <w:szCs w:val="28"/>
          <w:highlight w:val="none"/>
        </w:rPr>
        <w:t>因</w:t>
      </w:r>
      <w:r>
        <w:rPr>
          <w:rFonts w:hint="eastAsia" w:asciiTheme="minorEastAsia" w:hAnsiTheme="minorEastAsia" w:eastAsiaTheme="minorEastAsia"/>
          <w:color w:val="auto"/>
          <w:sz w:val="28"/>
          <w:szCs w:val="28"/>
          <w:highlight w:val="none"/>
          <w:lang w:val="en-US" w:eastAsia="zh-CN"/>
        </w:rPr>
        <w:t>采购方</w:t>
      </w:r>
      <w:r>
        <w:rPr>
          <w:rFonts w:hint="eastAsia" w:asciiTheme="minorEastAsia" w:hAnsiTheme="minorEastAsia" w:eastAsiaTheme="minorEastAsia"/>
          <w:color w:val="auto"/>
          <w:sz w:val="28"/>
          <w:szCs w:val="28"/>
          <w:highlight w:val="none"/>
        </w:rPr>
        <w:t>工程项目需要接入消防系统的，维保单位免费接入和调试。</w:t>
      </w:r>
    </w:p>
    <w:p>
      <w:pPr>
        <w:numPr>
          <w:ilvl w:val="-1"/>
          <w:numId w:val="0"/>
        </w:numPr>
        <w:spacing w:line="560" w:lineRule="exact"/>
        <w:ind w:left="420" w:leftChars="200" w:firstLine="0" w:firstLineChars="0"/>
        <w:rPr>
          <w:rFonts w:hint="eastAsia" w:asciiTheme="minorEastAsia" w:hAnsiTheme="minorEastAsia" w:eastAsiaTheme="minorEastAsia"/>
          <w:color w:val="auto"/>
          <w:sz w:val="28"/>
          <w:szCs w:val="28"/>
          <w:highlight w:val="none"/>
        </w:rPr>
      </w:pPr>
    </w:p>
    <w:p>
      <w:pPr>
        <w:spacing w:line="400" w:lineRule="exact"/>
        <w:rPr>
          <w:rFonts w:hAnsi="宋体"/>
          <w:color w:val="auto"/>
          <w:szCs w:val="21"/>
          <w:highlight w:val="none"/>
        </w:rPr>
      </w:pPr>
      <w:r>
        <w:rPr>
          <w:rFonts w:hint="eastAsia" w:hAnsi="宋体"/>
          <w:color w:val="auto"/>
          <w:szCs w:val="21"/>
          <w:highlight w:val="none"/>
        </w:rPr>
        <w:t>投标人名称（盖章）：</w:t>
      </w:r>
    </w:p>
    <w:p>
      <w:pPr>
        <w:rPr>
          <w:rFonts w:hAnsi="宋体"/>
          <w:color w:val="auto"/>
          <w:szCs w:val="21"/>
          <w:highlight w:val="none"/>
        </w:rPr>
      </w:pPr>
    </w:p>
    <w:p>
      <w:pPr>
        <w:rPr>
          <w:rFonts w:hAnsi="宋体"/>
          <w:color w:val="auto"/>
          <w:szCs w:val="21"/>
          <w:highlight w:val="none"/>
        </w:rPr>
      </w:pPr>
    </w:p>
    <w:p>
      <w:pPr>
        <w:rPr>
          <w:rFonts w:hint="eastAsia" w:hAnsi="宋体"/>
          <w:color w:val="auto"/>
          <w:szCs w:val="21"/>
          <w:highlight w:val="none"/>
        </w:rPr>
      </w:pPr>
      <w:r>
        <w:rPr>
          <w:rFonts w:hint="eastAsia" w:hAnsi="宋体"/>
          <w:color w:val="auto"/>
          <w:szCs w:val="21"/>
          <w:highlight w:val="none"/>
        </w:rPr>
        <w:t>日期：202</w:t>
      </w:r>
      <w:r>
        <w:rPr>
          <w:rFonts w:hint="eastAsia" w:hAnsi="宋体"/>
          <w:color w:val="auto"/>
          <w:szCs w:val="21"/>
          <w:highlight w:val="none"/>
          <w:lang w:val="en-US" w:eastAsia="zh-CN"/>
        </w:rPr>
        <w:t>3</w:t>
      </w:r>
      <w:r>
        <w:rPr>
          <w:rFonts w:hint="eastAsia" w:hAnsi="宋体"/>
          <w:color w:val="auto"/>
          <w:szCs w:val="21"/>
          <w:highlight w:val="none"/>
        </w:rPr>
        <w:t xml:space="preserve">年 </w:t>
      </w:r>
      <w:r>
        <w:rPr>
          <w:rFonts w:hAnsi="宋体"/>
          <w:color w:val="auto"/>
          <w:szCs w:val="21"/>
          <w:highlight w:val="none"/>
        </w:rPr>
        <w:t xml:space="preserve"> </w:t>
      </w:r>
      <w:r>
        <w:rPr>
          <w:rFonts w:hint="eastAsia" w:hAnsi="宋体"/>
          <w:color w:val="auto"/>
          <w:szCs w:val="21"/>
          <w:highlight w:val="none"/>
        </w:rPr>
        <w:t xml:space="preserve">月 </w:t>
      </w:r>
      <w:r>
        <w:rPr>
          <w:rFonts w:hAnsi="宋体"/>
          <w:color w:val="auto"/>
          <w:szCs w:val="21"/>
          <w:highlight w:val="none"/>
        </w:rPr>
        <w:t xml:space="preserve"> </w:t>
      </w:r>
      <w:r>
        <w:rPr>
          <w:rFonts w:hint="eastAsia" w:hAnsi="宋体"/>
          <w:color w:val="auto"/>
          <w:szCs w:val="21"/>
          <w:highlight w:val="none"/>
        </w:rPr>
        <w:t>日</w:t>
      </w:r>
    </w:p>
    <w:p>
      <w:pPr>
        <w:rPr>
          <w:rFonts w:hint="eastAsia" w:hAnsi="宋体"/>
          <w:color w:val="auto"/>
          <w:szCs w:val="21"/>
          <w:highlight w:val="none"/>
        </w:rPr>
      </w:pPr>
      <w:r>
        <w:rPr>
          <w:rFonts w:hint="eastAsia" w:hAnsi="宋体"/>
          <w:color w:val="auto"/>
          <w:szCs w:val="21"/>
          <w:highlight w:val="none"/>
        </w:rPr>
        <w:br w:type="page"/>
      </w:r>
    </w:p>
    <w:p>
      <w:pPr>
        <w:spacing w:line="240" w:lineRule="auto"/>
        <w:rPr>
          <w:rFonts w:ascii="宋体" w:hAnsi="宋体" w:cs="Arial"/>
          <w:color w:val="auto"/>
          <w:sz w:val="30"/>
          <w:szCs w:val="30"/>
          <w:highlight w:val="none"/>
        </w:rPr>
      </w:pPr>
      <w:r>
        <w:rPr>
          <w:rFonts w:hint="eastAsia" w:ascii="宋体" w:hAnsi="宋体" w:cs="Arial"/>
          <w:color w:val="auto"/>
          <w:sz w:val="30"/>
          <w:szCs w:val="30"/>
          <w:highlight w:val="none"/>
        </w:rPr>
        <w:t>附件</w:t>
      </w:r>
      <w:r>
        <w:rPr>
          <w:rFonts w:hint="eastAsia" w:ascii="宋体" w:hAnsi="宋体" w:cs="Arial"/>
          <w:color w:val="auto"/>
          <w:sz w:val="30"/>
          <w:szCs w:val="30"/>
          <w:highlight w:val="none"/>
          <w:lang w:val="en-US" w:eastAsia="zh-CN"/>
        </w:rPr>
        <w:t>2</w:t>
      </w:r>
    </w:p>
    <w:tbl>
      <w:tblPr>
        <w:tblStyle w:val="15"/>
        <w:tblW w:w="9227" w:type="dxa"/>
        <w:tblInd w:w="95" w:type="dxa"/>
        <w:tblLayout w:type="fixed"/>
        <w:tblCellMar>
          <w:top w:w="0" w:type="dxa"/>
          <w:left w:w="108" w:type="dxa"/>
          <w:bottom w:w="0" w:type="dxa"/>
          <w:right w:w="108" w:type="dxa"/>
        </w:tblCellMar>
      </w:tblPr>
      <w:tblGrid>
        <w:gridCol w:w="1431"/>
        <w:gridCol w:w="2069"/>
        <w:gridCol w:w="1191"/>
        <w:gridCol w:w="1559"/>
        <w:gridCol w:w="1276"/>
        <w:gridCol w:w="1701"/>
      </w:tblGrid>
      <w:tr>
        <w:tblPrEx>
          <w:tblLayout w:type="fixed"/>
          <w:tblCellMar>
            <w:top w:w="0" w:type="dxa"/>
            <w:left w:w="108" w:type="dxa"/>
            <w:bottom w:w="0" w:type="dxa"/>
            <w:right w:w="108" w:type="dxa"/>
          </w:tblCellMar>
        </w:tblPrEx>
        <w:trPr>
          <w:trHeight w:val="444" w:hRule="atLeast"/>
        </w:trPr>
        <w:tc>
          <w:tcPr>
            <w:tcW w:w="9227" w:type="dxa"/>
            <w:gridSpan w:val="6"/>
            <w:tcBorders>
              <w:top w:val="nil"/>
              <w:left w:val="nil"/>
              <w:bottom w:val="nil"/>
              <w:right w:val="nil"/>
            </w:tcBorders>
            <w:shd w:val="clear" w:color="auto" w:fill="auto"/>
            <w:vAlign w:val="center"/>
          </w:tcPr>
          <w:p>
            <w:pPr>
              <w:widowControl/>
              <w:ind w:firstLine="3022" w:firstLineChars="687"/>
              <w:rPr>
                <w:rFonts w:ascii="黑体" w:hAnsi="黑体" w:eastAsia="黑体" w:cs="宋体"/>
                <w:color w:val="auto"/>
                <w:kern w:val="0"/>
                <w:sz w:val="44"/>
                <w:szCs w:val="44"/>
                <w:highlight w:val="none"/>
              </w:rPr>
            </w:pPr>
            <w:r>
              <w:rPr>
                <w:rFonts w:hint="eastAsia" w:ascii="黑体" w:hAnsi="黑体" w:eastAsia="黑体" w:cs="宋体"/>
                <w:color w:val="auto"/>
                <w:kern w:val="0"/>
                <w:sz w:val="44"/>
                <w:szCs w:val="44"/>
                <w:highlight w:val="none"/>
              </w:rPr>
              <w:t>供应商调查表</w:t>
            </w:r>
          </w:p>
        </w:tc>
      </w:tr>
      <w:tr>
        <w:tblPrEx>
          <w:tblLayout w:type="fixed"/>
          <w:tblCellMar>
            <w:top w:w="0" w:type="dxa"/>
            <w:left w:w="108" w:type="dxa"/>
            <w:bottom w:w="0" w:type="dxa"/>
            <w:right w:w="108" w:type="dxa"/>
          </w:tblCellMar>
        </w:tblPrEx>
        <w:trPr>
          <w:trHeight w:val="399" w:hRule="atLeast"/>
        </w:trPr>
        <w:tc>
          <w:tcPr>
            <w:tcW w:w="9227" w:type="dxa"/>
            <w:gridSpan w:val="6"/>
            <w:tcBorders>
              <w:top w:val="nil"/>
              <w:left w:val="nil"/>
              <w:bottom w:val="single" w:color="auto" w:sz="8" w:space="0"/>
              <w:right w:val="nil"/>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项目名称：</w:t>
            </w:r>
            <w:r>
              <w:rPr>
                <w:rFonts w:hint="eastAsia" w:ascii="宋体" w:hAnsi="宋体" w:cs="宋体"/>
                <w:color w:val="auto"/>
                <w:kern w:val="0"/>
                <w:szCs w:val="21"/>
                <w:highlight w:val="none"/>
                <w:lang w:eastAsia="zh-CN"/>
              </w:rPr>
              <w:t>广州大学城公司消防系统维护保养项目</w:t>
            </w:r>
            <w:r>
              <w:rPr>
                <w:rFonts w:hint="eastAsia" w:ascii="宋体" w:hAnsi="宋体" w:cs="宋体"/>
                <w:color w:val="auto"/>
                <w:kern w:val="0"/>
                <w:szCs w:val="21"/>
                <w:highlight w:val="none"/>
              </w:rPr>
              <w:t>工程</w:t>
            </w: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供应商名称 </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法人代表</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color w:val="auto"/>
                <w:kern w:val="0"/>
                <w:sz w:val="24"/>
                <w:highlight w:val="none"/>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详细地址</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邮    编</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color w:val="auto"/>
                <w:kern w:val="0"/>
                <w:sz w:val="24"/>
                <w:highlight w:val="none"/>
              </w:rPr>
            </w:pPr>
          </w:p>
        </w:tc>
      </w:tr>
      <w:tr>
        <w:tblPrEx>
          <w:tblLayout w:type="fixed"/>
          <w:tblCellMar>
            <w:top w:w="0" w:type="dxa"/>
            <w:left w:w="108" w:type="dxa"/>
            <w:bottom w:w="0" w:type="dxa"/>
            <w:right w:w="108" w:type="dxa"/>
          </w:tblCellMar>
        </w:tblPrEx>
        <w:trPr>
          <w:trHeight w:val="876"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成立日期</w:t>
            </w:r>
          </w:p>
        </w:tc>
        <w:tc>
          <w:tcPr>
            <w:tcW w:w="206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11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营业执照号码</w:t>
            </w: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发证机构</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color w:val="auto"/>
                <w:kern w:val="0"/>
                <w:sz w:val="24"/>
                <w:highlight w:val="none"/>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固定电话号码</w:t>
            </w:r>
          </w:p>
        </w:tc>
        <w:tc>
          <w:tcPr>
            <w:tcW w:w="206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11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传真号码</w:t>
            </w: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注册资金</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color w:val="auto"/>
                <w:kern w:val="0"/>
                <w:sz w:val="24"/>
                <w:highlight w:val="none"/>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公司类型</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4"/>
                <w:highlight w:val="none"/>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机构性质</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项目联系人</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4"/>
                <w:highlight w:val="none"/>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经营范围</w:t>
            </w:r>
          </w:p>
        </w:tc>
        <w:tc>
          <w:tcPr>
            <w:tcW w:w="7796"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color w:val="auto"/>
                <w:kern w:val="0"/>
                <w:sz w:val="24"/>
                <w:highlight w:val="none"/>
              </w:rPr>
            </w:pPr>
          </w:p>
          <w:p>
            <w:pPr>
              <w:widowControl/>
              <w:rPr>
                <w:rFonts w:ascii="宋体" w:hAnsi="宋体" w:cs="宋体"/>
                <w:b/>
                <w:bCs/>
                <w:color w:val="auto"/>
                <w:kern w:val="0"/>
                <w:sz w:val="24"/>
                <w:highlight w:val="none"/>
              </w:rPr>
            </w:pPr>
          </w:p>
          <w:p>
            <w:pPr>
              <w:widowControl/>
              <w:rPr>
                <w:rFonts w:ascii="宋体" w:hAnsi="宋体" w:cs="宋体"/>
                <w:b/>
                <w:bCs/>
                <w:color w:val="auto"/>
                <w:kern w:val="0"/>
                <w:sz w:val="24"/>
                <w:highlight w:val="none"/>
              </w:rPr>
            </w:pPr>
          </w:p>
          <w:p>
            <w:pPr>
              <w:widowControl/>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资质证书（认证项目）名称</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发证机关</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主要服务行业</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主要客户</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7" w:hRule="atLeast"/>
        </w:trPr>
        <w:tc>
          <w:tcPr>
            <w:tcW w:w="9227"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近三年类似业绩</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服务单位</w:t>
            </w: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项目内容</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color w:val="auto"/>
                <w:kern w:val="0"/>
                <w:sz w:val="24"/>
                <w:highlight w:val="none"/>
              </w:rPr>
            </w:pPr>
          </w:p>
        </w:tc>
      </w:tr>
    </w:tbl>
    <w:p>
      <w:pPr>
        <w:spacing w:line="400" w:lineRule="exact"/>
        <w:ind w:left="560" w:hanging="560" w:hangingChars="200"/>
        <w:rPr>
          <w:color w:val="auto"/>
          <w:sz w:val="28"/>
          <w:szCs w:val="28"/>
          <w:highlight w:val="none"/>
        </w:rPr>
      </w:pPr>
    </w:p>
    <w:p>
      <w:pPr>
        <w:spacing w:line="400" w:lineRule="exact"/>
        <w:ind w:left="560" w:hanging="560" w:hangingChars="200"/>
        <w:rPr>
          <w:color w:val="auto"/>
          <w:sz w:val="28"/>
          <w:szCs w:val="28"/>
          <w:highlight w:val="none"/>
        </w:rPr>
      </w:pPr>
    </w:p>
    <w:p>
      <w:pPr>
        <w:spacing w:line="400" w:lineRule="exact"/>
        <w:ind w:left="560" w:hanging="560" w:hangingChars="200"/>
        <w:rPr>
          <w:color w:val="auto"/>
          <w:sz w:val="28"/>
          <w:szCs w:val="28"/>
          <w:highlight w:val="none"/>
        </w:rPr>
      </w:pPr>
      <w:r>
        <w:rPr>
          <w:color w:val="auto"/>
          <w:sz w:val="28"/>
          <w:szCs w:val="28"/>
          <w:highlight w:val="none"/>
        </w:rPr>
        <w:t>投标单位</w:t>
      </w:r>
      <w:r>
        <w:rPr>
          <w:rFonts w:hint="eastAsia"/>
          <w:color w:val="auto"/>
          <w:sz w:val="28"/>
          <w:szCs w:val="28"/>
          <w:highlight w:val="none"/>
        </w:rPr>
        <w:t>（盖章）：</w:t>
      </w:r>
    </w:p>
    <w:p>
      <w:pPr>
        <w:spacing w:line="400" w:lineRule="exact"/>
        <w:ind w:left="560" w:hanging="560" w:hangingChars="200"/>
        <w:rPr>
          <w:color w:val="auto"/>
          <w:sz w:val="28"/>
          <w:szCs w:val="28"/>
          <w:highlight w:val="none"/>
        </w:rPr>
      </w:pPr>
    </w:p>
    <w:p>
      <w:pPr>
        <w:spacing w:line="400" w:lineRule="exact"/>
        <w:ind w:left="560" w:hanging="560" w:hangingChars="200"/>
        <w:rPr>
          <w:color w:val="auto"/>
          <w:sz w:val="28"/>
          <w:szCs w:val="28"/>
          <w:highlight w:val="none"/>
        </w:rPr>
      </w:pPr>
      <w:r>
        <w:rPr>
          <w:rFonts w:hint="eastAsia"/>
          <w:color w:val="auto"/>
          <w:sz w:val="28"/>
          <w:szCs w:val="28"/>
          <w:highlight w:val="none"/>
        </w:rPr>
        <w:t>日期：202</w:t>
      </w:r>
      <w:r>
        <w:rPr>
          <w:rFonts w:hint="eastAsia"/>
          <w:color w:val="auto"/>
          <w:sz w:val="28"/>
          <w:szCs w:val="28"/>
          <w:highlight w:val="none"/>
          <w:lang w:val="en-US" w:eastAsia="zh-CN"/>
        </w:rPr>
        <w:t>3</w:t>
      </w:r>
      <w:r>
        <w:rPr>
          <w:rFonts w:hint="eastAsia"/>
          <w:color w:val="auto"/>
          <w:sz w:val="28"/>
          <w:szCs w:val="28"/>
          <w:highlight w:val="none"/>
        </w:rPr>
        <w:t xml:space="preserve">年 </w:t>
      </w:r>
      <w:r>
        <w:rPr>
          <w:color w:val="auto"/>
          <w:sz w:val="28"/>
          <w:szCs w:val="28"/>
          <w:highlight w:val="none"/>
        </w:rPr>
        <w:t xml:space="preserve"> </w:t>
      </w:r>
      <w:r>
        <w:rPr>
          <w:rFonts w:hint="eastAsia"/>
          <w:color w:val="auto"/>
          <w:sz w:val="28"/>
          <w:szCs w:val="28"/>
          <w:highlight w:val="none"/>
        </w:rPr>
        <w:t xml:space="preserve">月 </w:t>
      </w:r>
      <w:r>
        <w:rPr>
          <w:color w:val="auto"/>
          <w:sz w:val="28"/>
          <w:szCs w:val="28"/>
          <w:highlight w:val="none"/>
        </w:rPr>
        <w:t xml:space="preserve"> </w:t>
      </w:r>
      <w:r>
        <w:rPr>
          <w:rFonts w:hint="eastAsia"/>
          <w:color w:val="auto"/>
          <w:sz w:val="28"/>
          <w:szCs w:val="28"/>
          <w:highlight w:val="none"/>
        </w:rPr>
        <w:t>日</w:t>
      </w:r>
    </w:p>
    <w:p>
      <w:pPr>
        <w:spacing w:line="400" w:lineRule="exact"/>
        <w:ind w:left="560" w:hanging="560" w:hangingChars="200"/>
        <w:rPr>
          <w:rFonts w:ascii="宋体" w:hAnsi="宋体"/>
          <w:bCs/>
          <w:color w:val="auto"/>
          <w:sz w:val="30"/>
          <w:szCs w:val="30"/>
          <w:highlight w:val="none"/>
        </w:rPr>
      </w:pPr>
      <w:r>
        <w:rPr>
          <w:color w:val="auto"/>
          <w:sz w:val="28"/>
          <w:szCs w:val="28"/>
          <w:highlight w:val="none"/>
        </w:rPr>
        <w:br w:type="page"/>
      </w:r>
      <w:r>
        <w:rPr>
          <w:rFonts w:hint="eastAsia" w:ascii="宋体" w:hAnsi="宋体"/>
          <w:bCs/>
          <w:color w:val="auto"/>
          <w:sz w:val="30"/>
          <w:szCs w:val="30"/>
          <w:highlight w:val="none"/>
        </w:rPr>
        <w:t>附件</w:t>
      </w:r>
      <w:r>
        <w:rPr>
          <w:rFonts w:ascii="宋体" w:hAnsi="宋体"/>
          <w:bCs/>
          <w:color w:val="auto"/>
          <w:sz w:val="30"/>
          <w:szCs w:val="30"/>
          <w:highlight w:val="none"/>
        </w:rPr>
        <w:t>3</w:t>
      </w:r>
    </w:p>
    <w:p>
      <w:pPr>
        <w:spacing w:line="500" w:lineRule="exact"/>
        <w:jc w:val="center"/>
        <w:rPr>
          <w:rFonts w:eastAsia="黑体"/>
          <w:b/>
          <w:bCs/>
          <w:color w:val="auto"/>
          <w:sz w:val="36"/>
          <w:highlight w:val="none"/>
        </w:rPr>
      </w:pPr>
      <w:r>
        <w:rPr>
          <w:rFonts w:hint="eastAsia" w:eastAsia="黑体"/>
          <w:b/>
          <w:bCs/>
          <w:color w:val="auto"/>
          <w:sz w:val="36"/>
          <w:highlight w:val="none"/>
        </w:rPr>
        <w:t>法定代表人身份证明书</w:t>
      </w:r>
    </w:p>
    <w:p>
      <w:pPr>
        <w:spacing w:line="500" w:lineRule="exact"/>
        <w:jc w:val="center"/>
        <w:rPr>
          <w:b/>
          <w:bCs/>
          <w:color w:val="auto"/>
          <w:szCs w:val="21"/>
          <w:highlight w:val="none"/>
        </w:rPr>
      </w:pPr>
    </w:p>
    <w:p>
      <w:pPr>
        <w:spacing w:line="500" w:lineRule="exact"/>
        <w:ind w:firstLine="560" w:firstLineChars="200"/>
        <w:rPr>
          <w:rFonts w:ascii="宋体" w:hAnsi="宋体" w:cs="宋体"/>
          <w:color w:val="auto"/>
          <w:sz w:val="28"/>
          <w:highlight w:val="none"/>
        </w:rPr>
      </w:pPr>
      <w:r>
        <w:rPr>
          <w:rFonts w:hint="eastAsia" w:ascii="宋体" w:hAnsi="宋体" w:cs="宋体"/>
          <w:color w:val="auto"/>
          <w:sz w:val="28"/>
          <w:highlight w:val="none"/>
          <w:u w:val="single"/>
        </w:rPr>
        <w:t xml:space="preserve"> </w:t>
      </w:r>
      <w:r>
        <w:rPr>
          <w:rFonts w:ascii="宋体" w:hAnsi="宋体" w:cs="宋体"/>
          <w:color w:val="auto"/>
          <w:sz w:val="28"/>
          <w:highlight w:val="none"/>
          <w:u w:val="single"/>
        </w:rPr>
        <w:t xml:space="preserve">        </w:t>
      </w:r>
      <w:r>
        <w:rPr>
          <w:rFonts w:hint="eastAsia" w:ascii="宋体" w:hAnsi="宋体" w:cs="宋体"/>
          <w:color w:val="auto"/>
          <w:sz w:val="28"/>
          <w:highlight w:val="none"/>
        </w:rPr>
        <w:t>在我单位任</w:t>
      </w:r>
      <w:r>
        <w:rPr>
          <w:rFonts w:hint="eastAsia" w:ascii="宋体" w:hAnsi="宋体" w:cs="宋体"/>
          <w:color w:val="auto"/>
          <w:sz w:val="28"/>
          <w:highlight w:val="none"/>
          <w:u w:val="single"/>
        </w:rPr>
        <w:t xml:space="preserve"> </w:t>
      </w:r>
      <w:r>
        <w:rPr>
          <w:rFonts w:ascii="宋体" w:hAnsi="宋体" w:cs="宋体"/>
          <w:color w:val="auto"/>
          <w:sz w:val="28"/>
          <w:highlight w:val="none"/>
          <w:u w:val="single"/>
        </w:rPr>
        <w:t xml:space="preserve">        </w:t>
      </w:r>
      <w:r>
        <w:rPr>
          <w:rFonts w:hint="eastAsia" w:ascii="宋体" w:hAnsi="宋体" w:cs="宋体"/>
          <w:color w:val="auto"/>
          <w:sz w:val="28"/>
          <w:highlight w:val="none"/>
        </w:rPr>
        <w:t>职务，是我单位法定代表人，身份证号为</w:t>
      </w:r>
      <w:r>
        <w:rPr>
          <w:rFonts w:hint="eastAsia" w:ascii="宋体" w:hAnsi="宋体" w:cs="宋体"/>
          <w:color w:val="auto"/>
          <w:sz w:val="28"/>
          <w:highlight w:val="none"/>
          <w:u w:val="single"/>
        </w:rPr>
        <w:t xml:space="preserve"> </w:t>
      </w:r>
      <w:r>
        <w:rPr>
          <w:rFonts w:ascii="宋体" w:hAnsi="宋体" w:cs="宋体"/>
          <w:color w:val="auto"/>
          <w:sz w:val="28"/>
          <w:highlight w:val="none"/>
          <w:u w:val="single"/>
        </w:rPr>
        <w:t xml:space="preserve">                    </w:t>
      </w:r>
      <w:r>
        <w:rPr>
          <w:rFonts w:hint="eastAsia" w:ascii="宋体" w:hAnsi="宋体" w:cs="宋体"/>
          <w:color w:val="auto"/>
          <w:sz w:val="28"/>
          <w:highlight w:val="none"/>
        </w:rPr>
        <w:t>，特此证明。</w:t>
      </w:r>
    </w:p>
    <w:p>
      <w:pPr>
        <w:spacing w:line="500" w:lineRule="exact"/>
        <w:ind w:firstLine="627" w:firstLineChars="224"/>
        <w:rPr>
          <w:rFonts w:ascii="宋体" w:hAnsi="宋体" w:cs="宋体"/>
          <w:color w:val="auto"/>
          <w:sz w:val="28"/>
          <w:highlight w:val="none"/>
        </w:rPr>
      </w:pPr>
    </w:p>
    <w:p>
      <w:pPr>
        <w:spacing w:line="500" w:lineRule="exact"/>
        <w:jc w:val="left"/>
        <w:rPr>
          <w:rFonts w:ascii="宋体" w:hAnsi="宋体" w:cs="宋体"/>
          <w:color w:val="auto"/>
          <w:sz w:val="28"/>
          <w:highlight w:val="none"/>
        </w:rPr>
      </w:pPr>
      <w:r>
        <w:rPr>
          <w:rFonts w:hint="eastAsia" w:ascii="宋体" w:hAnsi="宋体" w:cs="宋体"/>
          <w:color w:val="auto"/>
          <w:sz w:val="28"/>
          <w:highlight w:val="none"/>
        </w:rPr>
        <w:t>（单位盖章）</w:t>
      </w:r>
    </w:p>
    <w:p>
      <w:pPr>
        <w:spacing w:line="500" w:lineRule="exact"/>
        <w:ind w:firstLine="627" w:firstLineChars="224"/>
        <w:rPr>
          <w:rFonts w:hAnsi="宋体" w:cs="宋体"/>
          <w:color w:val="auto"/>
          <w:sz w:val="28"/>
          <w:szCs w:val="28"/>
          <w:highlight w:val="none"/>
        </w:rPr>
      </w:pPr>
    </w:p>
    <w:p>
      <w:pPr>
        <w:spacing w:line="500" w:lineRule="exact"/>
        <w:rPr>
          <w:rFonts w:ascii="宋体" w:hAnsi="宋体" w:cs="宋体"/>
          <w:color w:val="auto"/>
          <w:sz w:val="28"/>
          <w:highlight w:val="none"/>
        </w:rPr>
      </w:pPr>
      <w:r>
        <w:rPr>
          <w:rFonts w:hint="eastAsia" w:hAnsi="宋体" w:cs="宋体"/>
          <w:color w:val="auto"/>
          <w:sz w:val="28"/>
          <w:szCs w:val="28"/>
          <w:highlight w:val="none"/>
        </w:rPr>
        <w:t>日期：202</w:t>
      </w:r>
      <w:r>
        <w:rPr>
          <w:rFonts w:hint="eastAsia" w:hAnsi="宋体" w:cs="宋体"/>
          <w:color w:val="auto"/>
          <w:sz w:val="28"/>
          <w:szCs w:val="28"/>
          <w:highlight w:val="none"/>
          <w:lang w:val="en-US" w:eastAsia="zh-CN"/>
        </w:rPr>
        <w:t>3</w:t>
      </w:r>
      <w:r>
        <w:rPr>
          <w:rFonts w:hint="eastAsia" w:hAnsi="宋体" w:cs="宋体"/>
          <w:color w:val="auto"/>
          <w:sz w:val="28"/>
          <w:szCs w:val="28"/>
          <w:highlight w:val="none"/>
        </w:rPr>
        <w:t xml:space="preserve">年 </w:t>
      </w:r>
      <w:r>
        <w:rPr>
          <w:rFonts w:hAnsi="宋体" w:cs="宋体"/>
          <w:color w:val="auto"/>
          <w:sz w:val="28"/>
          <w:szCs w:val="28"/>
          <w:highlight w:val="none"/>
        </w:rPr>
        <w:t xml:space="preserve"> </w:t>
      </w:r>
      <w:r>
        <w:rPr>
          <w:rFonts w:hint="eastAsia" w:hAnsi="宋体" w:cs="宋体"/>
          <w:color w:val="auto"/>
          <w:sz w:val="28"/>
          <w:szCs w:val="28"/>
          <w:highlight w:val="none"/>
        </w:rPr>
        <w:t xml:space="preserve">月 </w:t>
      </w:r>
      <w:r>
        <w:rPr>
          <w:rFonts w:hAnsi="宋体" w:cs="宋体"/>
          <w:color w:val="auto"/>
          <w:sz w:val="28"/>
          <w:szCs w:val="28"/>
          <w:highlight w:val="none"/>
        </w:rPr>
        <w:t xml:space="preserve"> </w:t>
      </w:r>
      <w:r>
        <w:rPr>
          <w:rFonts w:hint="eastAsia" w:hAnsi="宋体" w:cs="宋体"/>
          <w:color w:val="auto"/>
          <w:sz w:val="28"/>
          <w:szCs w:val="28"/>
          <w:highlight w:val="none"/>
        </w:rPr>
        <w:t>日</w:t>
      </w:r>
    </w:p>
    <w:p>
      <w:pPr>
        <w:spacing w:line="500" w:lineRule="exact"/>
        <w:rPr>
          <w:rFonts w:ascii="宋体" w:hAnsi="宋体" w:cs="宋体"/>
          <w:color w:val="auto"/>
          <w:sz w:val="28"/>
          <w:highlight w:val="none"/>
        </w:rPr>
      </w:pPr>
      <w:r>
        <w:rPr>
          <w:rFonts w:hint="eastAsia" w:ascii="宋体" w:hAnsi="宋体" w:cs="宋体"/>
          <w:color w:val="auto"/>
          <w:sz w:val="28"/>
          <w:highlight w:val="none"/>
        </w:rPr>
        <w:t xml:space="preserve">单位通信地址：                                </w:t>
      </w:r>
    </w:p>
    <w:p>
      <w:pPr>
        <w:spacing w:line="500" w:lineRule="exact"/>
        <w:rPr>
          <w:rFonts w:ascii="宋体" w:hAnsi="宋体" w:cs="宋体"/>
          <w:color w:val="auto"/>
          <w:sz w:val="28"/>
          <w:highlight w:val="none"/>
        </w:rPr>
      </w:pPr>
    </w:p>
    <w:p>
      <w:pPr>
        <w:spacing w:line="500" w:lineRule="exact"/>
        <w:rPr>
          <w:rFonts w:ascii="宋体" w:hAnsi="宋体" w:cs="宋体"/>
          <w:color w:val="auto"/>
          <w:sz w:val="28"/>
          <w:highlight w:val="none"/>
        </w:rPr>
      </w:pPr>
      <w:r>
        <w:rPr>
          <w:rFonts w:hint="eastAsia" w:ascii="宋体" w:hAnsi="宋体" w:cs="宋体"/>
          <w:color w:val="auto"/>
          <w:sz w:val="28"/>
          <w:highlight w:val="none"/>
        </w:rPr>
        <w:t xml:space="preserve">邮政编码：                 单位联系电话：   </w:t>
      </w:r>
    </w:p>
    <w:p>
      <w:pPr>
        <w:rPr>
          <w:color w:val="auto"/>
          <w:highlight w:val="none"/>
        </w:rPr>
      </w:pPr>
    </w:p>
    <w:p>
      <w:pPr>
        <w:spacing w:line="360" w:lineRule="auto"/>
        <w:rPr>
          <w:rFonts w:ascii="宋体" w:hAnsi="宋体" w:cs="Arial"/>
          <w:color w:val="auto"/>
          <w:sz w:val="28"/>
          <w:szCs w:val="28"/>
          <w:highlight w:val="none"/>
        </w:rPr>
      </w:pPr>
      <w:r>
        <w:rPr>
          <w:rFonts w:hint="eastAsia" w:ascii="宋体" w:hAnsi="宋体" w:cs="Arial"/>
          <w:color w:val="auto"/>
          <w:sz w:val="28"/>
          <w:szCs w:val="28"/>
          <w:highlight w:val="none"/>
        </w:rPr>
        <w:t>附：法定代表人身份证正反面或其他身份证明材料复印件</w:t>
      </w:r>
    </w:p>
    <w:p>
      <w:pPr>
        <w:spacing w:line="360" w:lineRule="auto"/>
        <w:rPr>
          <w:rFonts w:ascii="宋体" w:hAnsi="宋体" w:cs="Arial"/>
          <w:color w:val="auto"/>
          <w:sz w:val="28"/>
          <w:szCs w:val="28"/>
          <w:highlight w:val="none"/>
        </w:rPr>
      </w:pPr>
    </w:p>
    <w:p>
      <w:pPr>
        <w:spacing w:line="360" w:lineRule="auto"/>
        <w:rPr>
          <w:rFonts w:ascii="宋体" w:hAnsi="宋体" w:cs="Arial"/>
          <w:color w:val="auto"/>
          <w:sz w:val="30"/>
          <w:szCs w:val="30"/>
          <w:highlight w:val="none"/>
        </w:rPr>
      </w:pPr>
      <w:r>
        <w:rPr>
          <w:rFonts w:hint="eastAsia" w:ascii="宋体" w:hAnsi="宋体" w:cs="Arial"/>
          <w:color w:val="auto"/>
          <w:sz w:val="28"/>
          <w:szCs w:val="28"/>
          <w:highlight w:val="none"/>
        </w:rPr>
        <w:br w:type="page"/>
      </w:r>
      <w:r>
        <w:rPr>
          <w:rFonts w:hint="eastAsia" w:ascii="宋体" w:hAnsi="宋体" w:cs="黑体"/>
          <w:color w:val="auto"/>
          <w:sz w:val="30"/>
          <w:szCs w:val="30"/>
          <w:highlight w:val="none"/>
        </w:rPr>
        <w:t>附件</w:t>
      </w:r>
      <w:r>
        <w:rPr>
          <w:rFonts w:ascii="宋体" w:hAnsi="宋体" w:cs="黑体"/>
          <w:color w:val="auto"/>
          <w:sz w:val="30"/>
          <w:szCs w:val="30"/>
          <w:highlight w:val="none"/>
        </w:rPr>
        <w:t>4</w:t>
      </w:r>
    </w:p>
    <w:p>
      <w:pPr>
        <w:spacing w:line="500" w:lineRule="exact"/>
        <w:ind w:firstLine="2168" w:firstLineChars="600"/>
        <w:rPr>
          <w:rFonts w:eastAsia="黑体"/>
          <w:b/>
          <w:bCs/>
          <w:color w:val="auto"/>
          <w:sz w:val="36"/>
          <w:highlight w:val="none"/>
        </w:rPr>
      </w:pPr>
      <w:r>
        <w:rPr>
          <w:rFonts w:hint="eastAsia" w:eastAsia="黑体"/>
          <w:b/>
          <w:bCs/>
          <w:color w:val="auto"/>
          <w:sz w:val="36"/>
          <w:highlight w:val="none"/>
        </w:rPr>
        <w:t>法定代表人授权委托证明书</w:t>
      </w:r>
    </w:p>
    <w:p>
      <w:pPr>
        <w:pStyle w:val="18"/>
        <w:spacing w:line="360" w:lineRule="auto"/>
        <w:ind w:firstLine="424" w:firstLineChars="177"/>
        <w:rPr>
          <w:rFonts w:hAnsi="宋体"/>
          <w:bCs/>
          <w:color w:val="auto"/>
          <w:sz w:val="24"/>
          <w:szCs w:val="24"/>
          <w:highlight w:val="none"/>
        </w:rPr>
      </w:pPr>
    </w:p>
    <w:p>
      <w:pPr>
        <w:pStyle w:val="18"/>
        <w:spacing w:line="360" w:lineRule="auto"/>
        <w:ind w:firstLine="480" w:firstLineChars="200"/>
        <w:rPr>
          <w:rFonts w:hAnsi="宋体"/>
          <w:color w:val="auto"/>
          <w:sz w:val="24"/>
          <w:szCs w:val="24"/>
          <w:highlight w:val="none"/>
        </w:rPr>
      </w:pPr>
      <w:r>
        <w:rPr>
          <w:rFonts w:hint="eastAsia" w:hAnsi="宋体"/>
          <w:bCs/>
          <w:color w:val="auto"/>
          <w:sz w:val="24"/>
          <w:szCs w:val="24"/>
          <w:highlight w:val="none"/>
        </w:rPr>
        <w:t>兹授权</w:t>
      </w:r>
      <w:r>
        <w:rPr>
          <w:rFonts w:hint="eastAsia" w:hAnsi="宋体"/>
          <w:bCs/>
          <w:color w:val="auto"/>
          <w:sz w:val="24"/>
          <w:szCs w:val="24"/>
          <w:highlight w:val="none"/>
          <w:u w:val="single"/>
        </w:rPr>
        <w:t>（委托代理人姓名）</w:t>
      </w:r>
      <w:r>
        <w:rPr>
          <w:rFonts w:hint="eastAsia" w:hAnsi="宋体"/>
          <w:bCs/>
          <w:color w:val="auto"/>
          <w:sz w:val="24"/>
          <w:szCs w:val="24"/>
          <w:highlight w:val="none"/>
        </w:rPr>
        <w:t>为采购方委托代理人，其权限是：</w:t>
      </w:r>
      <w:r>
        <w:rPr>
          <w:rFonts w:hint="eastAsia" w:hAnsi="宋体"/>
          <w:color w:val="auto"/>
          <w:sz w:val="24"/>
          <w:szCs w:val="24"/>
          <w:highlight w:val="none"/>
        </w:rPr>
        <w:t xml:space="preserve">办理                       </w:t>
      </w:r>
      <w:r>
        <w:rPr>
          <w:rFonts w:hint="eastAsia" w:hAnsi="宋体"/>
          <w:color w:val="auto"/>
          <w:sz w:val="24"/>
          <w:szCs w:val="24"/>
          <w:highlight w:val="none"/>
          <w:u w:val="single"/>
          <w:lang w:eastAsia="zh-CN"/>
        </w:rPr>
        <w:t>广州城投综合能源投资经营管理有限公司</w:t>
      </w:r>
      <w:r>
        <w:rPr>
          <w:rFonts w:hint="eastAsia" w:hAnsi="宋体"/>
          <w:color w:val="auto"/>
          <w:sz w:val="24"/>
          <w:szCs w:val="24"/>
          <w:highlight w:val="none"/>
        </w:rPr>
        <w:t>组织的“</w:t>
      </w:r>
      <w:r>
        <w:rPr>
          <w:rFonts w:hint="eastAsia" w:hAnsi="宋体"/>
          <w:color w:val="auto"/>
          <w:sz w:val="24"/>
          <w:szCs w:val="24"/>
          <w:highlight w:val="none"/>
          <w:u w:val="single"/>
          <w:lang w:eastAsia="zh-CN"/>
        </w:rPr>
        <w:t>广州大学城公司消防系统维护保养项目</w:t>
      </w:r>
      <w:r>
        <w:rPr>
          <w:rFonts w:hint="eastAsia" w:hAnsi="宋体"/>
          <w:color w:val="auto"/>
          <w:sz w:val="24"/>
          <w:szCs w:val="24"/>
          <w:highlight w:val="none"/>
        </w:rPr>
        <w:t>”的投标和合同执行，以采购方的名义处理一切与之有关的事宜。</w:t>
      </w:r>
    </w:p>
    <w:p>
      <w:pPr>
        <w:pStyle w:val="18"/>
        <w:spacing w:line="360" w:lineRule="auto"/>
        <w:ind w:firstLine="480" w:firstLineChars="200"/>
        <w:rPr>
          <w:rFonts w:hAnsi="宋体"/>
          <w:bCs/>
          <w:color w:val="auto"/>
          <w:sz w:val="24"/>
          <w:szCs w:val="24"/>
          <w:highlight w:val="none"/>
        </w:rPr>
      </w:pPr>
      <w:r>
        <w:rPr>
          <w:rFonts w:hint="eastAsia" w:hAnsi="宋体"/>
          <w:color w:val="auto"/>
          <w:sz w:val="24"/>
          <w:szCs w:val="24"/>
          <w:highlight w:val="none"/>
          <w:lang w:val="en-GB"/>
        </w:rPr>
        <w:t>本</w:t>
      </w:r>
      <w:r>
        <w:rPr>
          <w:rFonts w:hint="eastAsia" w:hAnsi="宋体"/>
          <w:color w:val="auto"/>
          <w:sz w:val="24"/>
          <w:szCs w:val="24"/>
          <w:highlight w:val="none"/>
        </w:rPr>
        <w:t>授权书</w:t>
      </w:r>
      <w:r>
        <w:rPr>
          <w:rFonts w:hint="eastAsia" w:hAnsi="宋体"/>
          <w:color w:val="auto"/>
          <w:sz w:val="24"/>
          <w:szCs w:val="24"/>
          <w:highlight w:val="none"/>
          <w:lang w:val="en-GB"/>
        </w:rPr>
        <w:t>自</w:t>
      </w:r>
      <w:r>
        <w:rPr>
          <w:rFonts w:hint="eastAsia" w:hAnsi="宋体"/>
          <w:color w:val="auto"/>
          <w:sz w:val="24"/>
          <w:szCs w:val="24"/>
          <w:highlight w:val="none"/>
        </w:rPr>
        <w:t>年月日</w:t>
      </w:r>
      <w:r>
        <w:rPr>
          <w:rFonts w:hint="eastAsia" w:hAnsi="宋体"/>
          <w:color w:val="auto"/>
          <w:sz w:val="24"/>
          <w:szCs w:val="24"/>
          <w:highlight w:val="none"/>
          <w:lang w:val="en-GB"/>
        </w:rPr>
        <w:t>签章之日起生效，特此声明。</w:t>
      </w:r>
    </w:p>
    <w:p>
      <w:pPr>
        <w:pStyle w:val="18"/>
        <w:spacing w:line="360" w:lineRule="auto"/>
        <w:ind w:firstLine="480" w:firstLineChars="200"/>
        <w:rPr>
          <w:rFonts w:hAnsi="宋体"/>
          <w:color w:val="auto"/>
          <w:sz w:val="24"/>
          <w:szCs w:val="24"/>
          <w:highlight w:val="none"/>
          <w:u w:val="single"/>
        </w:rPr>
      </w:pPr>
      <w:r>
        <w:rPr>
          <w:rFonts w:hint="eastAsia" w:hAnsi="宋体"/>
          <w:color w:val="auto"/>
          <w:sz w:val="24"/>
          <w:szCs w:val="24"/>
          <w:highlight w:val="none"/>
        </w:rPr>
        <w:t>附：代理人性别：   年龄：   职务：</w:t>
      </w:r>
    </w:p>
    <w:p>
      <w:pPr>
        <w:pStyle w:val="18"/>
        <w:spacing w:line="360" w:lineRule="auto"/>
        <w:ind w:firstLine="480" w:firstLineChars="200"/>
        <w:rPr>
          <w:rFonts w:hAnsi="宋体"/>
          <w:color w:val="auto"/>
          <w:sz w:val="24"/>
          <w:szCs w:val="24"/>
          <w:highlight w:val="none"/>
          <w:u w:val="single"/>
        </w:rPr>
      </w:pPr>
      <w:r>
        <w:rPr>
          <w:rFonts w:hint="eastAsia" w:hAnsi="宋体"/>
          <w:color w:val="auto"/>
          <w:sz w:val="24"/>
          <w:szCs w:val="24"/>
          <w:highlight w:val="none"/>
        </w:rPr>
        <w:t>　　身份证号码：</w:t>
      </w:r>
    </w:p>
    <w:p>
      <w:pPr>
        <w:pStyle w:val="18"/>
        <w:spacing w:line="360" w:lineRule="auto"/>
        <w:ind w:firstLine="480" w:firstLineChars="200"/>
        <w:rPr>
          <w:rFonts w:hAnsi="宋体"/>
          <w:color w:val="auto"/>
          <w:sz w:val="24"/>
          <w:szCs w:val="24"/>
          <w:highlight w:val="none"/>
          <w:u w:val="single"/>
        </w:rPr>
      </w:pPr>
      <w:r>
        <w:rPr>
          <w:rFonts w:hint="eastAsia" w:hAnsi="宋体"/>
          <w:color w:val="auto"/>
          <w:sz w:val="24"/>
          <w:szCs w:val="24"/>
          <w:highlight w:val="none"/>
        </w:rPr>
        <w:t>　　（营业执照等）注册号码：</w:t>
      </w:r>
    </w:p>
    <w:p>
      <w:pPr>
        <w:pStyle w:val="18"/>
        <w:spacing w:line="360" w:lineRule="auto"/>
        <w:ind w:firstLine="480" w:firstLineChars="200"/>
        <w:rPr>
          <w:rFonts w:hAnsi="宋体"/>
          <w:color w:val="auto"/>
          <w:sz w:val="24"/>
          <w:szCs w:val="24"/>
          <w:highlight w:val="none"/>
          <w:u w:val="single"/>
        </w:rPr>
      </w:pPr>
      <w:r>
        <w:rPr>
          <w:rFonts w:hint="eastAsia" w:hAnsi="宋体"/>
          <w:color w:val="auto"/>
          <w:sz w:val="24"/>
          <w:szCs w:val="24"/>
          <w:highlight w:val="none"/>
        </w:rPr>
        <w:t>　　企业类型：</w:t>
      </w:r>
    </w:p>
    <w:p>
      <w:pPr>
        <w:pStyle w:val="18"/>
        <w:spacing w:line="360" w:lineRule="auto"/>
        <w:ind w:firstLine="480" w:firstLineChars="200"/>
        <w:rPr>
          <w:rFonts w:hAnsi="宋体"/>
          <w:color w:val="auto"/>
          <w:sz w:val="24"/>
          <w:szCs w:val="24"/>
          <w:highlight w:val="none"/>
          <w:u w:val="single"/>
        </w:rPr>
      </w:pPr>
      <w:r>
        <w:rPr>
          <w:rFonts w:hint="eastAsia" w:hAnsi="宋体"/>
          <w:color w:val="auto"/>
          <w:sz w:val="24"/>
          <w:szCs w:val="24"/>
          <w:highlight w:val="none"/>
        </w:rPr>
        <w:t>　　经营范围：</w:t>
      </w:r>
    </w:p>
    <w:p>
      <w:pPr>
        <w:pStyle w:val="18"/>
        <w:spacing w:line="360" w:lineRule="auto"/>
        <w:rPr>
          <w:rFonts w:hAnsi="宋体"/>
          <w:color w:val="auto"/>
          <w:sz w:val="24"/>
          <w:szCs w:val="24"/>
          <w:highlight w:val="none"/>
        </w:rPr>
      </w:pPr>
      <w:r>
        <w:rPr>
          <w:rFonts w:hint="eastAsia" w:hAnsi="宋体"/>
          <w:color w:val="auto"/>
          <w:sz w:val="24"/>
          <w:szCs w:val="24"/>
          <w:highlight w:val="none"/>
        </w:rPr>
        <w:t>附：被授权人有效身份证正反面或其他身份证明材料复印　　　　　　　</w:t>
      </w:r>
    </w:p>
    <w:p>
      <w:pPr>
        <w:pStyle w:val="17"/>
        <w:spacing w:line="360" w:lineRule="auto"/>
        <w:jc w:val="both"/>
        <w:rPr>
          <w:rFonts w:hAnsi="宋体"/>
          <w:color w:val="auto"/>
          <w:sz w:val="24"/>
          <w:szCs w:val="24"/>
          <w:highlight w:val="none"/>
        </w:rPr>
      </w:pPr>
    </w:p>
    <w:p>
      <w:pPr>
        <w:pStyle w:val="17"/>
        <w:spacing w:line="360" w:lineRule="auto"/>
        <w:jc w:val="both"/>
        <w:rPr>
          <w:rFonts w:hAnsi="宋体" w:eastAsia="宋体" w:cs="宋体"/>
          <w:color w:val="auto"/>
          <w:sz w:val="28"/>
          <w:highlight w:val="none"/>
        </w:rPr>
      </w:pPr>
    </w:p>
    <w:p>
      <w:pPr>
        <w:pStyle w:val="17"/>
        <w:spacing w:line="360" w:lineRule="auto"/>
        <w:jc w:val="both"/>
        <w:rPr>
          <w:rFonts w:hAnsi="宋体" w:eastAsia="宋体" w:cs="宋体"/>
          <w:color w:val="auto"/>
          <w:sz w:val="28"/>
          <w:highlight w:val="none"/>
        </w:rPr>
      </w:pPr>
    </w:p>
    <w:p>
      <w:pPr>
        <w:pStyle w:val="17"/>
        <w:spacing w:line="360" w:lineRule="auto"/>
        <w:jc w:val="both"/>
        <w:rPr>
          <w:rFonts w:hAnsi="宋体" w:eastAsia="宋体" w:cs="宋体"/>
          <w:color w:val="auto"/>
          <w:sz w:val="28"/>
          <w:highlight w:val="none"/>
        </w:rPr>
      </w:pPr>
    </w:p>
    <w:p>
      <w:pPr>
        <w:pStyle w:val="17"/>
        <w:spacing w:line="360" w:lineRule="auto"/>
        <w:jc w:val="both"/>
        <w:rPr>
          <w:rFonts w:hAnsi="宋体" w:eastAsia="宋体" w:cs="宋体"/>
          <w:color w:val="auto"/>
          <w:sz w:val="28"/>
          <w:highlight w:val="none"/>
        </w:rPr>
      </w:pPr>
    </w:p>
    <w:p>
      <w:pPr>
        <w:pStyle w:val="17"/>
        <w:spacing w:line="360" w:lineRule="auto"/>
        <w:jc w:val="both"/>
        <w:rPr>
          <w:rFonts w:hAnsi="宋体" w:eastAsia="宋体" w:cs="宋体"/>
          <w:color w:val="auto"/>
          <w:sz w:val="28"/>
          <w:highlight w:val="none"/>
        </w:rPr>
      </w:pPr>
    </w:p>
    <w:p>
      <w:pPr>
        <w:pStyle w:val="17"/>
        <w:spacing w:line="360" w:lineRule="auto"/>
        <w:jc w:val="both"/>
        <w:rPr>
          <w:rFonts w:hAnsi="宋体" w:eastAsia="宋体" w:cs="宋体"/>
          <w:color w:val="auto"/>
          <w:sz w:val="24"/>
          <w:szCs w:val="24"/>
          <w:highlight w:val="none"/>
        </w:rPr>
      </w:pPr>
      <w:r>
        <w:rPr>
          <w:rFonts w:hint="eastAsia" w:hAnsi="宋体" w:eastAsia="宋体" w:cs="宋体"/>
          <w:color w:val="auto"/>
          <w:sz w:val="24"/>
          <w:szCs w:val="24"/>
          <w:highlight w:val="none"/>
        </w:rPr>
        <w:t>（单位盖章）：</w:t>
      </w:r>
    </w:p>
    <w:p>
      <w:pPr>
        <w:pStyle w:val="17"/>
        <w:spacing w:line="360" w:lineRule="auto"/>
        <w:jc w:val="both"/>
        <w:rPr>
          <w:rFonts w:hAnsi="宋体" w:eastAsia="宋体" w:cs="宋体"/>
          <w:color w:val="auto"/>
          <w:sz w:val="24"/>
          <w:szCs w:val="24"/>
          <w:highlight w:val="none"/>
        </w:rPr>
      </w:pPr>
    </w:p>
    <w:p>
      <w:pPr>
        <w:pStyle w:val="17"/>
        <w:spacing w:line="360" w:lineRule="auto"/>
        <w:jc w:val="both"/>
        <w:rPr>
          <w:rFonts w:hAnsi="宋体" w:eastAsia="宋体" w:cs="宋体"/>
          <w:color w:val="auto"/>
          <w:sz w:val="24"/>
          <w:szCs w:val="24"/>
          <w:highlight w:val="none"/>
        </w:rPr>
      </w:pPr>
      <w:r>
        <w:rPr>
          <w:rFonts w:hint="eastAsia" w:hAnsi="宋体" w:eastAsia="宋体" w:cs="宋体"/>
          <w:color w:val="auto"/>
          <w:sz w:val="24"/>
          <w:szCs w:val="24"/>
          <w:highlight w:val="none"/>
        </w:rPr>
        <w:t>法定代表人（签字或盖章）：</w:t>
      </w:r>
    </w:p>
    <w:p>
      <w:pPr>
        <w:pStyle w:val="17"/>
        <w:spacing w:line="360" w:lineRule="auto"/>
        <w:jc w:val="both"/>
        <w:rPr>
          <w:rFonts w:hAnsi="宋体" w:eastAsia="宋体" w:cs="宋体"/>
          <w:color w:val="auto"/>
          <w:sz w:val="24"/>
          <w:szCs w:val="24"/>
          <w:highlight w:val="none"/>
        </w:rPr>
      </w:pPr>
      <w:r>
        <w:rPr>
          <w:rFonts w:hint="eastAsia" w:hAnsi="宋体" w:eastAsia="宋体" w:cs="宋体"/>
          <w:color w:val="auto"/>
          <w:sz w:val="24"/>
          <w:szCs w:val="24"/>
          <w:highlight w:val="none"/>
        </w:rPr>
        <w:t>被授权人（签字或盖章）：</w:t>
      </w:r>
    </w:p>
    <w:p>
      <w:pPr>
        <w:pStyle w:val="17"/>
        <w:spacing w:line="360" w:lineRule="auto"/>
        <w:jc w:val="both"/>
        <w:rPr>
          <w:rFonts w:hAnsi="宋体" w:eastAsia="宋体" w:cs="宋体"/>
          <w:color w:val="auto"/>
          <w:sz w:val="24"/>
          <w:szCs w:val="24"/>
          <w:highlight w:val="none"/>
        </w:rPr>
      </w:pPr>
      <w:r>
        <w:rPr>
          <w:rFonts w:hint="eastAsia" w:hAnsi="宋体" w:eastAsia="宋体" w:cs="宋体"/>
          <w:color w:val="auto"/>
          <w:sz w:val="24"/>
          <w:szCs w:val="24"/>
          <w:highlight w:val="none"/>
        </w:rPr>
        <w:t>日期： 202</w:t>
      </w:r>
      <w:r>
        <w:rPr>
          <w:rFonts w:hint="eastAsia" w:hAnsi="宋体" w:eastAsia="宋体" w:cs="宋体"/>
          <w:color w:val="auto"/>
          <w:sz w:val="24"/>
          <w:szCs w:val="24"/>
          <w:highlight w:val="none"/>
          <w:lang w:val="en-US" w:eastAsia="zh-CN"/>
        </w:rPr>
        <w:t>3</w:t>
      </w:r>
      <w:r>
        <w:rPr>
          <w:rFonts w:hint="eastAsia" w:hAnsi="宋体" w:eastAsia="宋体" w:cs="宋体"/>
          <w:color w:val="auto"/>
          <w:sz w:val="24"/>
          <w:szCs w:val="24"/>
          <w:highlight w:val="none"/>
        </w:rPr>
        <w:t>年   月   日</w:t>
      </w:r>
    </w:p>
    <w:p>
      <w:pPr>
        <w:rPr>
          <w:color w:val="auto"/>
          <w:sz w:val="24"/>
          <w:highlight w:val="none"/>
        </w:rPr>
      </w:pPr>
      <w:r>
        <w:rPr>
          <w:rFonts w:hint="eastAsia" w:hAnsi="宋体" w:cs="宋体"/>
          <w:color w:val="auto"/>
          <w:sz w:val="24"/>
          <w:highlight w:val="none"/>
          <w:lang w:val="zh-CN"/>
        </w:rPr>
        <w:t>说明：法定代表人亲自办理投标事宜的，无需提交本证明书。</w:t>
      </w:r>
    </w:p>
    <w:p>
      <w:pPr>
        <w:spacing w:line="360" w:lineRule="auto"/>
        <w:rPr>
          <w:color w:val="auto"/>
          <w:sz w:val="28"/>
          <w:szCs w:val="28"/>
          <w:highlight w:val="none"/>
        </w:rPr>
      </w:pPr>
    </w:p>
    <w:p>
      <w:pPr>
        <w:rPr>
          <w:rFonts w:ascii="仿宋" w:hAnsi="仿宋" w:eastAsia="仿宋" w:cs="仿宋"/>
          <w:color w:val="auto"/>
          <w:szCs w:val="21"/>
          <w:highlight w:val="none"/>
        </w:rPr>
      </w:pPr>
      <w:r>
        <w:rPr>
          <w:rFonts w:ascii="仿宋" w:hAnsi="仿宋" w:eastAsia="仿宋" w:cs="仿宋"/>
          <w:color w:val="auto"/>
          <w:szCs w:val="21"/>
          <w:highlight w:val="none"/>
        </w:rPr>
        <w:br w:type="page"/>
      </w:r>
    </w:p>
    <w:p>
      <w:pPr>
        <w:rPr>
          <w:rFonts w:hAnsi="宋体"/>
          <w:color w:val="auto"/>
          <w:sz w:val="30"/>
          <w:szCs w:val="30"/>
          <w:highlight w:val="none"/>
        </w:rPr>
      </w:pPr>
      <w:r>
        <w:rPr>
          <w:rFonts w:hint="eastAsia" w:ascii="宋体" w:hAnsi="宋体" w:cs="Arial"/>
          <w:color w:val="auto"/>
          <w:sz w:val="30"/>
          <w:szCs w:val="30"/>
          <w:highlight w:val="none"/>
        </w:rPr>
        <w:t>附件</w:t>
      </w:r>
      <w:r>
        <w:rPr>
          <w:rFonts w:ascii="宋体" w:hAnsi="宋体" w:cs="Arial"/>
          <w:color w:val="auto"/>
          <w:sz w:val="30"/>
          <w:szCs w:val="30"/>
          <w:highlight w:val="none"/>
        </w:rPr>
        <w:t>5</w:t>
      </w:r>
    </w:p>
    <w:p>
      <w:pPr>
        <w:ind w:firstLine="2891" w:firstLineChars="800"/>
        <w:rPr>
          <w:rFonts w:ascii="宋体" w:hAnsi="宋体" w:cs="宋体"/>
          <w:b/>
          <w:bCs/>
          <w:color w:val="auto"/>
          <w:sz w:val="36"/>
          <w:szCs w:val="36"/>
          <w:highlight w:val="none"/>
        </w:rPr>
      </w:pPr>
      <w:r>
        <w:rPr>
          <w:rFonts w:hint="eastAsia" w:ascii="宋体" w:hAnsi="宋体" w:cs="宋体"/>
          <w:b/>
          <w:bCs/>
          <w:color w:val="auto"/>
          <w:sz w:val="36"/>
          <w:szCs w:val="36"/>
          <w:highlight w:val="none"/>
        </w:rPr>
        <w:t>投标人资格审查表</w:t>
      </w:r>
    </w:p>
    <w:p>
      <w:pPr>
        <w:spacing w:line="360" w:lineRule="auto"/>
        <w:rPr>
          <w:rFonts w:hint="eastAsia" w:ascii="宋体" w:hAnsi="宋体" w:eastAsia="宋体"/>
          <w:bCs/>
          <w:color w:val="auto"/>
          <w:szCs w:val="21"/>
          <w:highlight w:val="none"/>
          <w:lang w:eastAsia="zh-CN"/>
        </w:rPr>
      </w:pPr>
      <w:r>
        <w:rPr>
          <w:rFonts w:hint="eastAsia" w:ascii="宋体" w:hAnsi="宋体"/>
          <w:bCs/>
          <w:color w:val="auto"/>
          <w:szCs w:val="21"/>
          <w:highlight w:val="none"/>
        </w:rPr>
        <w:t>项目名称：</w:t>
      </w:r>
      <w:r>
        <w:rPr>
          <w:rFonts w:hint="eastAsia" w:ascii="宋体" w:hAnsi="宋体" w:cs="宋体"/>
          <w:color w:val="auto"/>
          <w:kern w:val="0"/>
          <w:szCs w:val="21"/>
          <w:highlight w:val="none"/>
          <w:lang w:eastAsia="zh-CN"/>
        </w:rPr>
        <w:t>广州大学城公司消防系统维护保养项目</w:t>
      </w:r>
    </w:p>
    <w:tbl>
      <w:tblPr>
        <w:tblStyle w:val="15"/>
        <w:tblW w:w="874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0"/>
        <w:gridCol w:w="6509"/>
        <w:gridCol w:w="15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
                <w:color w:val="auto"/>
                <w:szCs w:val="21"/>
                <w:highlight w:val="none"/>
              </w:rPr>
            </w:pPr>
            <w:r>
              <w:rPr>
                <w:rFonts w:hint="eastAsia" w:ascii="宋体" w:hAnsi="宋体" w:cs="宋体"/>
                <w:b/>
                <w:bCs/>
                <w:color w:val="auto"/>
                <w:szCs w:val="21"/>
                <w:highlight w:val="none"/>
              </w:rPr>
              <w:t>序号</w:t>
            </w:r>
          </w:p>
        </w:tc>
        <w:tc>
          <w:tcPr>
            <w:tcW w:w="6509" w:type="dxa"/>
            <w:vAlign w:val="center"/>
          </w:tcPr>
          <w:p>
            <w:pPr>
              <w:jc w:val="center"/>
              <w:rPr>
                <w:rFonts w:ascii="宋体" w:hAnsi="宋体"/>
                <w:b/>
                <w:color w:val="auto"/>
                <w:szCs w:val="21"/>
                <w:highlight w:val="none"/>
              </w:rPr>
            </w:pPr>
            <w:r>
              <w:rPr>
                <w:rFonts w:hint="eastAsia" w:ascii="宋体" w:hAnsi="宋体" w:cs="宋体"/>
                <w:b/>
                <w:bCs/>
                <w:color w:val="auto"/>
                <w:szCs w:val="21"/>
                <w:highlight w:val="none"/>
              </w:rPr>
              <w:t>评审内容</w:t>
            </w:r>
          </w:p>
        </w:tc>
        <w:tc>
          <w:tcPr>
            <w:tcW w:w="1549" w:type="dxa"/>
            <w:vAlign w:val="center"/>
          </w:tcPr>
          <w:p>
            <w:pPr>
              <w:rPr>
                <w:rFonts w:ascii="宋体" w:hAnsi="宋体"/>
                <w:b/>
                <w:color w:val="auto"/>
                <w:szCs w:val="21"/>
                <w:highlight w:val="none"/>
              </w:rPr>
            </w:pPr>
            <w:r>
              <w:rPr>
                <w:rFonts w:hint="eastAsia" w:ascii="宋体" w:hAnsi="宋体" w:cs="宋体"/>
                <w:b/>
                <w:bCs/>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shd w:val="clear" w:color="auto" w:fill="auto"/>
            <w:vAlign w:val="center"/>
          </w:tcPr>
          <w:p>
            <w:pPr>
              <w:rPr>
                <w:rFonts w:ascii="宋体" w:hAnsi="宋体"/>
                <w:bCs/>
                <w:color w:val="auto"/>
                <w:szCs w:val="21"/>
                <w:highlight w:val="none"/>
              </w:rPr>
            </w:pPr>
            <w:r>
              <w:rPr>
                <w:rFonts w:hint="eastAsia" w:ascii="宋体" w:hAnsi="宋体" w:cs="宋体"/>
                <w:color w:val="auto"/>
                <w:szCs w:val="21"/>
                <w:highlight w:val="none"/>
              </w:rPr>
              <w:t>1</w:t>
            </w:r>
          </w:p>
        </w:tc>
        <w:tc>
          <w:tcPr>
            <w:tcW w:w="6509" w:type="dxa"/>
            <w:shd w:val="clear" w:color="auto" w:fill="auto"/>
            <w:vAlign w:val="center"/>
          </w:tcPr>
          <w:p>
            <w:pPr>
              <w:rPr>
                <w:rFonts w:ascii="宋体" w:hAnsi="宋体"/>
                <w:color w:val="auto"/>
                <w:szCs w:val="21"/>
                <w:highlight w:val="none"/>
              </w:rPr>
            </w:pPr>
            <w:r>
              <w:rPr>
                <w:rFonts w:hint="eastAsia" w:ascii="宋体" w:hAnsi="宋体"/>
                <w:color w:val="auto"/>
                <w:szCs w:val="21"/>
                <w:highlight w:val="none"/>
              </w:rPr>
              <w:t>具备有效的工商营业执照、企业法人组织机构代码证书、税务登记证书（或三证合一）（复印件盖章）</w:t>
            </w:r>
          </w:p>
        </w:tc>
        <w:tc>
          <w:tcPr>
            <w:tcW w:w="1549" w:type="dxa"/>
            <w:vAlign w:val="center"/>
          </w:tcPr>
          <w:p>
            <w:pPr>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shd w:val="clear" w:color="auto" w:fill="auto"/>
            <w:vAlign w:val="center"/>
          </w:tcPr>
          <w:p>
            <w:pPr>
              <w:rPr>
                <w:rFonts w:ascii="宋体" w:hAnsi="宋体" w:cs="宋体"/>
                <w:color w:val="auto"/>
                <w:szCs w:val="21"/>
                <w:highlight w:val="none"/>
              </w:rPr>
            </w:pPr>
            <w:r>
              <w:rPr>
                <w:rFonts w:ascii="宋体" w:hAnsi="宋体" w:cs="宋体"/>
                <w:color w:val="auto"/>
                <w:szCs w:val="21"/>
                <w:highlight w:val="none"/>
              </w:rPr>
              <w:t>2</w:t>
            </w:r>
          </w:p>
        </w:tc>
        <w:tc>
          <w:tcPr>
            <w:tcW w:w="6509" w:type="dxa"/>
            <w:shd w:val="clear" w:color="auto" w:fill="auto"/>
            <w:vAlign w:val="center"/>
          </w:tcPr>
          <w:p>
            <w:pPr>
              <w:rPr>
                <w:rFonts w:ascii="宋体" w:hAnsi="宋体" w:cs="宋体"/>
                <w:color w:val="auto"/>
                <w:szCs w:val="21"/>
                <w:highlight w:val="none"/>
              </w:rPr>
            </w:pPr>
            <w:r>
              <w:rPr>
                <w:rFonts w:hint="eastAsia" w:ascii="宋体" w:hAnsi="宋体" w:cs="宋体"/>
                <w:color w:val="auto"/>
                <w:szCs w:val="21"/>
                <w:highlight w:val="none"/>
              </w:rPr>
              <w:t>法定代表人证明书原件或法定代表人授权委托书原件</w:t>
            </w:r>
          </w:p>
        </w:tc>
        <w:tc>
          <w:tcPr>
            <w:tcW w:w="1549" w:type="dxa"/>
            <w:vAlign w:val="center"/>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hint="eastAsia" w:ascii="宋体" w:hAnsi="宋体" w:eastAsia="宋体"/>
                <w:bCs/>
                <w:color w:val="auto"/>
                <w:szCs w:val="21"/>
                <w:highlight w:val="none"/>
                <w:lang w:eastAsia="zh-CN"/>
              </w:rPr>
            </w:pPr>
            <w:r>
              <w:rPr>
                <w:rFonts w:hint="eastAsia" w:ascii="宋体" w:hAnsi="宋体"/>
                <w:bCs/>
                <w:color w:val="auto"/>
                <w:szCs w:val="21"/>
                <w:highlight w:val="none"/>
                <w:lang w:val="en-US" w:eastAsia="zh-CN"/>
              </w:rPr>
              <w:t>3</w:t>
            </w:r>
          </w:p>
        </w:tc>
        <w:tc>
          <w:tcPr>
            <w:tcW w:w="6509" w:type="dxa"/>
            <w:vAlign w:val="center"/>
          </w:tcPr>
          <w:p>
            <w:pPr>
              <w:rPr>
                <w:rFonts w:ascii="宋体" w:hAnsi="宋体" w:cs="宋体"/>
                <w:color w:val="auto"/>
                <w:szCs w:val="21"/>
                <w:highlight w:val="none"/>
              </w:rPr>
            </w:pPr>
            <w:r>
              <w:rPr>
                <w:rFonts w:hint="eastAsia" w:ascii="宋体" w:hAnsi="宋体" w:cs="宋体"/>
                <w:color w:val="auto"/>
                <w:sz w:val="21"/>
                <w:szCs w:val="21"/>
                <w:highlight w:val="none"/>
              </w:rPr>
              <w:t>提供在社会消防技术服务信息系统网站平台上（https://shhxf.119.gov.cn/）消防设施维护保养资质的截图材料</w:t>
            </w:r>
          </w:p>
        </w:tc>
        <w:tc>
          <w:tcPr>
            <w:tcW w:w="1549" w:type="dxa"/>
            <w:vAlign w:val="center"/>
          </w:tcPr>
          <w:p>
            <w:pPr>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hint="eastAsia" w:ascii="宋体" w:hAnsi="宋体" w:eastAsia="宋体"/>
                <w:bCs/>
                <w:color w:val="auto"/>
                <w:szCs w:val="21"/>
                <w:highlight w:val="none"/>
                <w:lang w:eastAsia="zh-CN"/>
              </w:rPr>
            </w:pPr>
            <w:r>
              <w:rPr>
                <w:rFonts w:hint="eastAsia" w:ascii="宋体" w:hAnsi="宋体"/>
                <w:bCs/>
                <w:color w:val="auto"/>
                <w:szCs w:val="21"/>
                <w:highlight w:val="none"/>
                <w:lang w:val="en-US" w:eastAsia="zh-CN"/>
              </w:rPr>
              <w:t>4</w:t>
            </w:r>
          </w:p>
        </w:tc>
        <w:tc>
          <w:tcPr>
            <w:tcW w:w="6509" w:type="dxa"/>
            <w:vAlign w:val="center"/>
          </w:tcPr>
          <w:p>
            <w:pPr>
              <w:rPr>
                <w:rFonts w:ascii="宋体" w:hAnsi="宋体" w:cs="宋体"/>
                <w:color w:val="auto"/>
                <w:szCs w:val="21"/>
                <w:highlight w:val="none"/>
              </w:rPr>
            </w:pPr>
            <w:r>
              <w:rPr>
                <w:rFonts w:hint="eastAsia" w:ascii="宋体" w:hAnsi="宋体" w:cs="宋体"/>
                <w:color w:val="auto"/>
                <w:szCs w:val="21"/>
                <w:highlight w:val="none"/>
              </w:rPr>
              <w:t>投标人近3年内(20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年1月1日至今)完成过质量合格的类似工程项目业绩（需提供合同等相关证明材料复印件）</w:t>
            </w:r>
          </w:p>
        </w:tc>
        <w:tc>
          <w:tcPr>
            <w:tcW w:w="1549" w:type="dxa"/>
            <w:vAlign w:val="center"/>
          </w:tcPr>
          <w:p>
            <w:pPr>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Cs/>
                <w:color w:val="auto"/>
                <w:szCs w:val="21"/>
                <w:highlight w:val="none"/>
              </w:rPr>
            </w:pPr>
          </w:p>
        </w:tc>
        <w:tc>
          <w:tcPr>
            <w:tcW w:w="6509" w:type="dxa"/>
            <w:vAlign w:val="center"/>
          </w:tcPr>
          <w:p>
            <w:pPr>
              <w:rPr>
                <w:rFonts w:ascii="宋体" w:hAnsi="宋体"/>
                <w:color w:val="auto"/>
                <w:szCs w:val="21"/>
                <w:highlight w:val="none"/>
              </w:rPr>
            </w:pPr>
            <w:r>
              <w:rPr>
                <w:rFonts w:hint="eastAsia" w:ascii="宋体" w:hAnsi="宋体" w:cs="宋体"/>
                <w:b/>
                <w:bCs/>
                <w:color w:val="auto"/>
                <w:szCs w:val="21"/>
                <w:highlight w:val="none"/>
              </w:rPr>
              <w:t>评审结论（</w:t>
            </w:r>
            <w:r>
              <w:rPr>
                <w:rFonts w:hint="eastAsia" w:ascii="宋体" w:hAnsi="宋体"/>
                <w:color w:val="auto"/>
                <w:szCs w:val="21"/>
                <w:highlight w:val="none"/>
              </w:rPr>
              <w:t>通过/不通过</w:t>
            </w:r>
            <w:r>
              <w:rPr>
                <w:rFonts w:hint="eastAsia" w:ascii="宋体" w:hAnsi="宋体" w:cs="宋体"/>
                <w:b/>
                <w:bCs/>
                <w:color w:val="auto"/>
                <w:szCs w:val="21"/>
                <w:highlight w:val="none"/>
              </w:rPr>
              <w:t>）</w:t>
            </w:r>
          </w:p>
        </w:tc>
        <w:tc>
          <w:tcPr>
            <w:tcW w:w="1549" w:type="dxa"/>
            <w:vAlign w:val="center"/>
          </w:tcPr>
          <w:p>
            <w:pPr>
              <w:spacing w:line="360" w:lineRule="auto"/>
              <w:rPr>
                <w:rFonts w:ascii="宋体" w:hAnsi="宋体"/>
                <w:b/>
                <w:color w:val="auto"/>
                <w:szCs w:val="21"/>
                <w:highlight w:val="none"/>
              </w:rPr>
            </w:pPr>
          </w:p>
        </w:tc>
      </w:tr>
    </w:tbl>
    <w:p>
      <w:pPr>
        <w:spacing w:line="400" w:lineRule="exact"/>
        <w:rPr>
          <w:rFonts w:ascii="宋体" w:hAnsi="宋体"/>
          <w:color w:val="auto"/>
          <w:szCs w:val="21"/>
          <w:highlight w:val="none"/>
        </w:rPr>
      </w:pPr>
      <w:r>
        <w:rPr>
          <w:rFonts w:hint="eastAsia" w:ascii="宋体" w:hAnsi="宋体"/>
          <w:color w:val="auto"/>
          <w:szCs w:val="21"/>
          <w:highlight w:val="none"/>
        </w:rPr>
        <w:t>注：</w:t>
      </w:r>
    </w:p>
    <w:p>
      <w:pPr>
        <w:numPr>
          <w:ilvl w:val="0"/>
          <w:numId w:val="5"/>
        </w:num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投标人分栏中填写“√”表示该项符合竞选文件要求，“×”表示该项不符合竞选文件要求，“○”表示无该项内容；</w:t>
      </w:r>
    </w:p>
    <w:p>
      <w:pPr>
        <w:numPr>
          <w:ilvl w:val="0"/>
          <w:numId w:val="5"/>
        </w:num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经评标委员会审核后，出现一个“×”的结论为“不通过”，即按废标处理。</w:t>
      </w:r>
    </w:p>
    <w:p>
      <w:pPr>
        <w:numPr>
          <w:ilvl w:val="0"/>
          <w:numId w:val="5"/>
        </w:num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表中全部条件满足为“通过”，同意进入下一阶段评审。</w:t>
      </w:r>
    </w:p>
    <w:p>
      <w:pPr>
        <w:numPr>
          <w:ilvl w:val="0"/>
          <w:numId w:val="5"/>
        </w:numPr>
        <w:adjustRightInd w:val="0"/>
        <w:snapToGrid w:val="0"/>
        <w:spacing w:line="400" w:lineRule="exact"/>
        <w:rPr>
          <w:rFonts w:ascii="宋体" w:hAnsi="宋体"/>
          <w:color w:val="auto"/>
          <w:szCs w:val="21"/>
          <w:highlight w:val="none"/>
        </w:rPr>
      </w:pPr>
      <w:r>
        <w:rPr>
          <w:rFonts w:hint="eastAsia"/>
          <w:color w:val="auto"/>
          <w:szCs w:val="21"/>
          <w:highlight w:val="none"/>
        </w:rPr>
        <w:t>如对本表中某种情形的</w:t>
      </w:r>
      <w:r>
        <w:rPr>
          <w:rFonts w:hint="eastAsia" w:ascii="宋体" w:hAnsi="宋体"/>
          <w:color w:val="auto"/>
          <w:szCs w:val="21"/>
          <w:highlight w:val="none"/>
        </w:rPr>
        <w:t>评委意见不一致时，</w:t>
      </w:r>
      <w:r>
        <w:rPr>
          <w:rFonts w:hint="eastAsia"/>
          <w:color w:val="auto"/>
          <w:szCs w:val="21"/>
          <w:highlight w:val="none"/>
        </w:rPr>
        <w:t>以评标委员会过半数成员的意见作为评标委员会对该情形的认定结论。</w:t>
      </w:r>
    </w:p>
    <w:p>
      <w:pPr>
        <w:adjustRightInd w:val="0"/>
        <w:snapToGrid w:val="0"/>
        <w:spacing w:line="400" w:lineRule="exact"/>
        <w:rPr>
          <w:rFonts w:ascii="宋体" w:hAnsi="宋体"/>
          <w:color w:val="auto"/>
          <w:szCs w:val="21"/>
          <w:highlight w:val="none"/>
        </w:rPr>
      </w:pPr>
    </w:p>
    <w:p>
      <w:pPr>
        <w:spacing w:line="400" w:lineRule="exact"/>
        <w:rPr>
          <w:rFonts w:ascii="宋体" w:hAnsi="宋体"/>
          <w:bCs/>
          <w:color w:val="auto"/>
          <w:szCs w:val="21"/>
          <w:highlight w:val="none"/>
        </w:rPr>
      </w:pPr>
      <w:r>
        <w:rPr>
          <w:rFonts w:hint="eastAsia" w:ascii="宋体" w:hAnsi="宋体"/>
          <w:bCs/>
          <w:color w:val="auto"/>
          <w:szCs w:val="21"/>
          <w:highlight w:val="none"/>
        </w:rPr>
        <w:t xml:space="preserve">评委签名：    </w:t>
      </w:r>
    </w:p>
    <w:p>
      <w:pPr>
        <w:spacing w:line="400" w:lineRule="exact"/>
        <w:ind w:left="420"/>
        <w:rPr>
          <w:rFonts w:ascii="宋体" w:hAnsi="宋体"/>
          <w:bCs/>
          <w:color w:val="auto"/>
          <w:szCs w:val="21"/>
          <w:highlight w:val="none"/>
        </w:rPr>
      </w:pPr>
    </w:p>
    <w:p>
      <w:pPr>
        <w:spacing w:line="400" w:lineRule="exact"/>
        <w:rPr>
          <w:rFonts w:ascii="宋体" w:hAnsi="宋体"/>
          <w:color w:val="auto"/>
          <w:szCs w:val="21"/>
          <w:highlight w:val="none"/>
        </w:rPr>
      </w:pPr>
      <w:r>
        <w:rPr>
          <w:rFonts w:hint="eastAsia" w:ascii="宋体" w:hAnsi="宋体"/>
          <w:bCs/>
          <w:color w:val="auto"/>
          <w:szCs w:val="21"/>
          <w:highlight w:val="none"/>
        </w:rPr>
        <w:t>日 期：</w:t>
      </w:r>
      <w:r>
        <w:rPr>
          <w:rFonts w:ascii="宋体" w:hAnsi="宋体"/>
          <w:color w:val="auto"/>
          <w:szCs w:val="21"/>
          <w:highlight w:val="none"/>
        </w:rPr>
        <w:t>202</w:t>
      </w:r>
      <w:r>
        <w:rPr>
          <w:rFonts w:hint="eastAsia" w:ascii="宋体" w:hAnsi="宋体"/>
          <w:color w:val="auto"/>
          <w:szCs w:val="21"/>
          <w:highlight w:val="none"/>
          <w:lang w:val="en-US" w:eastAsia="zh-CN"/>
        </w:rPr>
        <w:t>3</w:t>
      </w:r>
      <w:r>
        <w:rPr>
          <w:rFonts w:hint="eastAsia" w:ascii="宋体" w:hAnsi="宋体"/>
          <w:color w:val="auto"/>
          <w:szCs w:val="21"/>
          <w:highlight w:val="none"/>
        </w:rPr>
        <w:t>年   月   日</w:t>
      </w:r>
    </w:p>
    <w:p>
      <w:pPr>
        <w:rPr>
          <w:rFonts w:ascii="仿宋" w:hAnsi="仿宋" w:eastAsia="仿宋" w:cs="仿宋"/>
          <w:color w:val="auto"/>
          <w:szCs w:val="21"/>
          <w:highlight w:val="none"/>
        </w:rPr>
      </w:pPr>
      <w:r>
        <w:rPr>
          <w:rFonts w:ascii="仿宋" w:hAnsi="仿宋" w:eastAsia="仿宋" w:cs="仿宋"/>
          <w:color w:val="auto"/>
          <w:szCs w:val="21"/>
          <w:highlight w:val="none"/>
        </w:rPr>
        <w:br w:type="page"/>
      </w:r>
    </w:p>
    <w:p>
      <w:pPr>
        <w:spacing w:line="400" w:lineRule="exact"/>
        <w:rPr>
          <w:rFonts w:hAnsi="宋体"/>
          <w:color w:val="auto"/>
          <w:szCs w:val="21"/>
          <w:highlight w:val="none"/>
        </w:rPr>
      </w:pPr>
      <w:r>
        <w:rPr>
          <w:rFonts w:hint="eastAsia" w:ascii="宋体" w:hAnsi="宋体" w:cs="Arial"/>
          <w:color w:val="auto"/>
          <w:sz w:val="30"/>
          <w:szCs w:val="30"/>
          <w:highlight w:val="none"/>
        </w:rPr>
        <w:t>附件</w:t>
      </w:r>
      <w:r>
        <w:rPr>
          <w:rFonts w:ascii="宋体" w:hAnsi="宋体" w:cs="Arial"/>
          <w:color w:val="auto"/>
          <w:sz w:val="30"/>
          <w:szCs w:val="30"/>
          <w:highlight w:val="none"/>
        </w:rPr>
        <w:t>6</w:t>
      </w:r>
    </w:p>
    <w:p>
      <w:pPr>
        <w:jc w:val="center"/>
        <w:rPr>
          <w:rFonts w:ascii="宋体" w:hAnsi="宋体" w:cs="宋体"/>
          <w:b/>
          <w:bCs/>
          <w:color w:val="auto"/>
          <w:sz w:val="24"/>
          <w:highlight w:val="none"/>
        </w:rPr>
      </w:pPr>
      <w:r>
        <w:rPr>
          <w:rFonts w:hint="eastAsia" w:ascii="宋体" w:hAnsi="宋体" w:cs="宋体"/>
          <w:b/>
          <w:bCs/>
          <w:color w:val="auto"/>
          <w:sz w:val="36"/>
          <w:szCs w:val="36"/>
          <w:highlight w:val="none"/>
        </w:rPr>
        <w:t>投标文件有效性审查表</w:t>
      </w:r>
    </w:p>
    <w:p>
      <w:pPr>
        <w:spacing w:line="360" w:lineRule="auto"/>
        <w:rPr>
          <w:rFonts w:hint="eastAsia" w:ascii="宋体" w:hAnsi="宋体" w:eastAsia="宋体"/>
          <w:bCs/>
          <w:color w:val="auto"/>
          <w:szCs w:val="21"/>
          <w:highlight w:val="none"/>
          <w:lang w:eastAsia="zh-CN"/>
        </w:rPr>
      </w:pPr>
      <w:r>
        <w:rPr>
          <w:rFonts w:hint="eastAsia" w:ascii="宋体" w:hAnsi="宋体"/>
          <w:bCs/>
          <w:color w:val="auto"/>
          <w:szCs w:val="21"/>
          <w:highlight w:val="none"/>
        </w:rPr>
        <w:t>项目名称：</w:t>
      </w:r>
      <w:r>
        <w:rPr>
          <w:rFonts w:hint="eastAsia" w:ascii="宋体" w:hAnsi="宋体"/>
          <w:bCs/>
          <w:color w:val="auto"/>
          <w:szCs w:val="21"/>
          <w:highlight w:val="none"/>
          <w:lang w:eastAsia="zh-CN"/>
        </w:rPr>
        <w:t>广州大学城公司消防系统维护保养项目</w:t>
      </w:r>
    </w:p>
    <w:tbl>
      <w:tblPr>
        <w:tblStyle w:val="15"/>
        <w:tblW w:w="8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rPr>
                <w:rFonts w:ascii="宋体" w:hAnsi="宋体"/>
                <w:b/>
                <w:color w:val="auto"/>
                <w:szCs w:val="21"/>
                <w:highlight w:val="none"/>
              </w:rPr>
            </w:pPr>
            <w:r>
              <w:rPr>
                <w:rFonts w:hint="eastAsia" w:ascii="宋体" w:hAnsi="宋体" w:cs="宋体"/>
                <w:b/>
                <w:bCs/>
                <w:color w:val="auto"/>
                <w:szCs w:val="21"/>
                <w:highlight w:val="none"/>
              </w:rPr>
              <w:t>序号</w:t>
            </w:r>
          </w:p>
        </w:tc>
        <w:tc>
          <w:tcPr>
            <w:tcW w:w="6225" w:type="dxa"/>
            <w:vAlign w:val="center"/>
          </w:tcPr>
          <w:p>
            <w:pPr>
              <w:jc w:val="center"/>
              <w:rPr>
                <w:rFonts w:ascii="宋体" w:hAnsi="宋体"/>
                <w:b/>
                <w:color w:val="auto"/>
                <w:szCs w:val="21"/>
                <w:highlight w:val="none"/>
              </w:rPr>
            </w:pPr>
            <w:r>
              <w:rPr>
                <w:rFonts w:hint="eastAsia" w:ascii="宋体" w:hAnsi="宋体" w:cs="宋体"/>
                <w:b/>
                <w:bCs/>
                <w:color w:val="auto"/>
                <w:szCs w:val="21"/>
                <w:highlight w:val="none"/>
              </w:rPr>
              <w:t>评审内容</w:t>
            </w:r>
          </w:p>
        </w:tc>
        <w:tc>
          <w:tcPr>
            <w:tcW w:w="1183" w:type="dxa"/>
            <w:vAlign w:val="center"/>
          </w:tcPr>
          <w:p>
            <w:pPr>
              <w:rPr>
                <w:rFonts w:ascii="宋体" w:hAnsi="宋体"/>
                <w:b/>
                <w:color w:val="auto"/>
                <w:szCs w:val="21"/>
                <w:highlight w:val="none"/>
              </w:rPr>
            </w:pPr>
            <w:r>
              <w:rPr>
                <w:rFonts w:hint="eastAsia" w:ascii="宋体" w:hAnsi="宋体" w:cs="宋体"/>
                <w:b/>
                <w:bCs/>
                <w:color w:val="auto"/>
                <w:szCs w:val="21"/>
                <w:highlight w:val="none"/>
              </w:rPr>
              <w:t>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color w:val="auto"/>
                <w:szCs w:val="21"/>
                <w:highlight w:val="none"/>
              </w:rPr>
            </w:pPr>
            <w:r>
              <w:rPr>
                <w:rFonts w:hint="eastAsia" w:ascii="宋体" w:hAnsi="宋体" w:cs="宋体"/>
                <w:color w:val="auto"/>
                <w:szCs w:val="21"/>
                <w:highlight w:val="none"/>
              </w:rPr>
              <w:t>1</w:t>
            </w:r>
          </w:p>
        </w:tc>
        <w:tc>
          <w:tcPr>
            <w:tcW w:w="6225" w:type="dxa"/>
            <w:shd w:val="clear" w:color="auto" w:fill="auto"/>
            <w:vAlign w:val="center"/>
          </w:tcPr>
          <w:p>
            <w:pPr>
              <w:rPr>
                <w:rFonts w:ascii="宋体" w:hAnsi="宋体"/>
                <w:color w:val="auto"/>
                <w:szCs w:val="21"/>
                <w:highlight w:val="none"/>
              </w:rPr>
            </w:pPr>
            <w:r>
              <w:rPr>
                <w:rFonts w:hint="eastAsia" w:ascii="宋体" w:hAnsi="宋体"/>
                <w:color w:val="auto"/>
                <w:szCs w:val="21"/>
                <w:highlight w:val="none"/>
              </w:rPr>
              <w:t>投标文件未按竞选文件的规定密封、盖章和签署；</w:t>
            </w:r>
          </w:p>
        </w:tc>
        <w:tc>
          <w:tcPr>
            <w:tcW w:w="1183" w:type="dxa"/>
            <w:vAlign w:val="center"/>
          </w:tcPr>
          <w:p>
            <w:pPr>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color w:val="auto"/>
                <w:szCs w:val="21"/>
                <w:highlight w:val="none"/>
              </w:rPr>
            </w:pPr>
            <w:r>
              <w:rPr>
                <w:rFonts w:hint="eastAsia" w:ascii="宋体" w:hAnsi="宋体" w:cs="宋体"/>
                <w:color w:val="auto"/>
                <w:szCs w:val="21"/>
                <w:highlight w:val="none"/>
              </w:rPr>
              <w:t>2</w:t>
            </w:r>
          </w:p>
        </w:tc>
        <w:tc>
          <w:tcPr>
            <w:tcW w:w="6225" w:type="dxa"/>
            <w:shd w:val="clear" w:color="auto" w:fill="auto"/>
            <w:vAlign w:val="center"/>
          </w:tcPr>
          <w:p>
            <w:pPr>
              <w:rPr>
                <w:rFonts w:ascii="宋体" w:hAnsi="宋体"/>
                <w:color w:val="auto"/>
                <w:szCs w:val="21"/>
                <w:highlight w:val="none"/>
              </w:rPr>
            </w:pPr>
            <w:r>
              <w:rPr>
                <w:rFonts w:hint="eastAsia" w:ascii="宋体" w:hAnsi="宋体"/>
                <w:color w:val="auto"/>
                <w:szCs w:val="21"/>
                <w:highlight w:val="none"/>
              </w:rPr>
              <w:t>投标文件未按竞选文件规定的格式填写，内容不全或关键字迹模糊、无法辩认；</w:t>
            </w:r>
          </w:p>
        </w:tc>
        <w:tc>
          <w:tcPr>
            <w:tcW w:w="1183" w:type="dxa"/>
            <w:vAlign w:val="center"/>
          </w:tcPr>
          <w:p>
            <w:pPr>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color w:val="auto"/>
                <w:szCs w:val="21"/>
                <w:highlight w:val="none"/>
              </w:rPr>
            </w:pPr>
            <w:r>
              <w:rPr>
                <w:rFonts w:hint="eastAsia" w:ascii="宋体" w:hAnsi="宋体" w:cs="宋体"/>
                <w:color w:val="auto"/>
                <w:szCs w:val="21"/>
                <w:highlight w:val="none"/>
              </w:rPr>
              <w:t>3</w:t>
            </w:r>
          </w:p>
        </w:tc>
        <w:tc>
          <w:tcPr>
            <w:tcW w:w="6225" w:type="dxa"/>
            <w:shd w:val="clear" w:color="auto" w:fill="auto"/>
            <w:vAlign w:val="center"/>
          </w:tcPr>
          <w:p>
            <w:pPr>
              <w:rPr>
                <w:rFonts w:ascii="宋体" w:hAnsi="宋体"/>
                <w:color w:val="auto"/>
                <w:szCs w:val="21"/>
                <w:highlight w:val="none"/>
              </w:rPr>
            </w:pPr>
            <w:r>
              <w:rPr>
                <w:rFonts w:hint="eastAsia" w:ascii="宋体" w:hAnsi="宋体" w:cs="宋体"/>
                <w:color w:val="auto"/>
                <w:szCs w:val="21"/>
                <w:highlight w:val="none"/>
              </w:rPr>
              <w:t>对同一竞选项目出现两个或以上的投标报价，且没声明哪个有效；</w:t>
            </w:r>
          </w:p>
        </w:tc>
        <w:tc>
          <w:tcPr>
            <w:tcW w:w="1183" w:type="dxa"/>
            <w:vAlign w:val="center"/>
          </w:tcPr>
          <w:p>
            <w:pPr>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cs="宋体"/>
                <w:color w:val="auto"/>
                <w:szCs w:val="21"/>
                <w:highlight w:val="none"/>
              </w:rPr>
            </w:pPr>
            <w:r>
              <w:rPr>
                <w:rFonts w:hint="eastAsia" w:ascii="宋体" w:hAnsi="宋体" w:cs="宋体"/>
                <w:color w:val="auto"/>
                <w:szCs w:val="21"/>
                <w:highlight w:val="none"/>
              </w:rPr>
              <w:t>4</w:t>
            </w:r>
          </w:p>
        </w:tc>
        <w:tc>
          <w:tcPr>
            <w:tcW w:w="6225" w:type="dxa"/>
            <w:shd w:val="clear" w:color="auto" w:fill="auto"/>
            <w:vAlign w:val="center"/>
          </w:tcPr>
          <w:p>
            <w:pPr>
              <w:rPr>
                <w:rFonts w:ascii="宋体" w:hAnsi="宋体" w:cs="宋体"/>
                <w:color w:val="auto"/>
                <w:szCs w:val="21"/>
                <w:highlight w:val="none"/>
              </w:rPr>
            </w:pPr>
            <w:r>
              <w:rPr>
                <w:rFonts w:hint="eastAsia" w:ascii="宋体" w:hAnsi="宋体" w:cs="宋体"/>
                <w:color w:val="auto"/>
                <w:szCs w:val="21"/>
                <w:highlight w:val="none"/>
              </w:rPr>
              <w:t>投标总报价高于采购限价；</w:t>
            </w:r>
          </w:p>
        </w:tc>
        <w:tc>
          <w:tcPr>
            <w:tcW w:w="1183" w:type="dxa"/>
            <w:vAlign w:val="center"/>
          </w:tcPr>
          <w:p>
            <w:pPr>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color w:val="auto"/>
                <w:szCs w:val="21"/>
                <w:highlight w:val="none"/>
              </w:rPr>
            </w:pPr>
            <w:r>
              <w:rPr>
                <w:rFonts w:ascii="宋体" w:hAnsi="宋体" w:cs="宋体"/>
                <w:color w:val="auto"/>
                <w:szCs w:val="21"/>
                <w:highlight w:val="none"/>
              </w:rPr>
              <w:t>5</w:t>
            </w:r>
          </w:p>
        </w:tc>
        <w:tc>
          <w:tcPr>
            <w:tcW w:w="6225" w:type="dxa"/>
            <w:shd w:val="clear" w:color="auto" w:fill="auto"/>
            <w:vAlign w:val="center"/>
          </w:tcPr>
          <w:p>
            <w:pPr>
              <w:rPr>
                <w:rFonts w:ascii="宋体" w:hAnsi="宋体"/>
                <w:color w:val="auto"/>
                <w:szCs w:val="21"/>
                <w:highlight w:val="none"/>
              </w:rPr>
            </w:pPr>
            <w:r>
              <w:rPr>
                <w:rFonts w:hint="eastAsia" w:ascii="宋体" w:hAnsi="宋体" w:cs="宋体"/>
                <w:color w:val="auto"/>
                <w:szCs w:val="21"/>
                <w:highlight w:val="none"/>
              </w:rPr>
              <w:t>投标总报价低于企业自身成本；</w:t>
            </w:r>
          </w:p>
        </w:tc>
        <w:tc>
          <w:tcPr>
            <w:tcW w:w="1183" w:type="dxa"/>
            <w:vAlign w:val="center"/>
          </w:tcPr>
          <w:p>
            <w:pPr>
              <w:tabs>
                <w:tab w:val="left" w:pos="553"/>
              </w:tabs>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cs="宋体"/>
                <w:color w:val="auto"/>
                <w:szCs w:val="21"/>
                <w:highlight w:val="none"/>
              </w:rPr>
            </w:pPr>
            <w:r>
              <w:rPr>
                <w:rFonts w:ascii="宋体" w:hAnsi="宋体" w:cs="宋体"/>
                <w:color w:val="auto"/>
                <w:szCs w:val="21"/>
                <w:highlight w:val="none"/>
              </w:rPr>
              <w:t>6</w:t>
            </w:r>
          </w:p>
        </w:tc>
        <w:tc>
          <w:tcPr>
            <w:tcW w:w="6225" w:type="dxa"/>
            <w:shd w:val="clear" w:color="auto" w:fill="auto"/>
            <w:vAlign w:val="center"/>
          </w:tcPr>
          <w:p>
            <w:pPr>
              <w:rPr>
                <w:color w:val="auto"/>
                <w:szCs w:val="21"/>
                <w:highlight w:val="none"/>
              </w:rPr>
            </w:pPr>
            <w:r>
              <w:rPr>
                <w:rFonts w:hint="eastAsia" w:ascii="宋体" w:hAnsi="宋体" w:cs="宋体"/>
                <w:color w:val="auto"/>
                <w:szCs w:val="21"/>
                <w:highlight w:val="none"/>
              </w:rPr>
              <w:t>工期不满足竞选文件要求的；</w:t>
            </w:r>
          </w:p>
        </w:tc>
        <w:tc>
          <w:tcPr>
            <w:tcW w:w="1183" w:type="dxa"/>
            <w:vAlign w:val="center"/>
          </w:tcPr>
          <w:p>
            <w:pPr>
              <w:tabs>
                <w:tab w:val="left" w:pos="553"/>
              </w:tabs>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color w:val="auto"/>
                <w:szCs w:val="21"/>
                <w:highlight w:val="none"/>
              </w:rPr>
            </w:pPr>
            <w:r>
              <w:rPr>
                <w:rFonts w:ascii="宋体" w:hAnsi="宋体" w:cs="宋体"/>
                <w:color w:val="auto"/>
                <w:szCs w:val="21"/>
                <w:highlight w:val="none"/>
              </w:rPr>
              <w:t>7</w:t>
            </w:r>
          </w:p>
        </w:tc>
        <w:tc>
          <w:tcPr>
            <w:tcW w:w="6225" w:type="dxa"/>
            <w:shd w:val="clear" w:color="auto" w:fill="auto"/>
            <w:vAlign w:val="center"/>
          </w:tcPr>
          <w:p>
            <w:pPr>
              <w:rPr>
                <w:color w:val="auto"/>
                <w:szCs w:val="21"/>
                <w:highlight w:val="none"/>
              </w:rPr>
            </w:pPr>
            <w:r>
              <w:rPr>
                <w:rFonts w:hint="eastAsia" w:ascii="宋体" w:hAnsi="宋体" w:cs="宋体"/>
                <w:color w:val="auto"/>
                <w:szCs w:val="21"/>
                <w:highlight w:val="none"/>
              </w:rPr>
              <w:t>施工方案或施工组织设计未响应竞选文件中已明确必须要作实质性响应的内容；</w:t>
            </w:r>
          </w:p>
        </w:tc>
        <w:tc>
          <w:tcPr>
            <w:tcW w:w="1183" w:type="dxa"/>
            <w:vAlign w:val="center"/>
          </w:tcPr>
          <w:p>
            <w:pPr>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color w:val="auto"/>
                <w:szCs w:val="21"/>
                <w:highlight w:val="none"/>
              </w:rPr>
            </w:pPr>
            <w:r>
              <w:rPr>
                <w:rFonts w:ascii="宋体" w:hAnsi="宋体" w:cs="宋体"/>
                <w:color w:val="auto"/>
                <w:szCs w:val="21"/>
                <w:highlight w:val="none"/>
              </w:rPr>
              <w:t>8</w:t>
            </w:r>
          </w:p>
        </w:tc>
        <w:tc>
          <w:tcPr>
            <w:tcW w:w="6225" w:type="dxa"/>
            <w:shd w:val="clear" w:color="auto" w:fill="auto"/>
            <w:vAlign w:val="center"/>
          </w:tcPr>
          <w:p>
            <w:pPr>
              <w:rPr>
                <w:color w:val="auto"/>
                <w:szCs w:val="21"/>
                <w:highlight w:val="none"/>
              </w:rPr>
            </w:pPr>
            <w:r>
              <w:rPr>
                <w:rFonts w:hint="eastAsia" w:ascii="宋体" w:hAnsi="宋体" w:cs="宋体"/>
                <w:color w:val="auto"/>
                <w:szCs w:val="21"/>
                <w:highlight w:val="none"/>
              </w:rPr>
              <w:t>投标文件附有采购人不能接受的条件；</w:t>
            </w:r>
          </w:p>
        </w:tc>
        <w:tc>
          <w:tcPr>
            <w:tcW w:w="1183" w:type="dxa"/>
            <w:vAlign w:val="center"/>
          </w:tcPr>
          <w:p>
            <w:pPr>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color w:val="auto"/>
                <w:szCs w:val="21"/>
                <w:highlight w:val="none"/>
              </w:rPr>
            </w:pPr>
            <w:r>
              <w:rPr>
                <w:rFonts w:ascii="宋体" w:hAnsi="宋体" w:cs="宋体"/>
                <w:color w:val="auto"/>
                <w:szCs w:val="21"/>
                <w:highlight w:val="none"/>
              </w:rPr>
              <w:t>9</w:t>
            </w:r>
          </w:p>
        </w:tc>
        <w:tc>
          <w:tcPr>
            <w:tcW w:w="6225" w:type="dxa"/>
            <w:shd w:val="clear" w:color="auto" w:fill="auto"/>
            <w:vAlign w:val="center"/>
          </w:tcPr>
          <w:p>
            <w:pPr>
              <w:rPr>
                <w:color w:val="auto"/>
                <w:szCs w:val="21"/>
                <w:highlight w:val="none"/>
              </w:rPr>
            </w:pPr>
            <w:r>
              <w:rPr>
                <w:rFonts w:hint="eastAsia" w:ascii="宋体" w:hAnsi="宋体" w:cs="宋体"/>
                <w:color w:val="auto"/>
                <w:szCs w:val="21"/>
                <w:highlight w:val="none"/>
              </w:rPr>
              <w:t>不符合竞选文件中规定的其他实质性要求。</w:t>
            </w:r>
          </w:p>
        </w:tc>
        <w:tc>
          <w:tcPr>
            <w:tcW w:w="1183" w:type="dxa"/>
            <w:vAlign w:val="center"/>
          </w:tcPr>
          <w:p>
            <w:pPr>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rPr>
                <w:rFonts w:ascii="宋体" w:hAnsi="宋体"/>
                <w:bCs/>
                <w:color w:val="auto"/>
                <w:szCs w:val="21"/>
                <w:highlight w:val="none"/>
              </w:rPr>
            </w:pPr>
          </w:p>
        </w:tc>
        <w:tc>
          <w:tcPr>
            <w:tcW w:w="6225" w:type="dxa"/>
            <w:vAlign w:val="center"/>
          </w:tcPr>
          <w:p>
            <w:pPr>
              <w:rPr>
                <w:rFonts w:ascii="宋体" w:hAnsi="宋体"/>
                <w:color w:val="auto"/>
                <w:szCs w:val="21"/>
                <w:highlight w:val="none"/>
              </w:rPr>
            </w:pPr>
            <w:r>
              <w:rPr>
                <w:rFonts w:hint="eastAsia" w:ascii="宋体" w:hAnsi="宋体" w:cs="宋体"/>
                <w:b/>
                <w:bCs/>
                <w:color w:val="auto"/>
                <w:szCs w:val="21"/>
                <w:highlight w:val="none"/>
              </w:rPr>
              <w:t>评审结论（</w:t>
            </w:r>
            <w:r>
              <w:rPr>
                <w:rFonts w:hint="eastAsia" w:ascii="宋体" w:hAnsi="宋体"/>
                <w:color w:val="auto"/>
                <w:szCs w:val="21"/>
                <w:highlight w:val="none"/>
              </w:rPr>
              <w:t>通过/不通过</w:t>
            </w:r>
            <w:r>
              <w:rPr>
                <w:rFonts w:hint="eastAsia" w:ascii="宋体" w:hAnsi="宋体" w:cs="宋体"/>
                <w:b/>
                <w:bCs/>
                <w:color w:val="auto"/>
                <w:szCs w:val="21"/>
                <w:highlight w:val="none"/>
              </w:rPr>
              <w:t>）</w:t>
            </w:r>
          </w:p>
        </w:tc>
        <w:tc>
          <w:tcPr>
            <w:tcW w:w="1183" w:type="dxa"/>
            <w:vAlign w:val="center"/>
          </w:tcPr>
          <w:p>
            <w:pPr>
              <w:spacing w:line="360" w:lineRule="auto"/>
              <w:rPr>
                <w:rFonts w:ascii="宋体" w:hAnsi="宋体"/>
                <w:b/>
                <w:color w:val="auto"/>
                <w:szCs w:val="21"/>
                <w:highlight w:val="none"/>
              </w:rPr>
            </w:pPr>
          </w:p>
        </w:tc>
      </w:tr>
    </w:tbl>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注：</w:t>
      </w:r>
    </w:p>
    <w:p>
      <w:pPr>
        <w:numPr>
          <w:ilvl w:val="0"/>
          <w:numId w:val="6"/>
        </w:numPr>
        <w:adjustRightInd w:val="0"/>
        <w:snapToGrid w:val="0"/>
        <w:spacing w:line="400" w:lineRule="exact"/>
        <w:ind w:firstLine="424" w:firstLineChars="202"/>
        <w:rPr>
          <w:rFonts w:ascii="宋体" w:hAnsi="宋体"/>
          <w:color w:val="auto"/>
          <w:szCs w:val="21"/>
          <w:highlight w:val="none"/>
        </w:rPr>
      </w:pPr>
      <w:r>
        <w:rPr>
          <w:rFonts w:hint="eastAsia" w:ascii="宋体" w:hAnsi="宋体"/>
          <w:color w:val="auto"/>
          <w:szCs w:val="21"/>
          <w:highlight w:val="none"/>
        </w:rPr>
        <w:t>投标人分栏中填写“√”表示该项符合竞选文件要求，“×”表示该项不符合竞选文件要求，“○”表示无该项内容；</w:t>
      </w:r>
    </w:p>
    <w:p>
      <w:pPr>
        <w:numPr>
          <w:ilvl w:val="0"/>
          <w:numId w:val="6"/>
        </w:numPr>
        <w:adjustRightInd w:val="0"/>
        <w:snapToGrid w:val="0"/>
        <w:spacing w:line="400" w:lineRule="exact"/>
        <w:ind w:firstLine="424" w:firstLineChars="202"/>
        <w:rPr>
          <w:rFonts w:ascii="宋体" w:hAnsi="宋体"/>
          <w:color w:val="auto"/>
          <w:szCs w:val="21"/>
          <w:highlight w:val="none"/>
        </w:rPr>
      </w:pPr>
      <w:r>
        <w:rPr>
          <w:rFonts w:hint="eastAsia" w:ascii="宋体" w:hAnsi="宋体"/>
          <w:color w:val="auto"/>
          <w:szCs w:val="21"/>
          <w:highlight w:val="none"/>
        </w:rPr>
        <w:t>经评标委员会审核后，出现一个“×”的结论为“不通过”，即按废标处理。</w:t>
      </w:r>
    </w:p>
    <w:p>
      <w:pPr>
        <w:numPr>
          <w:ilvl w:val="0"/>
          <w:numId w:val="6"/>
        </w:numPr>
        <w:adjustRightInd w:val="0"/>
        <w:snapToGrid w:val="0"/>
        <w:spacing w:line="400" w:lineRule="exact"/>
        <w:ind w:firstLine="424" w:firstLineChars="202"/>
        <w:rPr>
          <w:rFonts w:ascii="宋体" w:hAnsi="宋体"/>
          <w:color w:val="auto"/>
          <w:szCs w:val="21"/>
          <w:highlight w:val="none"/>
        </w:rPr>
      </w:pPr>
      <w:r>
        <w:rPr>
          <w:rFonts w:hint="eastAsia" w:ascii="宋体" w:hAnsi="宋体"/>
          <w:color w:val="auto"/>
          <w:szCs w:val="21"/>
          <w:highlight w:val="none"/>
        </w:rPr>
        <w:t>表中全部条件满足为“通过”，同意进入下一阶段评审。</w:t>
      </w:r>
    </w:p>
    <w:p>
      <w:pPr>
        <w:numPr>
          <w:ilvl w:val="0"/>
          <w:numId w:val="6"/>
        </w:numPr>
        <w:adjustRightInd w:val="0"/>
        <w:snapToGrid w:val="0"/>
        <w:spacing w:line="400" w:lineRule="exact"/>
        <w:ind w:firstLine="424" w:firstLineChars="202"/>
        <w:rPr>
          <w:rFonts w:ascii="宋体" w:hAnsi="宋体"/>
          <w:color w:val="auto"/>
          <w:szCs w:val="21"/>
          <w:highlight w:val="none"/>
        </w:rPr>
      </w:pPr>
      <w:r>
        <w:rPr>
          <w:rFonts w:hint="eastAsia"/>
          <w:color w:val="auto"/>
          <w:szCs w:val="21"/>
          <w:highlight w:val="none"/>
        </w:rPr>
        <w:t>如对本表中某种情形的</w:t>
      </w:r>
      <w:r>
        <w:rPr>
          <w:rFonts w:hint="eastAsia" w:ascii="宋体" w:hAnsi="宋体"/>
          <w:color w:val="auto"/>
          <w:szCs w:val="21"/>
          <w:highlight w:val="none"/>
        </w:rPr>
        <w:t>评委意见不一致时，</w:t>
      </w:r>
      <w:r>
        <w:rPr>
          <w:rFonts w:hint="eastAsia"/>
          <w:color w:val="auto"/>
          <w:szCs w:val="21"/>
          <w:highlight w:val="none"/>
        </w:rPr>
        <w:t>以评标委员会过半数成员的意见作为评标委员会对该情形的认定结论。</w:t>
      </w:r>
    </w:p>
    <w:p>
      <w:pPr>
        <w:spacing w:line="400" w:lineRule="exact"/>
        <w:ind w:left="420"/>
        <w:rPr>
          <w:rFonts w:ascii="宋体" w:hAnsi="宋体"/>
          <w:bCs/>
          <w:color w:val="auto"/>
          <w:szCs w:val="21"/>
          <w:highlight w:val="none"/>
        </w:rPr>
      </w:pPr>
    </w:p>
    <w:p>
      <w:pPr>
        <w:spacing w:line="400" w:lineRule="exact"/>
        <w:ind w:left="420"/>
        <w:rPr>
          <w:rFonts w:ascii="宋体" w:hAnsi="宋体"/>
          <w:bCs/>
          <w:color w:val="auto"/>
          <w:szCs w:val="21"/>
          <w:highlight w:val="none"/>
        </w:rPr>
      </w:pPr>
      <w:r>
        <w:rPr>
          <w:rFonts w:hint="eastAsia" w:ascii="宋体" w:hAnsi="宋体"/>
          <w:bCs/>
          <w:color w:val="auto"/>
          <w:szCs w:val="21"/>
          <w:highlight w:val="none"/>
        </w:rPr>
        <w:t xml:space="preserve">评委签名：                                                                                </w:t>
      </w:r>
    </w:p>
    <w:p>
      <w:pPr>
        <w:spacing w:line="400" w:lineRule="exact"/>
        <w:ind w:left="420"/>
        <w:rPr>
          <w:rFonts w:ascii="宋体" w:hAnsi="宋体"/>
          <w:bCs/>
          <w:color w:val="auto"/>
          <w:szCs w:val="21"/>
          <w:highlight w:val="none"/>
        </w:rPr>
      </w:pPr>
    </w:p>
    <w:p>
      <w:pPr>
        <w:spacing w:line="400" w:lineRule="exact"/>
        <w:ind w:left="420"/>
        <w:rPr>
          <w:rFonts w:hint="eastAsia" w:ascii="宋体" w:hAnsi="宋体"/>
          <w:color w:val="auto"/>
          <w:szCs w:val="21"/>
          <w:highlight w:val="none"/>
        </w:rPr>
      </w:pPr>
      <w:r>
        <w:rPr>
          <w:rFonts w:hint="eastAsia" w:ascii="宋体" w:hAnsi="宋体"/>
          <w:bCs/>
          <w:color w:val="auto"/>
          <w:szCs w:val="21"/>
          <w:highlight w:val="none"/>
        </w:rPr>
        <w:t>日 期：</w:t>
      </w:r>
      <w:r>
        <w:rPr>
          <w:rFonts w:ascii="宋体" w:hAnsi="宋体"/>
          <w:color w:val="auto"/>
          <w:szCs w:val="21"/>
          <w:highlight w:val="none"/>
        </w:rPr>
        <w:t>202</w:t>
      </w:r>
      <w:r>
        <w:rPr>
          <w:rFonts w:hint="eastAsia" w:ascii="宋体" w:hAnsi="宋体"/>
          <w:color w:val="auto"/>
          <w:szCs w:val="21"/>
          <w:highlight w:val="none"/>
          <w:lang w:val="en-US" w:eastAsia="zh-CN"/>
        </w:rPr>
        <w:t>2</w:t>
      </w:r>
      <w:r>
        <w:rPr>
          <w:rFonts w:hint="eastAsia" w:ascii="宋体" w:hAnsi="宋体"/>
          <w:color w:val="auto"/>
          <w:szCs w:val="21"/>
          <w:highlight w:val="none"/>
        </w:rPr>
        <w:t>年   月   日</w:t>
      </w:r>
    </w:p>
    <w:p>
      <w:pPr>
        <w:spacing w:line="400" w:lineRule="exact"/>
        <w:ind w:left="420"/>
        <w:rPr>
          <w:rFonts w:hint="eastAsia" w:ascii="宋体" w:hAnsi="宋体"/>
          <w:color w:val="auto"/>
          <w:szCs w:val="21"/>
          <w:highlight w:val="none"/>
        </w:rPr>
      </w:pPr>
    </w:p>
    <w:p>
      <w:pPr>
        <w:spacing w:line="400" w:lineRule="exact"/>
        <w:ind w:left="420"/>
        <w:rPr>
          <w:rFonts w:hint="eastAsia" w:ascii="宋体" w:hAnsi="宋体"/>
          <w:color w:val="auto"/>
          <w:szCs w:val="21"/>
          <w:highlight w:val="none"/>
        </w:rPr>
      </w:pPr>
    </w:p>
    <w:p>
      <w:pPr>
        <w:spacing w:line="400" w:lineRule="exact"/>
        <w:ind w:left="420"/>
        <w:rPr>
          <w:rFonts w:hint="eastAsia" w:ascii="宋体" w:hAnsi="宋体"/>
          <w:color w:val="auto"/>
          <w:szCs w:val="21"/>
          <w:highlight w:val="none"/>
        </w:rPr>
      </w:pPr>
    </w:p>
    <w:p>
      <w:pPr>
        <w:spacing w:line="400" w:lineRule="exact"/>
        <w:ind w:left="420"/>
        <w:rPr>
          <w:rFonts w:hint="eastAsia" w:ascii="宋体" w:hAnsi="宋体"/>
          <w:color w:val="auto"/>
          <w:szCs w:val="21"/>
          <w:highlight w:val="none"/>
        </w:rPr>
      </w:pPr>
    </w:p>
    <w:p>
      <w:pPr>
        <w:spacing w:line="400" w:lineRule="exact"/>
        <w:ind w:left="420"/>
        <w:rPr>
          <w:rFonts w:hint="eastAsia" w:ascii="宋体" w:hAnsi="宋体"/>
          <w:color w:val="auto"/>
          <w:szCs w:val="21"/>
          <w:highlight w:val="none"/>
        </w:rPr>
      </w:pPr>
    </w:p>
    <w:p>
      <w:pPr>
        <w:spacing w:line="400" w:lineRule="exact"/>
        <w:ind w:left="0"/>
        <w:rPr>
          <w:rFonts w:hint="eastAsia" w:ascii="宋体" w:hAnsi="宋体" w:cs="Arial"/>
          <w:color w:val="auto"/>
          <w:sz w:val="30"/>
          <w:szCs w:val="30"/>
          <w:highlight w:val="none"/>
          <w:lang w:val="en-US" w:eastAsia="zh-CN"/>
        </w:rPr>
      </w:pPr>
      <w:r>
        <w:rPr>
          <w:rFonts w:hint="eastAsia" w:ascii="宋体" w:hAnsi="宋体" w:cs="Arial"/>
          <w:color w:val="auto"/>
          <w:sz w:val="30"/>
          <w:szCs w:val="30"/>
          <w:highlight w:val="none"/>
          <w:lang w:val="en-US" w:eastAsia="zh-CN"/>
        </w:rPr>
        <w:t>附件7</w:t>
      </w:r>
    </w:p>
    <w:p>
      <w:pPr>
        <w:spacing w:line="400" w:lineRule="exact"/>
        <w:ind w:left="0"/>
        <w:jc w:val="center"/>
        <w:rPr>
          <w:rFonts w:hint="eastAsia" w:ascii="宋体" w:hAnsi="宋体" w:cs="Arial"/>
          <w:color w:val="auto"/>
          <w:sz w:val="30"/>
          <w:szCs w:val="30"/>
          <w:highlight w:val="none"/>
          <w:lang w:val="en-US" w:eastAsia="zh-CN"/>
        </w:rPr>
      </w:pPr>
      <w:r>
        <w:rPr>
          <w:rFonts w:hint="eastAsia" w:ascii="宋体" w:hAnsi="宋体" w:cs="Arial"/>
          <w:color w:val="auto"/>
          <w:sz w:val="30"/>
          <w:szCs w:val="30"/>
          <w:highlight w:val="none"/>
          <w:lang w:val="en-US" w:eastAsia="zh-CN"/>
        </w:rPr>
        <w:t>消防图纸（另册）</w:t>
      </w:r>
    </w:p>
    <w:p>
      <w:pPr>
        <w:widowControl/>
        <w:jc w:val="left"/>
        <w:rPr>
          <w:rFonts w:ascii="宋体" w:hAnsi="宋体" w:cs="宋体"/>
          <w:color w:val="auto"/>
          <w:szCs w:val="21"/>
          <w:highlight w:val="none"/>
        </w:rPr>
      </w:pPr>
    </w:p>
    <w:p>
      <w:pPr>
        <w:widowControl/>
        <w:jc w:val="left"/>
        <w:rPr>
          <w:rFonts w:ascii="宋体" w:hAnsi="宋体" w:cs="宋体"/>
          <w:color w:val="auto"/>
          <w:szCs w:val="21"/>
          <w:highlight w:val="none"/>
        </w:rPr>
      </w:pPr>
    </w:p>
    <w:p>
      <w:pPr>
        <w:widowControl/>
        <w:jc w:val="left"/>
        <w:rPr>
          <w:rFonts w:ascii="宋体" w:hAnsi="宋体" w:cs="宋体"/>
          <w:color w:val="auto"/>
          <w:szCs w:val="21"/>
          <w:highlight w:val="none"/>
        </w:rPr>
      </w:pPr>
    </w:p>
    <w:p>
      <w:pPr>
        <w:widowControl/>
        <w:ind w:firstLine="600" w:firstLineChars="200"/>
        <w:jc w:val="left"/>
        <w:rPr>
          <w:rFonts w:hint="default" w:ascii="宋体" w:hAnsi="宋体" w:cs="宋体"/>
          <w:color w:val="auto"/>
          <w:sz w:val="30"/>
          <w:szCs w:val="30"/>
          <w:highlight w:val="none"/>
          <w:lang w:val="en-US" w:eastAsia="zh-CN"/>
        </w:rPr>
      </w:pPr>
      <w:r>
        <w:rPr>
          <w:rFonts w:hint="eastAsia" w:ascii="宋体" w:hAnsi="宋体" w:cs="宋体"/>
          <w:color w:val="auto"/>
          <w:sz w:val="30"/>
          <w:szCs w:val="30"/>
          <w:highlight w:val="none"/>
          <w:lang w:val="en-US" w:eastAsia="zh-CN"/>
        </w:rPr>
        <w:t>说明：第1-6页为冷站消防图纸，第7-12页为综合管沟消防图纸，第13-14页为过江隧道消防图纸</w:t>
      </w: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26</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839F1"/>
    <w:multiLevelType w:val="multilevel"/>
    <w:tmpl w:val="05A839F1"/>
    <w:lvl w:ilvl="0" w:tentative="0">
      <w:start w:val="1"/>
      <w:numFmt w:val="decimal"/>
      <w:suff w:val="nothing"/>
      <w:lvlText w:val="%1、"/>
      <w:lvlJc w:val="left"/>
      <w:pPr>
        <w:ind w:left="993" w:hanging="567"/>
      </w:pPr>
      <w:rPr>
        <w:rFonts w:hint="default"/>
      </w:rPr>
    </w:lvl>
    <w:lvl w:ilvl="1" w:tentative="0">
      <w:start w:val="1"/>
      <w:numFmt w:val="lowerLetter"/>
      <w:lvlText w:val="%2)"/>
      <w:lvlJc w:val="left"/>
      <w:pPr>
        <w:tabs>
          <w:tab w:val="left" w:pos="1266"/>
        </w:tabs>
        <w:ind w:left="1266" w:hanging="420"/>
      </w:pPr>
      <w:rPr>
        <w:rFonts w:hint="eastAsia"/>
      </w:rPr>
    </w:lvl>
    <w:lvl w:ilvl="2" w:tentative="0">
      <w:start w:val="1"/>
      <w:numFmt w:val="lowerRoman"/>
      <w:lvlText w:val="%3."/>
      <w:lvlJc w:val="right"/>
      <w:pPr>
        <w:tabs>
          <w:tab w:val="left" w:pos="1686"/>
        </w:tabs>
        <w:ind w:left="1686" w:hanging="420"/>
      </w:pPr>
      <w:rPr>
        <w:rFonts w:hint="eastAsia"/>
      </w:rPr>
    </w:lvl>
    <w:lvl w:ilvl="3" w:tentative="0">
      <w:start w:val="1"/>
      <w:numFmt w:val="decimal"/>
      <w:lvlText w:val="%4."/>
      <w:lvlJc w:val="left"/>
      <w:pPr>
        <w:tabs>
          <w:tab w:val="left" w:pos="2106"/>
        </w:tabs>
        <w:ind w:left="2106" w:hanging="420"/>
      </w:pPr>
      <w:rPr>
        <w:rFonts w:hint="eastAsia"/>
      </w:rPr>
    </w:lvl>
    <w:lvl w:ilvl="4" w:tentative="0">
      <w:start w:val="1"/>
      <w:numFmt w:val="lowerLetter"/>
      <w:lvlText w:val="%5)"/>
      <w:lvlJc w:val="left"/>
      <w:pPr>
        <w:tabs>
          <w:tab w:val="left" w:pos="2526"/>
        </w:tabs>
        <w:ind w:left="2526" w:hanging="420"/>
      </w:pPr>
      <w:rPr>
        <w:rFonts w:hint="eastAsia"/>
      </w:rPr>
    </w:lvl>
    <w:lvl w:ilvl="5" w:tentative="0">
      <w:start w:val="1"/>
      <w:numFmt w:val="lowerRoman"/>
      <w:lvlText w:val="%6."/>
      <w:lvlJc w:val="right"/>
      <w:pPr>
        <w:tabs>
          <w:tab w:val="left" w:pos="2946"/>
        </w:tabs>
        <w:ind w:left="2946" w:hanging="420"/>
      </w:pPr>
      <w:rPr>
        <w:rFonts w:hint="eastAsia"/>
      </w:rPr>
    </w:lvl>
    <w:lvl w:ilvl="6" w:tentative="0">
      <w:start w:val="1"/>
      <w:numFmt w:val="decimal"/>
      <w:lvlText w:val="%7."/>
      <w:lvlJc w:val="left"/>
      <w:pPr>
        <w:tabs>
          <w:tab w:val="left" w:pos="3366"/>
        </w:tabs>
        <w:ind w:left="3366" w:hanging="420"/>
      </w:pPr>
      <w:rPr>
        <w:rFonts w:hint="eastAsia"/>
      </w:rPr>
    </w:lvl>
    <w:lvl w:ilvl="7" w:tentative="0">
      <w:start w:val="1"/>
      <w:numFmt w:val="lowerLetter"/>
      <w:lvlText w:val="%8)"/>
      <w:lvlJc w:val="left"/>
      <w:pPr>
        <w:tabs>
          <w:tab w:val="left" w:pos="3786"/>
        </w:tabs>
        <w:ind w:left="3786" w:hanging="420"/>
      </w:pPr>
      <w:rPr>
        <w:rFonts w:hint="eastAsia"/>
      </w:rPr>
    </w:lvl>
    <w:lvl w:ilvl="8" w:tentative="0">
      <w:start w:val="1"/>
      <w:numFmt w:val="lowerRoman"/>
      <w:lvlText w:val="%9."/>
      <w:lvlJc w:val="right"/>
      <w:pPr>
        <w:tabs>
          <w:tab w:val="left" w:pos="4206"/>
        </w:tabs>
        <w:ind w:left="4206" w:hanging="420"/>
      </w:pPr>
      <w:rPr>
        <w:rFonts w:hint="eastAsia"/>
      </w:rPr>
    </w:lvl>
  </w:abstractNum>
  <w:abstractNum w:abstractNumId="1">
    <w:nsid w:val="158838E4"/>
    <w:multiLevelType w:val="multilevel"/>
    <w:tmpl w:val="158838E4"/>
    <w:lvl w:ilvl="0" w:tentative="0">
      <w:start w:val="1"/>
      <w:numFmt w:val="decimal"/>
      <w:lvlText w:val="%1、"/>
      <w:lvlJc w:val="left"/>
      <w:pPr>
        <w:tabs>
          <w:tab w:val="left" w:pos="993"/>
        </w:tabs>
        <w:ind w:left="993" w:hanging="567"/>
      </w:pPr>
      <w:rPr>
        <w:rFonts w:hint="default"/>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2">
    <w:nsid w:val="21D2323D"/>
    <w:multiLevelType w:val="multilevel"/>
    <w:tmpl w:val="21D2323D"/>
    <w:lvl w:ilvl="0" w:tentative="0">
      <w:start w:val="1"/>
      <w:numFmt w:val="decimal"/>
      <w:lvlText w:val="%1、"/>
      <w:lvlJc w:val="left"/>
      <w:pPr>
        <w:tabs>
          <w:tab w:val="left" w:pos="993"/>
        </w:tabs>
        <w:ind w:left="993" w:hanging="567"/>
      </w:pPr>
      <w:rPr>
        <w:rFonts w:hint="default"/>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3">
    <w:nsid w:val="2F92352D"/>
    <w:multiLevelType w:val="singleLevel"/>
    <w:tmpl w:val="2F92352D"/>
    <w:lvl w:ilvl="0" w:tentative="0">
      <w:start w:val="1"/>
      <w:numFmt w:val="decimal"/>
      <w:suff w:val="nothing"/>
      <w:lvlText w:val="%1."/>
      <w:lvlJc w:val="left"/>
    </w:lvl>
  </w:abstractNum>
  <w:abstractNum w:abstractNumId="4">
    <w:nsid w:val="572DE5B4"/>
    <w:multiLevelType w:val="singleLevel"/>
    <w:tmpl w:val="572DE5B4"/>
    <w:lvl w:ilvl="0" w:tentative="0">
      <w:start w:val="1"/>
      <w:numFmt w:val="decimal"/>
      <w:suff w:val="nothing"/>
      <w:lvlText w:val="%1."/>
      <w:lvlJc w:val="left"/>
    </w:lvl>
  </w:abstractNum>
  <w:abstractNum w:abstractNumId="5">
    <w:nsid w:val="58A1B6D2"/>
    <w:multiLevelType w:val="singleLevel"/>
    <w:tmpl w:val="58A1B6D2"/>
    <w:lvl w:ilvl="0" w:tentative="0">
      <w:start w:val="2"/>
      <w:numFmt w:val="decimal"/>
      <w:suff w:val="nothing"/>
      <w:lvlText w:val="%1、"/>
      <w:lvlJc w:val="left"/>
      <w:rPr>
        <w:rFonts w:cs="Times New Roman"/>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37"/>
    <w:rsid w:val="00006EAB"/>
    <w:rsid w:val="00006FB5"/>
    <w:rsid w:val="0001269A"/>
    <w:rsid w:val="000248F2"/>
    <w:rsid w:val="00024DB1"/>
    <w:rsid w:val="000261AC"/>
    <w:rsid w:val="00046233"/>
    <w:rsid w:val="000511EF"/>
    <w:rsid w:val="000512CF"/>
    <w:rsid w:val="00051834"/>
    <w:rsid w:val="00052AC6"/>
    <w:rsid w:val="000542BB"/>
    <w:rsid w:val="00054374"/>
    <w:rsid w:val="00054CE9"/>
    <w:rsid w:val="00066150"/>
    <w:rsid w:val="00066222"/>
    <w:rsid w:val="000712FA"/>
    <w:rsid w:val="00075A5E"/>
    <w:rsid w:val="00084999"/>
    <w:rsid w:val="00086E31"/>
    <w:rsid w:val="00097540"/>
    <w:rsid w:val="000A00B3"/>
    <w:rsid w:val="000A18E3"/>
    <w:rsid w:val="000A2487"/>
    <w:rsid w:val="000A32B4"/>
    <w:rsid w:val="000A4DE7"/>
    <w:rsid w:val="000A75A0"/>
    <w:rsid w:val="000B75B2"/>
    <w:rsid w:val="000C4919"/>
    <w:rsid w:val="000D372E"/>
    <w:rsid w:val="000D4516"/>
    <w:rsid w:val="000E277D"/>
    <w:rsid w:val="000F7025"/>
    <w:rsid w:val="001013A8"/>
    <w:rsid w:val="00105509"/>
    <w:rsid w:val="001300D3"/>
    <w:rsid w:val="00146B63"/>
    <w:rsid w:val="00150E7B"/>
    <w:rsid w:val="00155983"/>
    <w:rsid w:val="00161C4F"/>
    <w:rsid w:val="00167F5B"/>
    <w:rsid w:val="001709D3"/>
    <w:rsid w:val="00171297"/>
    <w:rsid w:val="00172A27"/>
    <w:rsid w:val="00175301"/>
    <w:rsid w:val="00175957"/>
    <w:rsid w:val="00186019"/>
    <w:rsid w:val="00191017"/>
    <w:rsid w:val="00194365"/>
    <w:rsid w:val="001944F5"/>
    <w:rsid w:val="00195617"/>
    <w:rsid w:val="001B2164"/>
    <w:rsid w:val="001B2E16"/>
    <w:rsid w:val="001C49E4"/>
    <w:rsid w:val="001C510A"/>
    <w:rsid w:val="001D1FFB"/>
    <w:rsid w:val="001D769B"/>
    <w:rsid w:val="001E5338"/>
    <w:rsid w:val="001F1309"/>
    <w:rsid w:val="001F6D6F"/>
    <w:rsid w:val="00202786"/>
    <w:rsid w:val="00205D19"/>
    <w:rsid w:val="002117D0"/>
    <w:rsid w:val="00211BF3"/>
    <w:rsid w:val="00214EFD"/>
    <w:rsid w:val="0021591C"/>
    <w:rsid w:val="00220F76"/>
    <w:rsid w:val="00221D47"/>
    <w:rsid w:val="0022476E"/>
    <w:rsid w:val="0023650D"/>
    <w:rsid w:val="002436EB"/>
    <w:rsid w:val="0025569B"/>
    <w:rsid w:val="0026536E"/>
    <w:rsid w:val="00265945"/>
    <w:rsid w:val="00265E09"/>
    <w:rsid w:val="00275CA3"/>
    <w:rsid w:val="00294486"/>
    <w:rsid w:val="002A287B"/>
    <w:rsid w:val="002A558D"/>
    <w:rsid w:val="002B0293"/>
    <w:rsid w:val="002D14AE"/>
    <w:rsid w:val="002D4296"/>
    <w:rsid w:val="002D7DD0"/>
    <w:rsid w:val="002E0B01"/>
    <w:rsid w:val="002F6943"/>
    <w:rsid w:val="003025E4"/>
    <w:rsid w:val="003166C7"/>
    <w:rsid w:val="003202A4"/>
    <w:rsid w:val="00321DB1"/>
    <w:rsid w:val="00327AA1"/>
    <w:rsid w:val="0033236B"/>
    <w:rsid w:val="00343111"/>
    <w:rsid w:val="00352EF0"/>
    <w:rsid w:val="00353699"/>
    <w:rsid w:val="0036491C"/>
    <w:rsid w:val="00374D99"/>
    <w:rsid w:val="00392549"/>
    <w:rsid w:val="003932F2"/>
    <w:rsid w:val="00394717"/>
    <w:rsid w:val="003954FA"/>
    <w:rsid w:val="003975C1"/>
    <w:rsid w:val="003A61B7"/>
    <w:rsid w:val="003A63C6"/>
    <w:rsid w:val="003A7274"/>
    <w:rsid w:val="003C0DBE"/>
    <w:rsid w:val="003D0FFC"/>
    <w:rsid w:val="003D2258"/>
    <w:rsid w:val="003D6DDA"/>
    <w:rsid w:val="003E49C2"/>
    <w:rsid w:val="003F2B4E"/>
    <w:rsid w:val="00426155"/>
    <w:rsid w:val="004469BA"/>
    <w:rsid w:val="00453ADF"/>
    <w:rsid w:val="00456BC1"/>
    <w:rsid w:val="00466D81"/>
    <w:rsid w:val="00467CAD"/>
    <w:rsid w:val="00472277"/>
    <w:rsid w:val="00474A47"/>
    <w:rsid w:val="00476BF0"/>
    <w:rsid w:val="00480966"/>
    <w:rsid w:val="00487526"/>
    <w:rsid w:val="00497671"/>
    <w:rsid w:val="004A0372"/>
    <w:rsid w:val="004A1A1D"/>
    <w:rsid w:val="004A23D1"/>
    <w:rsid w:val="004A4F9A"/>
    <w:rsid w:val="004B26CB"/>
    <w:rsid w:val="004B4D32"/>
    <w:rsid w:val="004B5C58"/>
    <w:rsid w:val="004B6ECB"/>
    <w:rsid w:val="004C4EDB"/>
    <w:rsid w:val="004D5436"/>
    <w:rsid w:val="004E3B04"/>
    <w:rsid w:val="004E5C78"/>
    <w:rsid w:val="004E7A16"/>
    <w:rsid w:val="00506EBC"/>
    <w:rsid w:val="00513077"/>
    <w:rsid w:val="0052246D"/>
    <w:rsid w:val="0052787E"/>
    <w:rsid w:val="00541171"/>
    <w:rsid w:val="00541BB1"/>
    <w:rsid w:val="00545D4B"/>
    <w:rsid w:val="00550B1F"/>
    <w:rsid w:val="005566FF"/>
    <w:rsid w:val="00556E7E"/>
    <w:rsid w:val="00557322"/>
    <w:rsid w:val="00561290"/>
    <w:rsid w:val="005613DF"/>
    <w:rsid w:val="00567151"/>
    <w:rsid w:val="0056721A"/>
    <w:rsid w:val="00567DB5"/>
    <w:rsid w:val="00576B93"/>
    <w:rsid w:val="005772A9"/>
    <w:rsid w:val="00585285"/>
    <w:rsid w:val="00591CA4"/>
    <w:rsid w:val="00592951"/>
    <w:rsid w:val="005969FB"/>
    <w:rsid w:val="005B2C4E"/>
    <w:rsid w:val="005B3628"/>
    <w:rsid w:val="005B4909"/>
    <w:rsid w:val="005B6CEE"/>
    <w:rsid w:val="005C6CD1"/>
    <w:rsid w:val="005D2CC7"/>
    <w:rsid w:val="005E06B4"/>
    <w:rsid w:val="005E4E7C"/>
    <w:rsid w:val="00600F96"/>
    <w:rsid w:val="00607731"/>
    <w:rsid w:val="006106FB"/>
    <w:rsid w:val="00611B4E"/>
    <w:rsid w:val="00617D0B"/>
    <w:rsid w:val="00621A9E"/>
    <w:rsid w:val="0062246F"/>
    <w:rsid w:val="006244A0"/>
    <w:rsid w:val="00637977"/>
    <w:rsid w:val="0064000A"/>
    <w:rsid w:val="00643B2F"/>
    <w:rsid w:val="006448AF"/>
    <w:rsid w:val="00646FC2"/>
    <w:rsid w:val="006503EF"/>
    <w:rsid w:val="00656718"/>
    <w:rsid w:val="006567A6"/>
    <w:rsid w:val="00666B5D"/>
    <w:rsid w:val="00690C78"/>
    <w:rsid w:val="00694033"/>
    <w:rsid w:val="006A3B53"/>
    <w:rsid w:val="006B14D1"/>
    <w:rsid w:val="006B2E51"/>
    <w:rsid w:val="006B36E7"/>
    <w:rsid w:val="006D6026"/>
    <w:rsid w:val="006E54A2"/>
    <w:rsid w:val="006E7BA8"/>
    <w:rsid w:val="006F1914"/>
    <w:rsid w:val="00706205"/>
    <w:rsid w:val="00706A9D"/>
    <w:rsid w:val="00714ACD"/>
    <w:rsid w:val="00715897"/>
    <w:rsid w:val="007216CB"/>
    <w:rsid w:val="0072216A"/>
    <w:rsid w:val="007423DA"/>
    <w:rsid w:val="00743DF1"/>
    <w:rsid w:val="00753739"/>
    <w:rsid w:val="00763505"/>
    <w:rsid w:val="007672D2"/>
    <w:rsid w:val="00776700"/>
    <w:rsid w:val="00776875"/>
    <w:rsid w:val="007867D3"/>
    <w:rsid w:val="00786B2B"/>
    <w:rsid w:val="007A0E9C"/>
    <w:rsid w:val="007A2D85"/>
    <w:rsid w:val="007A3422"/>
    <w:rsid w:val="007A7F23"/>
    <w:rsid w:val="007B4B95"/>
    <w:rsid w:val="007C04CE"/>
    <w:rsid w:val="007C1005"/>
    <w:rsid w:val="007C3669"/>
    <w:rsid w:val="007C3F99"/>
    <w:rsid w:val="007D7DD0"/>
    <w:rsid w:val="007F3362"/>
    <w:rsid w:val="007F4585"/>
    <w:rsid w:val="007F49B3"/>
    <w:rsid w:val="007F62C7"/>
    <w:rsid w:val="00800453"/>
    <w:rsid w:val="00814712"/>
    <w:rsid w:val="00815501"/>
    <w:rsid w:val="008160FF"/>
    <w:rsid w:val="00821F86"/>
    <w:rsid w:val="00822F1F"/>
    <w:rsid w:val="00826F08"/>
    <w:rsid w:val="008451F2"/>
    <w:rsid w:val="0084579E"/>
    <w:rsid w:val="00846388"/>
    <w:rsid w:val="00854D07"/>
    <w:rsid w:val="00860A31"/>
    <w:rsid w:val="008638B9"/>
    <w:rsid w:val="008639B0"/>
    <w:rsid w:val="0086680E"/>
    <w:rsid w:val="00877012"/>
    <w:rsid w:val="00885F0E"/>
    <w:rsid w:val="008872F1"/>
    <w:rsid w:val="00892318"/>
    <w:rsid w:val="00894519"/>
    <w:rsid w:val="008A0E92"/>
    <w:rsid w:val="008A3D6E"/>
    <w:rsid w:val="008A6DD3"/>
    <w:rsid w:val="008B670C"/>
    <w:rsid w:val="008C26B6"/>
    <w:rsid w:val="008C7560"/>
    <w:rsid w:val="008D3F0E"/>
    <w:rsid w:val="008E3344"/>
    <w:rsid w:val="008F2808"/>
    <w:rsid w:val="008F4BC0"/>
    <w:rsid w:val="008F50D8"/>
    <w:rsid w:val="008F5C67"/>
    <w:rsid w:val="00902C05"/>
    <w:rsid w:val="00902DAE"/>
    <w:rsid w:val="0090551B"/>
    <w:rsid w:val="009159D7"/>
    <w:rsid w:val="00932FEC"/>
    <w:rsid w:val="00952170"/>
    <w:rsid w:val="00955191"/>
    <w:rsid w:val="0095677A"/>
    <w:rsid w:val="00962217"/>
    <w:rsid w:val="009729EA"/>
    <w:rsid w:val="0097363A"/>
    <w:rsid w:val="00973949"/>
    <w:rsid w:val="009767C9"/>
    <w:rsid w:val="00976A0B"/>
    <w:rsid w:val="00983A2A"/>
    <w:rsid w:val="00990E1A"/>
    <w:rsid w:val="009914C9"/>
    <w:rsid w:val="009A2776"/>
    <w:rsid w:val="009A4D34"/>
    <w:rsid w:val="009A525E"/>
    <w:rsid w:val="009B4753"/>
    <w:rsid w:val="009B745A"/>
    <w:rsid w:val="009C3EE0"/>
    <w:rsid w:val="009C4E66"/>
    <w:rsid w:val="009C65A2"/>
    <w:rsid w:val="009C7BC9"/>
    <w:rsid w:val="009D0418"/>
    <w:rsid w:val="009D042E"/>
    <w:rsid w:val="009E12D5"/>
    <w:rsid w:val="009E29EF"/>
    <w:rsid w:val="009E359E"/>
    <w:rsid w:val="009F0D3A"/>
    <w:rsid w:val="00A047AA"/>
    <w:rsid w:val="00A05921"/>
    <w:rsid w:val="00A105FC"/>
    <w:rsid w:val="00A15326"/>
    <w:rsid w:val="00A214CC"/>
    <w:rsid w:val="00A32246"/>
    <w:rsid w:val="00A36C20"/>
    <w:rsid w:val="00A46630"/>
    <w:rsid w:val="00A614CE"/>
    <w:rsid w:val="00A63DD1"/>
    <w:rsid w:val="00A735C6"/>
    <w:rsid w:val="00A81CD4"/>
    <w:rsid w:val="00A81F7A"/>
    <w:rsid w:val="00A919CA"/>
    <w:rsid w:val="00A963B9"/>
    <w:rsid w:val="00AA0371"/>
    <w:rsid w:val="00AA6E44"/>
    <w:rsid w:val="00AA7AB2"/>
    <w:rsid w:val="00AB341E"/>
    <w:rsid w:val="00AB7FA5"/>
    <w:rsid w:val="00AD4C1A"/>
    <w:rsid w:val="00AE5CBE"/>
    <w:rsid w:val="00AF3EDE"/>
    <w:rsid w:val="00AF442C"/>
    <w:rsid w:val="00B00BE7"/>
    <w:rsid w:val="00B03C03"/>
    <w:rsid w:val="00B236EE"/>
    <w:rsid w:val="00B25BB6"/>
    <w:rsid w:val="00B261B8"/>
    <w:rsid w:val="00B27F3C"/>
    <w:rsid w:val="00B30173"/>
    <w:rsid w:val="00B30809"/>
    <w:rsid w:val="00B43CD4"/>
    <w:rsid w:val="00B47E24"/>
    <w:rsid w:val="00B5736B"/>
    <w:rsid w:val="00B62DD5"/>
    <w:rsid w:val="00B726C7"/>
    <w:rsid w:val="00B72889"/>
    <w:rsid w:val="00B860C3"/>
    <w:rsid w:val="00B90671"/>
    <w:rsid w:val="00B90B6E"/>
    <w:rsid w:val="00B90E42"/>
    <w:rsid w:val="00B9496A"/>
    <w:rsid w:val="00B96B7C"/>
    <w:rsid w:val="00BA4EFF"/>
    <w:rsid w:val="00BB1E59"/>
    <w:rsid w:val="00BB6D96"/>
    <w:rsid w:val="00BB7C3F"/>
    <w:rsid w:val="00BC0E38"/>
    <w:rsid w:val="00BC35DC"/>
    <w:rsid w:val="00BC4ED0"/>
    <w:rsid w:val="00BD5240"/>
    <w:rsid w:val="00BF0C77"/>
    <w:rsid w:val="00C062D1"/>
    <w:rsid w:val="00C07BF1"/>
    <w:rsid w:val="00C11059"/>
    <w:rsid w:val="00C110E4"/>
    <w:rsid w:val="00C133F0"/>
    <w:rsid w:val="00C17058"/>
    <w:rsid w:val="00C174A4"/>
    <w:rsid w:val="00C219B3"/>
    <w:rsid w:val="00C2645D"/>
    <w:rsid w:val="00C3119C"/>
    <w:rsid w:val="00C514A7"/>
    <w:rsid w:val="00C57767"/>
    <w:rsid w:val="00C706FF"/>
    <w:rsid w:val="00C74CE8"/>
    <w:rsid w:val="00C758F6"/>
    <w:rsid w:val="00C85998"/>
    <w:rsid w:val="00C90657"/>
    <w:rsid w:val="00C92256"/>
    <w:rsid w:val="00C9536A"/>
    <w:rsid w:val="00C9758C"/>
    <w:rsid w:val="00CB1706"/>
    <w:rsid w:val="00CC1925"/>
    <w:rsid w:val="00CC78E6"/>
    <w:rsid w:val="00CD1D9A"/>
    <w:rsid w:val="00CD7E92"/>
    <w:rsid w:val="00CF3AA5"/>
    <w:rsid w:val="00CF5C4F"/>
    <w:rsid w:val="00CF678C"/>
    <w:rsid w:val="00D01A48"/>
    <w:rsid w:val="00D03706"/>
    <w:rsid w:val="00D065AE"/>
    <w:rsid w:val="00D14DB9"/>
    <w:rsid w:val="00D40EF6"/>
    <w:rsid w:val="00D51B1D"/>
    <w:rsid w:val="00D57C42"/>
    <w:rsid w:val="00D648BA"/>
    <w:rsid w:val="00D70E13"/>
    <w:rsid w:val="00D71A5D"/>
    <w:rsid w:val="00D845E0"/>
    <w:rsid w:val="00D87D2D"/>
    <w:rsid w:val="00D9132A"/>
    <w:rsid w:val="00D92AC4"/>
    <w:rsid w:val="00D9769D"/>
    <w:rsid w:val="00DA71C3"/>
    <w:rsid w:val="00DB6F1F"/>
    <w:rsid w:val="00DC0A3E"/>
    <w:rsid w:val="00DD2666"/>
    <w:rsid w:val="00DD3D16"/>
    <w:rsid w:val="00DE00B8"/>
    <w:rsid w:val="00DE68FF"/>
    <w:rsid w:val="00DF1B2F"/>
    <w:rsid w:val="00DF211B"/>
    <w:rsid w:val="00DF4B6D"/>
    <w:rsid w:val="00E06A4A"/>
    <w:rsid w:val="00E109E2"/>
    <w:rsid w:val="00E1751F"/>
    <w:rsid w:val="00E32D0D"/>
    <w:rsid w:val="00E354F4"/>
    <w:rsid w:val="00E36D06"/>
    <w:rsid w:val="00E458D6"/>
    <w:rsid w:val="00E47B3B"/>
    <w:rsid w:val="00E47B59"/>
    <w:rsid w:val="00E5221B"/>
    <w:rsid w:val="00E60A10"/>
    <w:rsid w:val="00E63138"/>
    <w:rsid w:val="00E738C7"/>
    <w:rsid w:val="00E80794"/>
    <w:rsid w:val="00E97A9C"/>
    <w:rsid w:val="00EA4024"/>
    <w:rsid w:val="00EA4B1F"/>
    <w:rsid w:val="00EC0CD3"/>
    <w:rsid w:val="00EE46A6"/>
    <w:rsid w:val="00EF18C1"/>
    <w:rsid w:val="00F02A17"/>
    <w:rsid w:val="00F05829"/>
    <w:rsid w:val="00F1300D"/>
    <w:rsid w:val="00F154F7"/>
    <w:rsid w:val="00F25AE1"/>
    <w:rsid w:val="00F42B37"/>
    <w:rsid w:val="00F547F7"/>
    <w:rsid w:val="00F63FB3"/>
    <w:rsid w:val="00F64762"/>
    <w:rsid w:val="00F71114"/>
    <w:rsid w:val="00F713D1"/>
    <w:rsid w:val="00F716E9"/>
    <w:rsid w:val="00F71ADB"/>
    <w:rsid w:val="00F728B6"/>
    <w:rsid w:val="00F74258"/>
    <w:rsid w:val="00F91977"/>
    <w:rsid w:val="00FA0034"/>
    <w:rsid w:val="00FB25F3"/>
    <w:rsid w:val="00FC33B2"/>
    <w:rsid w:val="00FC3A89"/>
    <w:rsid w:val="00FD50E2"/>
    <w:rsid w:val="00FE225B"/>
    <w:rsid w:val="01586AB7"/>
    <w:rsid w:val="02B11D60"/>
    <w:rsid w:val="042B4404"/>
    <w:rsid w:val="05F33E19"/>
    <w:rsid w:val="08A607DC"/>
    <w:rsid w:val="11445536"/>
    <w:rsid w:val="13033C28"/>
    <w:rsid w:val="13B94E90"/>
    <w:rsid w:val="16FA62BC"/>
    <w:rsid w:val="19180489"/>
    <w:rsid w:val="1ABE7643"/>
    <w:rsid w:val="214926E0"/>
    <w:rsid w:val="230F7CC1"/>
    <w:rsid w:val="25B9357B"/>
    <w:rsid w:val="3C823756"/>
    <w:rsid w:val="3C9B5EFD"/>
    <w:rsid w:val="3E13186C"/>
    <w:rsid w:val="489B4841"/>
    <w:rsid w:val="49F31C4D"/>
    <w:rsid w:val="4BB4029A"/>
    <w:rsid w:val="50055DC9"/>
    <w:rsid w:val="5F541C1B"/>
    <w:rsid w:val="5FA63A90"/>
    <w:rsid w:val="656F3231"/>
    <w:rsid w:val="68CF3EB1"/>
    <w:rsid w:val="697F115B"/>
    <w:rsid w:val="6AB5708C"/>
    <w:rsid w:val="710C628C"/>
    <w:rsid w:val="722A7097"/>
    <w:rsid w:val="796C3466"/>
    <w:rsid w:val="7AE054DD"/>
    <w:rsid w:val="7B2D3227"/>
    <w:rsid w:val="7D5D521C"/>
    <w:rsid w:val="7EBB2477"/>
    <w:rsid w:val="7F94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spacing w:before="100" w:beforeAutospacing="1" w:after="100" w:afterAutospacing="1"/>
      <w:jc w:val="left"/>
      <w:outlineLvl w:val="0"/>
    </w:pPr>
    <w:rPr>
      <w:rFonts w:hint="eastAsia" w:ascii="宋体" w:hAnsi="宋体"/>
      <w:b/>
      <w:bCs/>
      <w:snapToGrid w:val="0"/>
      <w:kern w:val="44"/>
      <w:sz w:val="48"/>
      <w:szCs w:val="48"/>
    </w:rPr>
  </w:style>
  <w:style w:type="character" w:default="1" w:styleId="12">
    <w:name w:val="Default Paragraph Font"/>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6"/>
    <w:semiHidden/>
    <w:unhideWhenUsed/>
    <w:qFormat/>
    <w:uiPriority w:val="99"/>
    <w:rPr>
      <w:b/>
      <w:bCs/>
    </w:rPr>
  </w:style>
  <w:style w:type="paragraph" w:styleId="4">
    <w:name w:val="annotation text"/>
    <w:basedOn w:val="1"/>
    <w:link w:val="25"/>
    <w:semiHidden/>
    <w:unhideWhenUsed/>
    <w:qFormat/>
    <w:uiPriority w:val="99"/>
    <w:pPr>
      <w:jc w:val="left"/>
    </w:pPr>
  </w:style>
  <w:style w:type="paragraph" w:styleId="5">
    <w:name w:val="Closing"/>
    <w:basedOn w:val="1"/>
    <w:qFormat/>
    <w:uiPriority w:val="0"/>
    <w:pPr>
      <w:ind w:left="100" w:leftChars="2100"/>
    </w:pPr>
    <w:rPr>
      <w:rFonts w:ascii="宋体"/>
      <w:sz w:val="24"/>
    </w:rPr>
  </w:style>
  <w:style w:type="paragraph" w:styleId="6">
    <w:name w:val="Body Text Indent"/>
    <w:basedOn w:val="1"/>
    <w:link w:val="30"/>
    <w:qFormat/>
    <w:uiPriority w:val="0"/>
    <w:pPr>
      <w:spacing w:after="120"/>
      <w:ind w:left="420" w:leftChars="200"/>
    </w:pPr>
    <w:rPr>
      <w:rFonts w:ascii="Calibri" w:hAnsi="Calibri"/>
      <w:szCs w:val="22"/>
    </w:rPr>
  </w:style>
  <w:style w:type="paragraph" w:styleId="7">
    <w:name w:val="Plain Text"/>
    <w:basedOn w:val="1"/>
    <w:link w:val="24"/>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8">
    <w:name w:val="Balloon Text"/>
    <w:basedOn w:val="1"/>
    <w:qFormat/>
    <w:uiPriority w:val="0"/>
    <w:rPr>
      <w:sz w:val="18"/>
      <w:szCs w:val="18"/>
    </w:r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spacing w:before="100" w:beforeAutospacing="1" w:after="100" w:afterAutospacing="1"/>
      <w:jc w:val="left"/>
    </w:pPr>
    <w:rPr>
      <w:rFonts w:ascii="Calibri" w:hAnsi="Calibri"/>
      <w:kern w:val="0"/>
      <w:sz w:val="24"/>
      <w:szCs w:val="22"/>
    </w:rPr>
  </w:style>
  <w:style w:type="character" w:styleId="13">
    <w:name w:val="Hyperlink"/>
    <w:basedOn w:val="12"/>
    <w:unhideWhenUsed/>
    <w:qFormat/>
    <w:uiPriority w:val="99"/>
    <w:rPr>
      <w:color w:val="0000FF"/>
      <w:u w:val="single"/>
    </w:rPr>
  </w:style>
  <w:style w:type="character" w:styleId="14">
    <w:name w:val="annotation reference"/>
    <w:basedOn w:val="12"/>
    <w:semiHidden/>
    <w:unhideWhenUsed/>
    <w:qFormat/>
    <w:uiPriority w:val="99"/>
    <w:rPr>
      <w:sz w:val="21"/>
      <w:szCs w:val="21"/>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纯文本1"/>
    <w:basedOn w:val="1"/>
    <w:qFormat/>
    <w:uiPriority w:val="0"/>
    <w:pPr>
      <w:widowControl/>
      <w:jc w:val="left"/>
    </w:pPr>
    <w:rPr>
      <w:rFonts w:ascii="宋体" w:hAnsi="Courier New" w:eastAsia="微软雅黑"/>
      <w:kern w:val="0"/>
      <w:sz w:val="20"/>
      <w:szCs w:val="21"/>
    </w:rPr>
  </w:style>
  <w:style w:type="paragraph" w:customStyle="1" w:styleId="18">
    <w:name w:val="1_0"/>
    <w:basedOn w:val="1"/>
    <w:next w:val="17"/>
    <w:qFormat/>
    <w:uiPriority w:val="0"/>
    <w:rPr>
      <w:rFonts w:ascii="宋体" w:hAnsi="Courier New"/>
      <w:szCs w:val="22"/>
    </w:rPr>
  </w:style>
  <w:style w:type="paragraph" w:customStyle="1" w:styleId="19">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20">
    <w:name w:val="页脚 Char"/>
    <w:link w:val="9"/>
    <w:qFormat/>
    <w:uiPriority w:val="99"/>
    <w:rPr>
      <w:kern w:val="2"/>
      <w:sz w:val="18"/>
      <w:szCs w:val="18"/>
    </w:rPr>
  </w:style>
  <w:style w:type="character" w:customStyle="1" w:styleId="21">
    <w:name w:val="apple-style-span"/>
    <w:basedOn w:val="12"/>
    <w:qFormat/>
    <w:uiPriority w:val="0"/>
  </w:style>
  <w:style w:type="character" w:customStyle="1" w:styleId="22">
    <w:name w:val="页眉 Char"/>
    <w:link w:val="10"/>
    <w:qFormat/>
    <w:uiPriority w:val="0"/>
    <w:rPr>
      <w:kern w:val="2"/>
      <w:sz w:val="18"/>
      <w:szCs w:val="18"/>
    </w:rPr>
  </w:style>
  <w:style w:type="character" w:customStyle="1" w:styleId="23">
    <w:name w:val="style141"/>
    <w:qFormat/>
    <w:uiPriority w:val="0"/>
    <w:rPr>
      <w:rFonts w:hint="eastAsia" w:ascii="宋体" w:hAnsi="宋体" w:eastAsia="宋体"/>
      <w:sz w:val="18"/>
      <w:szCs w:val="18"/>
    </w:rPr>
  </w:style>
  <w:style w:type="character" w:customStyle="1" w:styleId="24">
    <w:name w:val="纯文本 Char"/>
    <w:basedOn w:val="12"/>
    <w:link w:val="7"/>
    <w:qFormat/>
    <w:uiPriority w:val="0"/>
    <w:rPr>
      <w:rFonts w:ascii="宋体" w:hAnsi="Courier New" w:eastAsia="微软雅黑" w:cs="Courier New"/>
      <w:sz w:val="22"/>
      <w:szCs w:val="21"/>
    </w:rPr>
  </w:style>
  <w:style w:type="character" w:customStyle="1" w:styleId="25">
    <w:name w:val="批注文字 Char"/>
    <w:basedOn w:val="12"/>
    <w:link w:val="4"/>
    <w:semiHidden/>
    <w:qFormat/>
    <w:uiPriority w:val="99"/>
    <w:rPr>
      <w:kern w:val="2"/>
      <w:sz w:val="21"/>
      <w:szCs w:val="24"/>
    </w:rPr>
  </w:style>
  <w:style w:type="character" w:customStyle="1" w:styleId="26">
    <w:name w:val="批注主题 Char"/>
    <w:basedOn w:val="25"/>
    <w:link w:val="3"/>
    <w:semiHidden/>
    <w:qFormat/>
    <w:uiPriority w:val="99"/>
    <w:rPr>
      <w:b/>
      <w:bCs/>
      <w:kern w:val="2"/>
      <w:sz w:val="21"/>
      <w:szCs w:val="24"/>
    </w:rPr>
  </w:style>
  <w:style w:type="paragraph" w:styleId="27">
    <w:name w:val="List Paragraph"/>
    <w:basedOn w:val="1"/>
    <w:qFormat/>
    <w:uiPriority w:val="34"/>
    <w:pPr>
      <w:ind w:firstLine="420" w:firstLineChars="200"/>
    </w:pPr>
  </w:style>
  <w:style w:type="character" w:customStyle="1" w:styleId="28">
    <w:name w:val="标题 1 Char"/>
    <w:basedOn w:val="12"/>
    <w:link w:val="2"/>
    <w:qFormat/>
    <w:uiPriority w:val="9"/>
    <w:rPr>
      <w:rFonts w:ascii="宋体" w:hAnsi="宋体"/>
      <w:b/>
      <w:bCs/>
      <w:snapToGrid w:val="0"/>
      <w:kern w:val="44"/>
      <w:sz w:val="48"/>
      <w:szCs w:val="48"/>
    </w:rPr>
  </w:style>
  <w:style w:type="character" w:customStyle="1" w:styleId="29">
    <w:name w:val="font01"/>
    <w:basedOn w:val="12"/>
    <w:qFormat/>
    <w:uiPriority w:val="0"/>
    <w:rPr>
      <w:rFonts w:hint="eastAsia" w:ascii="宋体" w:hAnsi="宋体" w:eastAsia="宋体" w:cs="宋体"/>
      <w:color w:val="000000"/>
      <w:sz w:val="22"/>
      <w:szCs w:val="22"/>
      <w:u w:val="none"/>
      <w:vertAlign w:val="superscript"/>
    </w:rPr>
  </w:style>
  <w:style w:type="character" w:customStyle="1" w:styleId="30">
    <w:name w:val="正文文本缩进 Char"/>
    <w:basedOn w:val="12"/>
    <w:link w:val="6"/>
    <w:qFormat/>
    <w:uiPriority w:val="0"/>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aaa</Company>
  <Pages>29</Pages>
  <Words>2362</Words>
  <Characters>13465</Characters>
  <Lines>112</Lines>
  <Paragraphs>31</Paragraphs>
  <TotalTime>10</TotalTime>
  <ScaleCrop>false</ScaleCrop>
  <LinksUpToDate>false</LinksUpToDate>
  <CharactersWithSpaces>15796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2018-02-28T04:01:00Z</dcterms:created>
  <dc:creator>abc</dc:creator>
  <cp:lastModifiedBy>詹映静</cp:lastModifiedBy>
  <cp:lastPrinted>2011-11-29T08:47:00Z</cp:lastPrinted>
  <dcterms:modified xsi:type="dcterms:W3CDTF">2023-07-17T01:18:52Z</dcterms:modified>
  <dc:title>广州大学城投资经营管理有限公司</dc:title>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