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highlight w:val="none"/>
        </w:rPr>
      </w:pPr>
      <w:r>
        <w:rPr>
          <w:rFonts w:hint="eastAsia"/>
          <w:b/>
          <w:sz w:val="28"/>
          <w:highlight w:val="none"/>
        </w:rPr>
        <w:t>广州城投综合能源投资经营管理有限公司</w:t>
      </w:r>
    </w:p>
    <w:p>
      <w:pPr>
        <w:jc w:val="center"/>
        <w:rPr>
          <w:rFonts w:hint="eastAsia"/>
          <w:b/>
          <w:sz w:val="28"/>
          <w:highlight w:val="none"/>
        </w:rPr>
      </w:pPr>
      <w:r>
        <w:rPr>
          <w:rFonts w:hint="eastAsia"/>
          <w:b/>
          <w:sz w:val="28"/>
          <w:highlight w:val="none"/>
        </w:rPr>
        <w:t>20230531生产部冷系统生产月度材料采购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（一）项目名称：20230531生产部冷系统生产月度材料采购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包组一五金材料类限价11万元，包组二阀门材料类限价3万元。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包组一五金材料类，包组二阀门材料类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）货期：按照供应商报价响应所承诺的货期将货物安全、完整、按时送货到采购人指定地点。</w:t>
      </w:r>
    </w:p>
    <w:p>
      <w:pPr>
        <w:pStyle w:val="14"/>
        <w:tabs>
          <w:tab w:val="left" w:pos="0"/>
        </w:tabs>
        <w:spacing w:line="240" w:lineRule="auto"/>
        <w:rPr>
          <w:rFonts w:hint="eastAsia" w:ascii="宋体" w:hAnsi="宋体" w:eastAsiaTheme="minorEastAsia"/>
          <w:sz w:val="24"/>
          <w:highlight w:val="none"/>
          <w:lang w:val="en-US" w:eastAsia="zh-CN"/>
        </w:rPr>
      </w:pPr>
      <w:r>
        <w:rPr>
          <w:rFonts w:hint="eastAsia" w:ascii="宋体" w:hAnsi="宋体"/>
          <w:sz w:val="24"/>
          <w:highlight w:val="none"/>
        </w:rPr>
        <w:t>（四）送货地点：</w:t>
      </w:r>
      <w:r>
        <w:rPr>
          <w:rFonts w:hint="eastAsia" w:ascii="宋体" w:hAnsi="宋体"/>
          <w:sz w:val="24"/>
          <w:highlight w:val="none"/>
          <w:lang w:val="en-US" w:eastAsia="zh-CN"/>
        </w:rPr>
        <w:t>1、</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4"/>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4"/>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6"/>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rPr>
        <w:t>20230531生产部冷系统生产月度材料采购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5"/>
        <w:numPr>
          <w:ilvl w:val="0"/>
          <w:numId w:val="8"/>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8"/>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8"/>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27</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0"/>
        </w:numPr>
        <w:tabs>
          <w:tab w:val="left" w:pos="420"/>
        </w:tabs>
        <w:spacing w:line="360" w:lineRule="auto"/>
        <w:rPr>
          <w:sz w:val="24"/>
          <w:highlight w:val="none"/>
        </w:rPr>
      </w:pPr>
      <w:r>
        <w:rPr>
          <w:rFonts w:hint="eastAsia" w:ascii="宋体" w:hAnsi="宋体"/>
          <w:sz w:val="24"/>
          <w:highlight w:val="none"/>
        </w:rPr>
        <w:t>20230531生产部冷系统生产月度材料采购</w:t>
      </w:r>
      <w:r>
        <w:rPr>
          <w:rFonts w:hint="eastAsia" w:ascii="宋体" w:hAnsi="宋体"/>
          <w:sz w:val="24"/>
          <w:highlight w:val="none"/>
          <w:lang w:val="en-US" w:eastAsia="zh-CN"/>
        </w:rPr>
        <w:t>包组一五金材料类</w:t>
      </w:r>
      <w:r>
        <w:rPr>
          <w:rFonts w:hint="eastAsia" w:ascii="宋体" w:hAnsi="宋体"/>
          <w:sz w:val="24"/>
          <w:highlight w:val="none"/>
        </w:rPr>
        <w:t>清单</w:t>
      </w:r>
    </w:p>
    <w:tbl>
      <w:tblPr>
        <w:tblStyle w:val="4"/>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35"/>
        <w:gridCol w:w="3166"/>
        <w:gridCol w:w="713"/>
        <w:gridCol w:w="70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2"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SIBA进口高压熔断器</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品牌：原装进口SIBA（西霸）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型号编码：3000413，3001213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额定电流：25A,31A,50A,50A,80A各3个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额定电压：12kV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长度:292mm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直径：53mm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drawing>
                <wp:inline distT="0" distB="0" distL="114300" distR="114300">
                  <wp:extent cx="950595" cy="474345"/>
                  <wp:effectExtent l="0" t="0" r="1905" b="1905"/>
                  <wp:docPr id="1140" name="图片 1" descr="微信图片_2023042015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图片 1" descr="微信图片_20230420151328"/>
                          <pic:cNvPicPr>
                            <a:picLocks noChangeAspect="1"/>
                          </pic:cNvPicPr>
                        </pic:nvPicPr>
                        <pic:blipFill>
                          <a:blip r:embed="rId5"/>
                          <a:stretch>
                            <a:fillRect/>
                          </a:stretch>
                        </pic:blipFill>
                        <pic:spPr>
                          <a:xfrm>
                            <a:off x="0" y="0"/>
                            <a:ext cx="950595" cy="4743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SIBA熔断器弹簧夹件</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品牌：原装进口SIBA（西霸）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型号编码：3400201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额定电流：≤200A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额定电压：12kV</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drawing>
                <wp:inline distT="0" distB="0" distL="114300" distR="114300">
                  <wp:extent cx="647065" cy="585470"/>
                  <wp:effectExtent l="0" t="0" r="635" b="5080"/>
                  <wp:docPr id="1141" name="图片 2" descr="微信图片_2023042015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图片 2" descr="微信图片_20230420151343"/>
                          <pic:cNvPicPr>
                            <a:picLocks noChangeAspect="1"/>
                          </pic:cNvPicPr>
                        </pic:nvPicPr>
                        <pic:blipFill>
                          <a:blip r:embed="rId6"/>
                          <a:srcRect r="30482"/>
                          <a:stretch>
                            <a:fillRect/>
                          </a:stretch>
                        </pic:blipFill>
                        <pic:spPr>
                          <a:xfrm>
                            <a:off x="0" y="0"/>
                            <a:ext cx="647065" cy="585470"/>
                          </a:xfrm>
                          <a:prstGeom prst="rect">
                            <a:avLst/>
                          </a:prstGeom>
                          <a:noFill/>
                          <a:ln w="9525">
                            <a:noFill/>
                          </a:ln>
                        </pic:spPr>
                      </pic:pic>
                    </a:graphicData>
                  </a:graphic>
                </wp:inline>
              </w:drawing>
            </w:r>
            <w:r>
              <w:drawing>
                <wp:inline distT="0" distB="0" distL="114300" distR="114300">
                  <wp:extent cx="584200" cy="502285"/>
                  <wp:effectExtent l="0" t="0" r="6350" b="12065"/>
                  <wp:docPr id="1142" name="图片 3" descr="微信图片_20230420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图片 3" descr="微信图片_20230420151347"/>
                          <pic:cNvPicPr>
                            <a:picLocks noChangeAspect="1"/>
                          </pic:cNvPicPr>
                        </pic:nvPicPr>
                        <pic:blipFill>
                          <a:blip r:embed="rId7"/>
                          <a:stretch>
                            <a:fillRect/>
                          </a:stretch>
                        </pic:blipFill>
                        <pic:spPr>
                          <a:xfrm>
                            <a:off x="0" y="0"/>
                            <a:ext cx="584200" cy="50228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纯铜母线</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材质：黄铜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尺寸：40mm*4mm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规格：1米/条</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直流监控模块</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品牌：广州长川科技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型号：EDU01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工作电源：80-250V</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u w:val="single"/>
                <w:lang w:val="en-US" w:eastAsia="zh-CN"/>
              </w:rPr>
            </w:pPr>
            <w:r>
              <w:drawing>
                <wp:inline distT="0" distB="0" distL="114300" distR="114300">
                  <wp:extent cx="533400" cy="842645"/>
                  <wp:effectExtent l="0" t="0" r="14605" b="0"/>
                  <wp:docPr id="1143" name="图片 4" descr="微信图片_2023053109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图片 4" descr="微信图片_20230531092026"/>
                          <pic:cNvPicPr>
                            <a:picLocks noChangeAspect="1"/>
                          </pic:cNvPicPr>
                        </pic:nvPicPr>
                        <pic:blipFill>
                          <a:blip r:embed="rId8"/>
                          <a:srcRect l="28413" t="2325" r="24429"/>
                          <a:stretch>
                            <a:fillRect/>
                          </a:stretch>
                        </pic:blipFill>
                        <pic:spPr>
                          <a:xfrm rot="5400000">
                            <a:off x="0" y="0"/>
                            <a:ext cx="533400" cy="84264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5</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按钮</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品牌：江阴长江电器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型号：LA38-22/203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额定电压：220/380V DC24/110V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型号：两常开两常闭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开孔尺寸：22mm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红色、绿色各10个</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PLC模块</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西门子，EM231CN AI4*12Bit，6ES7 231-0HC22-0XA8</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7</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海康威视高清红外夜视模拟枪机</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海康威视高清红外夜视模拟枪机，200万像素 DS-2CE16D1T-IT3F 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配电源，支架，延长线，BNC接头</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通讯转换器</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峰朗信息，FC202-4G-4CB</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9</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西门子200PLC PPI转以太网</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西门子200PLC PPI转以太网CP243 TK 6000-PT图尔库</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西门子200PLC PPI转以太网</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西门子200PLC PPI转以太网CP243 TK 6000-PB图尔库</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11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一号充电电池</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品牌：倍量；规格：D型 镍氢通用 5000mah</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12</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尼龙绳</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高强度，直径6毫米</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drawing>
                <wp:inline distT="0" distB="0" distL="114300" distR="114300">
                  <wp:extent cx="882650" cy="923290"/>
                  <wp:effectExtent l="0" t="0" r="12700" b="10160"/>
                  <wp:docPr id="11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图片 2"/>
                          <pic:cNvPicPr>
                            <a:picLocks noChangeAspect="1"/>
                          </pic:cNvPicPr>
                        </pic:nvPicPr>
                        <pic:blipFill>
                          <a:blip r:embed="rId9"/>
                          <a:stretch>
                            <a:fillRect/>
                          </a:stretch>
                        </pic:blipFill>
                        <pic:spPr>
                          <a:xfrm>
                            <a:off x="0" y="0"/>
                            <a:ext cx="882650" cy="92329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13</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尼龙绳</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高强度，直径10毫米</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14</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电筒</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神火L6-G强光板</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15</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钢卷尺</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5米，得力</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16</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戒纸刀</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大号，得力，加厚款，配刀片一盒</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17</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风速仪</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香港希玛，AR-816</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18</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竹梯防滑套</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中号，直径60~80mm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19</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冲击钻钻嘴</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Φ6</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20</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冲击钻钻嘴</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Φ8</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保温棉胶水</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福乐斯520胶水，3.78升/罐</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22</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风柜皮带</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B-64，品牌：mitsuboshi</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23</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堵头</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DN20，镀锌</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24</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膨胀螺丝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材质：304，螺纹直径：8mm，总长80mm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"https://item.taobao.com/item.htm?spm=a230r.1.14.16.2b872d0e6ggeiI&amp;id=39657839321&amp;ns=1&amp;abbucket=11"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https://item.taobao.com/item.htm?spm=a230r.1.14.16.2b872d0e6ggeiI&amp;id=39657839321&amp;ns=1&amp;abbucket=11#detail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25</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膨胀螺丝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材质：304，螺纹直径：8mm，总长100mm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"https://item.taobao.com/item.htm?spm=a230r.1.14.16.2b872d0e6ggeiI&amp;id=39657839321&amp;ns=1&amp;abbucket=11"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https://item.taobao.com/item.htm?spm=a230r.1.14.16.2b872d0e6ggeiI&amp;id=39657839321&amp;ns=1&amp;abbucket=11#detail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26</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膨胀螺丝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材质：304，螺纹直径：8mm，总长120mm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"https://item.taobao.com/item.htm?spm=a230r.1.14.16.2b872d0e6ggeiI&amp;id=39657839321&amp;ns=1&amp;abbucket=11"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https://item.taobao.com/item.htm?spm=a230r.1.14.16.2b872d0e6ggeiI&amp;id=39657839321&amp;ns=1&amp;abbucket=11#detail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27</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膨胀螺丝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材质：304，螺纹直径：10mm，总长80mm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lang w:eastAsia="zh-CN"/>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"https://item.taobao.com/item.htm?spm=a230r.1.14.16.2b872d0e6ggeiI&amp;id=39657839321&amp;ns=1&amp;abbucket=11"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https://item.taobao.com/item.htm?spm=a230r.1.14.16.2b872d0e6ggeiI&amp;id=39657839321&amp;ns=1&amp;abbucket=11#detail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28</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膨胀螺丝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材质：304，螺纹直径：10mm，总长100mm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lang w:eastAsia="zh-CN"/>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"https://item.taobao.com/item.htm?spm=a230r.1.14.16.2b872d0e6ggeiI&amp;id=39657839321&amp;ns=1&amp;abbucket=11"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https://item.taobao.com/item.htm?spm=a230r.1.14.16.2b872d0e6ggeiI&amp;id=39657839321&amp;ns=1&amp;abbucket=11#detail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29</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膨胀螺丝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材质：304，螺纹直径：10mm，总长120mm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"https://item.taobao.com/item.htm?spm=a230r.1.14.16.2b872d0e6ggeiI&amp;id=39657839321&amp;ns=1&amp;abbucket=11"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https://item.taobao.com/item.htm?spm=a230r.1.14.16.2b872d0e6ggeiI&amp;id=39657839321&amp;ns=1&amp;abbucket=11#detail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30</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陶瓷熔断器保险丝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品牌：MRO，型号: RT18-32 RO15，尺寸：10*38mm，额定电流：2A，额定电压：690V-50KA</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"https://item.taobao.com/item.htm?spm=a230r.1.14.18.78df2213KazmlK&amp;id=604076295950&amp;ns=1&amp;abbucket=11"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https://item.taobao.com/item.htm?spm=a230r.1.14.18.78df2213KazmlK&amp;id=604076295950&amp;ns=1&amp;abbucket=11#detail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31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陶瓷熔断器保险丝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品牌：MRO，型号: RT18-32 RO15，尺寸：10*38mm，额定电流：4A，额定电压：690V-50KA</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"https://item.taobao.com/item.htm?spm=a230r.1.14.18.78df2213KazmlK&amp;id=604076295950&amp;ns=1&amp;abbucket=11"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https://item.taobao.com/item.htm?spm=a230r.1.14.18.78df2213KazmlK&amp;id=604076295950&amp;ns=1&amp;abbucket=11#detail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32</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陶瓷熔断器保险丝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品牌：MRO，型号: RT18-32 RO15，尺寸：10*38mm，额定电流：5A，额定电压：690V-50KA</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"https://item.taobao.com/item.htm?spm=a230r.1.14.18.78df2213KazmlK&amp;id=604076295950&amp;ns=1&amp;abbucket=11"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https://item.taobao.com/item.htm?spm=a230r.1.14.18.78df2213KazmlK&amp;id=604076295950&amp;ns=1&amp;abbucket=11#detail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33</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辅助触头</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品牌：正泰，型号：F4-22，触点模式：两常开两常闭，额定电流：10A，额定电压：690V</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"https://item.taobao.com/item.htm?spm=a230r.1.14.28.58a241d6IFkchX&amp;id=579939812134&amp;ns=1&amp;abbucket=11"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https://item.taobao.com/item.htm?spm=a230r.1.14.28.58a241d6IFkchX&amp;id=579939812134&amp;ns=1&amp;abbucket=11#detail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34</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辅助触头</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品牌：正泰，型号：F4-11，触点模式：一常开一常闭，额定电流：10A，额定电压：690V</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"https://item.taobao.com/item.htm?spm=a230r.1.14.28.58a241d6IFkchX&amp;id=579939812134&amp;ns=1&amp;abbucket=11" \l "detail"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https://item.taobao.com/item.htm?spm=a230r.1.14.28.58a241d6IFkchX&amp;id=579939812134&amp;ns=1&amp;abbucket=11#detail</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2"/>
                <w:szCs w:val="22"/>
                <w:u w:val="none"/>
                <w:lang w:val="en-US" w:eastAsia="zh-CN" w:bidi="ar"/>
              </w:rPr>
              <w:t>35</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美工刀刀片</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0"/>
                <w:szCs w:val="20"/>
                <w:u w:val="none"/>
                <w:lang w:val="en-US" w:eastAsia="zh-CN" w:bidi="ar"/>
              </w:rPr>
              <w:t>长106mm，宽17.6mm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盒</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"https://detail.tmall.com/item.htm?abbucket=11&amp;id=681061686555&amp;ns=1&amp;skuId=4876857868064&amp;spm=a230r.1.14.53.524417bdjuRc1j"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https://detail.tmall.com/item.htm?abbucket=11&amp;id=681061686555&amp;ns=1&amp;skuId=4876857868064&amp;spm=a230r.1.14.53.524417bdjuRc1j</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透明塑料收纳盒</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尺寸：165*118*58mm，里面有6格</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"https://detail.tmall.com/item.htm?abbucket=11&amp;id=642073495453&amp;ns=1&amp;skuId=4608497268973&amp;spm=a230r.1.14.18.75a639a3Lj0O8B"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https://detail.tmall.com/item.htm?abbucket=11&amp;id=642073495453&amp;ns=1&amp;skuId=4608497268973&amp;spm=a230r.1.14.18.75a639a3Lj0O8B</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透明塑料收纳盒</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尺寸：295*195*60mm，里面有10格</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"https://detail.tmall.com/item.htm?abbucket=11&amp;id=642073495453&amp;ns=1&amp;skuId=4608497268973&amp;spm=a230r.1.14.18.75a639a3Lj0O8B"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https://detail.tmall.com/item.htm?abbucket=11&amp;id=642073495453&amp;ns=1&amp;skuId=4608497268973&amp;spm=a230r.1.14.18.75a639a3Lj0O8B</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斜口塑料盒</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尺寸：长250mm，宽150mm，高120mm，加厚，蓝色</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"https://item.taobao.com/item.htm?id=550333386789&amp;ali_refid=a3_420434_1006:1150686195:N:a4cT9oJoDAviDGAHzMFtwdkHzMAezQSR:52467b263661a8104c11e6193b4e7cd4&amp;ali_trackid=1_52467b263661a8104c11e6193b4e7cd4&amp;spm=a230r.1.1957635.23"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https://item.taobao.com/item.htm?id=550333386789&amp;ali_refid=a3_420434_1006:1150686195:N:a4cT9oJoDAviDGAHzMFtwdkHzMAezQSR:52467b263661a8104c11e6193b4e7cd4&amp;ali_trackid=1_52467b263661a8104c11e6193b4e7cd4&amp;spm=a230r.1.1957635.23</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斜口塑料盒</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尺寸：长355mm，宽200mm，高150mm，加厚，蓝色</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kern w:val="0"/>
                <w:sz w:val="13"/>
                <w:szCs w:val="13"/>
                <w:u w:val="single"/>
                <w:lang w:val="en-US" w:eastAsia="zh-CN" w:bidi="ar"/>
              </w:rPr>
              <w:fldChar w:fldCharType="begin"/>
            </w:r>
            <w:r>
              <w:rPr>
                <w:rFonts w:hint="eastAsia" w:ascii="宋体" w:hAnsi="宋体" w:eastAsia="宋体" w:cs="宋体"/>
                <w:i w:val="0"/>
                <w:iCs w:val="0"/>
                <w:kern w:val="0"/>
                <w:sz w:val="13"/>
                <w:szCs w:val="13"/>
                <w:u w:val="single"/>
                <w:lang w:val="en-US" w:eastAsia="zh-CN" w:bidi="ar"/>
              </w:rPr>
              <w:instrText xml:space="preserve"> HYPERLINK "https://item.taobao.com/item.htm?id=550333386789&amp;ali_refid=a3_420434_1006:1150686195:N:a4cT9oJoDAviDGAHzMFtwdkHzMAezQSR:52467b263661a8104c11e6193b4e7cd4&amp;ali_trackid=1_52467b263661a8104c11e6193b4e7cd4&amp;spm=a230r.1.1957635.23" </w:instrText>
            </w:r>
            <w:r>
              <w:rPr>
                <w:rFonts w:hint="eastAsia" w:ascii="宋体" w:hAnsi="宋体" w:eastAsia="宋体" w:cs="宋体"/>
                <w:i w:val="0"/>
                <w:iCs w:val="0"/>
                <w:kern w:val="0"/>
                <w:sz w:val="13"/>
                <w:szCs w:val="13"/>
                <w:u w:val="single"/>
                <w:lang w:val="en-US" w:eastAsia="zh-CN" w:bidi="ar"/>
              </w:rPr>
              <w:fldChar w:fldCharType="separate"/>
            </w:r>
            <w:r>
              <w:rPr>
                <w:rStyle w:val="11"/>
                <w:rFonts w:hint="eastAsia" w:ascii="宋体" w:hAnsi="宋体" w:eastAsia="宋体" w:cs="宋体"/>
                <w:i w:val="0"/>
                <w:iCs w:val="0"/>
                <w:sz w:val="13"/>
                <w:szCs w:val="13"/>
                <w:u w:val="single"/>
              </w:rPr>
              <w:t>https://item.taobao.com/item.htm?id=550333386789&amp;ali_refid=a3_420434_1006:1150686195:N:a4cT9oJoDAviDGAHzMFtwdkHzMAezQSR:52467b263661a8104c11e6193b4e7cd4&amp;ali_trackid=1_52467b263661a8104c11e6193b4e7cd4&amp;spm=a230r.1.1957635.23</w:t>
            </w:r>
            <w:r>
              <w:rPr>
                <w:rFonts w:hint="eastAsia" w:ascii="宋体" w:hAnsi="宋体" w:eastAsia="宋体" w:cs="宋体"/>
                <w:i w:val="0"/>
                <w:iCs w:val="0"/>
                <w:kern w:val="0"/>
                <w:sz w:val="13"/>
                <w:szCs w:val="13"/>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不锈钢膨胀挂钩</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M8,小口钩，</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FF"/>
                <w:kern w:val="0"/>
                <w:sz w:val="13"/>
                <w:szCs w:val="13"/>
                <w:u w:val="single"/>
                <w:lang w:val="en-US" w:eastAsia="zh-CN" w:bidi="ar"/>
              </w:rPr>
              <w:t>https://item.taobao.com/item.htm?spm=a230r.1.14.8.2f4062f8KpX4FV&amp;id=520374017637&amp;ns=1&amp;abbucket=8#detail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井盖防坠网</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DN800，绿色聚乙烯</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2"/>
                <w:szCs w:val="2"/>
                <w:highlight w:val="none"/>
              </w:rPr>
            </w:pPr>
            <w:r>
              <w:rPr>
                <w:rFonts w:hint="eastAsia" w:ascii="宋体" w:hAnsi="宋体" w:eastAsia="宋体" w:cs="宋体"/>
                <w:i w:val="0"/>
                <w:iCs w:val="0"/>
                <w:color w:val="0000FF"/>
                <w:kern w:val="0"/>
                <w:sz w:val="13"/>
                <w:szCs w:val="13"/>
                <w:u w:val="single"/>
                <w:lang w:val="en-US" w:eastAsia="zh-CN" w:bidi="ar"/>
              </w:rPr>
              <w:t>https://item.taobao.com/item.htm?id=718552063677&amp;ali_refid=a3_430582_1006:1123109002:N:gJzCCdY4GGWG1C6jUPec5w%3D%3D:0028ea9f5a9506d8b8644d579e896e09&amp;ali_trackid=230_0028ea9f5a9506d8b8644d579e896e09&amp;spm=a230r.1.14.13#detail</w:t>
            </w:r>
          </w:p>
        </w:tc>
      </w:tr>
    </w:tbl>
    <w:p>
      <w:pPr>
        <w:spacing w:line="360" w:lineRule="auto"/>
        <w:rPr>
          <w:rFonts w:hint="eastAsia" w:ascii="宋体" w:hAnsi="宋体" w:eastAsia="宋体" w:cs="宋体"/>
          <w:sz w:val="21"/>
          <w:szCs w:val="21"/>
          <w:highlight w:val="none"/>
        </w:rPr>
      </w:pP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13"/>
        </w:numPr>
        <w:tabs>
          <w:tab w:val="left" w:pos="420"/>
          <w:tab w:val="clear" w:pos="312"/>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val="en-US"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hint="eastAsia" w:ascii="宋体" w:hAnsi="宋体"/>
          <w:sz w:val="32"/>
          <w:highlight w:val="none"/>
          <w:lang w:val="en-US" w:eastAsia="zh-CN"/>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bookmarkStart w:id="0" w:name="_GoBack"/>
      <w:bookmarkEnd w:id="0"/>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sz w:val="24"/>
          <w:highlight w:val="none"/>
        </w:rPr>
        <w:t>20230531生产部冷系统生产月度材料采购</w:t>
      </w:r>
      <w:r>
        <w:rPr>
          <w:rFonts w:hint="eastAsia" w:ascii="宋体" w:hAnsi="宋体"/>
          <w:sz w:val="24"/>
          <w:highlight w:val="none"/>
          <w:lang w:val="en-US" w:eastAsia="zh-CN"/>
        </w:rPr>
        <w:t>包组二阀门材料类清</w:t>
      </w:r>
      <w:r>
        <w:rPr>
          <w:rFonts w:hint="eastAsia" w:ascii="宋体" w:hAnsi="宋体"/>
          <w:sz w:val="24"/>
          <w:highlight w:val="none"/>
        </w:rPr>
        <w:t>单</w:t>
      </w:r>
    </w:p>
    <w:tbl>
      <w:tblPr>
        <w:tblStyle w:val="4"/>
        <w:tblW w:w="8722" w:type="dxa"/>
        <w:tblInd w:w="0" w:type="dxa"/>
        <w:tblLayout w:type="fixed"/>
        <w:tblCellMar>
          <w:top w:w="0" w:type="dxa"/>
          <w:left w:w="108" w:type="dxa"/>
          <w:bottom w:w="0" w:type="dxa"/>
          <w:right w:w="108" w:type="dxa"/>
        </w:tblCellMar>
      </w:tblPr>
      <w:tblGrid>
        <w:gridCol w:w="692"/>
        <w:gridCol w:w="1807"/>
        <w:gridCol w:w="3195"/>
        <w:gridCol w:w="817"/>
        <w:gridCol w:w="765"/>
        <w:gridCol w:w="1446"/>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46"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91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电动开关阀</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BELIMO阀体和执行器，</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DN100D6100N对夹式蝶阀</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r>
        <w:tblPrEx>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电动开关阀</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BELIMO阀体和执行器，DN125，D6125N/DRC230G-7 IP66 </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对夹式蝶阀</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3</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电动开关阀</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BELIMO阀体和执行器，DN150，D6150N/PRCA-S2-T IP66 </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对央式蝶阀</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r>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lang w:val="en-US" w:eastAsia="zh-CN"/>
              </w:rPr>
            </w:pPr>
            <w:r>
              <w:rPr>
                <w:rFonts w:hint="eastAsia" w:asciiTheme="majorEastAsia" w:hAnsiTheme="majorEastAsia" w:eastAsiaTheme="majorEastAsia" w:cstheme="majorEastAsia"/>
                <w:i w:val="0"/>
                <w:iCs w:val="0"/>
                <w:color w:val="auto"/>
                <w:kern w:val="0"/>
                <w:sz w:val="18"/>
                <w:szCs w:val="18"/>
                <w:u w:val="none"/>
                <w:lang w:val="en-US" w:eastAsia="zh-CN" w:bidi="ar"/>
              </w:rPr>
              <w:t>4</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电动开关阀</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BELIMO阀体和执行器，DN200，D6200W/PRCA-S2-T-200 IP66 </w:t>
            </w:r>
          </w:p>
          <w:p>
            <w:pPr>
              <w:keepNext w:val="0"/>
              <w:keepLines w:val="0"/>
              <w:widowControl/>
              <w:suppressLineNumbers w:val="0"/>
              <w:jc w:val="center"/>
              <w:textAlignment w:val="center"/>
              <w:rPr>
                <w:rFonts w:hint="eastAsia" w:asciiTheme="majorEastAsia" w:hAnsiTheme="majorEastAsia" w:eastAsiaTheme="majorEastAsia" w:cstheme="majorEastAsia"/>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对夹式蝶阀</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套</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1</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u w:val="single"/>
                <w:lang w:val="en-US" w:eastAsia="zh-CN"/>
              </w:rPr>
            </w:pPr>
          </w:p>
        </w:tc>
      </w:tr>
      <w:tr>
        <w:tblPrEx>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i w:val="0"/>
                <w:iCs w:val="0"/>
                <w:color w:val="auto"/>
                <w:kern w:val="0"/>
                <w:sz w:val="18"/>
                <w:szCs w:val="18"/>
                <w:u w:val="none"/>
                <w:lang w:val="en-US" w:eastAsia="zh-CN" w:bidi="ar"/>
              </w:rPr>
              <w:t>5</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电动调节阀</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Danfoss阀头，AME 55</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r>
              <w:rPr>
                <w:rFonts w:hint="eastAsia" w:ascii="宋体" w:hAnsi="宋体" w:eastAsia="宋体" w:cs="宋体"/>
                <w:i w:val="0"/>
                <w:iCs w:val="0"/>
                <w:color w:val="000000"/>
                <w:kern w:val="0"/>
                <w:sz w:val="18"/>
                <w:szCs w:val="18"/>
                <w:u w:val="none"/>
                <w:lang w:val="en-US" w:eastAsia="zh-CN" w:bidi="ar"/>
              </w:rPr>
              <w:t>2</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sz w:val="2"/>
                <w:szCs w:val="2"/>
                <w:highlight w:val="none"/>
              </w:rPr>
            </w:pPr>
          </w:p>
        </w:tc>
      </w:tr>
    </w:tbl>
    <w:p>
      <w:pPr>
        <w:spacing w:line="360" w:lineRule="auto"/>
        <w:rPr>
          <w:rFonts w:hint="eastAsia" w:asciiTheme="majorEastAsia" w:hAnsiTheme="majorEastAsia" w:eastAsiaTheme="majorEastAsia" w:cstheme="majorEastAsia"/>
          <w:color w:val="auto"/>
          <w:sz w:val="13"/>
          <w:szCs w:val="13"/>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202305</w:t>
      </w:r>
      <w:r>
        <w:rPr>
          <w:rFonts w:hint="eastAsia" w:ascii="宋体" w:hAnsi="宋体"/>
          <w:sz w:val="24"/>
          <w:highlight w:val="none"/>
          <w:lang w:val="en-US" w:eastAsia="zh-CN"/>
        </w:rPr>
        <w:t>31</w:t>
      </w:r>
      <w:r>
        <w:rPr>
          <w:rFonts w:hint="eastAsia" w:ascii="宋体" w:hAnsi="宋体"/>
          <w:sz w:val="24"/>
          <w:highlight w:val="none"/>
        </w:rPr>
        <w:t>生产部冷系统生产月度材料</w:t>
      </w:r>
      <w:r>
        <w:rPr>
          <w:rFonts w:hint="eastAsia" w:ascii="宋体" w:hAnsi="宋体"/>
          <w:sz w:val="24"/>
          <w:highlight w:val="none"/>
          <w:lang w:val="en-US" w:eastAsia="zh-CN"/>
        </w:rPr>
        <w:t>包组一五金材料类</w:t>
      </w:r>
      <w:r>
        <w:rPr>
          <w:rFonts w:hint="eastAsia" w:ascii="宋体" w:hAnsi="宋体"/>
          <w:sz w:val="24"/>
          <w:highlight w:val="none"/>
        </w:rPr>
        <w:t>清单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28"/>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202305</w:t>
      </w:r>
      <w:r>
        <w:rPr>
          <w:rFonts w:hint="eastAsia" w:ascii="宋体" w:hAnsi="宋体"/>
          <w:sz w:val="24"/>
          <w:highlight w:val="none"/>
          <w:lang w:val="en-US" w:eastAsia="zh-CN"/>
        </w:rPr>
        <w:t>31</w:t>
      </w:r>
      <w:r>
        <w:rPr>
          <w:rFonts w:hint="eastAsia" w:ascii="宋体" w:hAnsi="宋体"/>
          <w:sz w:val="24"/>
          <w:highlight w:val="none"/>
        </w:rPr>
        <w:t>生产部冷系统生产月度材料</w:t>
      </w:r>
      <w:r>
        <w:rPr>
          <w:rFonts w:hint="eastAsia" w:ascii="宋体" w:hAnsi="宋体"/>
          <w:sz w:val="24"/>
          <w:highlight w:val="none"/>
          <w:lang w:val="en-US" w:eastAsia="zh-CN"/>
        </w:rPr>
        <w:t>包组二阀门材料类清</w:t>
      </w:r>
      <w:r>
        <w:rPr>
          <w:rFonts w:hint="eastAsia" w:ascii="宋体" w:hAnsi="宋体"/>
          <w:sz w:val="24"/>
          <w:highlight w:val="none"/>
        </w:rPr>
        <w:t>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2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both"/>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rPr>
      </w:pPr>
      <w:r>
        <w:rPr>
          <w:rFonts w:hint="eastAsia" w:ascii="宋体" w:hAnsi="宋体" w:eastAsia="宋体" w:cs="宋体"/>
          <w:kern w:val="0"/>
          <w:sz w:val="24"/>
          <w:highlight w:val="none"/>
        </w:rPr>
        <w:t>项目名称：</w:t>
      </w:r>
      <w:r>
        <w:rPr>
          <w:rFonts w:hint="eastAsia" w:ascii="宋体" w:hAnsi="宋体"/>
          <w:sz w:val="24"/>
          <w:highlight w:val="none"/>
        </w:rPr>
        <w:t>202305</w:t>
      </w:r>
      <w:r>
        <w:rPr>
          <w:rFonts w:hint="eastAsia" w:ascii="宋体" w:hAnsi="宋体"/>
          <w:sz w:val="24"/>
          <w:highlight w:val="none"/>
          <w:lang w:val="en-US" w:eastAsia="zh-CN"/>
        </w:rPr>
        <w:t>31</w:t>
      </w:r>
      <w:r>
        <w:rPr>
          <w:rFonts w:hint="eastAsia" w:ascii="宋体" w:hAnsi="宋体"/>
          <w:sz w:val="24"/>
          <w:highlight w:val="none"/>
        </w:rPr>
        <w:t>生产部冷系统生产月度材料</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202305</w:t>
      </w:r>
      <w:r>
        <w:rPr>
          <w:rFonts w:hint="eastAsia" w:ascii="宋体" w:hAnsi="宋体"/>
          <w:sz w:val="24"/>
          <w:highlight w:val="none"/>
          <w:lang w:val="en-US" w:eastAsia="zh-CN"/>
        </w:rPr>
        <w:t>31</w:t>
      </w:r>
      <w:r>
        <w:rPr>
          <w:rFonts w:hint="eastAsia" w:ascii="宋体" w:hAnsi="宋体"/>
          <w:sz w:val="24"/>
          <w:highlight w:val="none"/>
        </w:rPr>
        <w:t>生产部冷系统生产月度材料</w:t>
      </w:r>
      <w:r>
        <w:rPr>
          <w:rFonts w:hint="eastAsia" w:ascii="宋体" w:hAnsi="宋体"/>
          <w:sz w:val="24"/>
          <w:highlight w:val="none"/>
          <w:lang w:val="en-US" w:eastAsia="zh-CN"/>
        </w:rPr>
        <w:t>包组一五金材料类</w:t>
      </w:r>
      <w:r>
        <w:rPr>
          <w:rFonts w:hint="eastAsia" w:ascii="宋体" w:hAnsi="宋体"/>
          <w:sz w:val="24"/>
          <w:highlight w:val="none"/>
        </w:rPr>
        <w:t>清单</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027"/>
        <w:gridCol w:w="1980"/>
        <w:gridCol w:w="1635"/>
        <w:gridCol w:w="11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02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8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63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85"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6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24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 四、需求内容 （七）5、 ★供应商在投标文件中承诺提供的服务须能提供制造商的服务热线（如400电话等）查证。</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9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both"/>
        <w:rPr>
          <w:rFonts w:hint="eastAsia" w:ascii="宋体" w:hAnsi="宋体"/>
          <w:b/>
          <w:sz w:val="30"/>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202305</w:t>
      </w:r>
      <w:r>
        <w:rPr>
          <w:rFonts w:hint="eastAsia" w:ascii="宋体" w:hAnsi="宋体"/>
          <w:sz w:val="24"/>
          <w:highlight w:val="none"/>
          <w:lang w:val="en-US" w:eastAsia="zh-CN"/>
        </w:rPr>
        <w:t>31</w:t>
      </w:r>
      <w:r>
        <w:rPr>
          <w:rFonts w:hint="eastAsia" w:ascii="宋体" w:hAnsi="宋体"/>
          <w:sz w:val="24"/>
          <w:highlight w:val="none"/>
        </w:rPr>
        <w:t>生产部冷系统生产月度材料</w:t>
      </w:r>
      <w:r>
        <w:rPr>
          <w:rFonts w:hint="eastAsia" w:ascii="宋体" w:hAnsi="宋体"/>
          <w:sz w:val="24"/>
          <w:highlight w:val="none"/>
          <w:lang w:val="en-US" w:eastAsia="zh-CN"/>
        </w:rPr>
        <w:t>包组二阀门材料类</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sz w:val="24"/>
          <w:highlight w:val="none"/>
        </w:rPr>
        <w:t>202305</w:t>
      </w:r>
      <w:r>
        <w:rPr>
          <w:rFonts w:hint="eastAsia" w:ascii="宋体" w:hAnsi="宋体"/>
          <w:sz w:val="24"/>
          <w:highlight w:val="none"/>
          <w:lang w:val="en-US" w:eastAsia="zh-CN"/>
        </w:rPr>
        <w:t>31</w:t>
      </w:r>
      <w:r>
        <w:rPr>
          <w:rFonts w:hint="eastAsia" w:ascii="宋体" w:hAnsi="宋体"/>
          <w:sz w:val="24"/>
          <w:highlight w:val="none"/>
        </w:rPr>
        <w:t>生产部冷系统生产月度材料</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2">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3">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4">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5">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6">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EB7C4ED"/>
    <w:multiLevelType w:val="multilevel"/>
    <w:tmpl w:val="0EB7C4ED"/>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9">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0">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1">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2">
    <w:nsid w:val="46D242A6"/>
    <w:multiLevelType w:val="singleLevel"/>
    <w:tmpl w:val="46D242A6"/>
    <w:lvl w:ilvl="0" w:tentative="0">
      <w:start w:val="1"/>
      <w:numFmt w:val="decimal"/>
      <w:lvlText w:val="%1."/>
      <w:lvlJc w:val="left"/>
      <w:pPr>
        <w:tabs>
          <w:tab w:val="left" w:pos="312"/>
        </w:tabs>
      </w:pPr>
    </w:lvl>
  </w:abstractNum>
  <w:abstractNum w:abstractNumId="13">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14">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5">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16">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17">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0">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7">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2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3"/>
  </w:num>
  <w:num w:numId="2">
    <w:abstractNumId w:val="19"/>
  </w:num>
  <w:num w:numId="3">
    <w:abstractNumId w:val="8"/>
  </w:num>
  <w:num w:numId="4">
    <w:abstractNumId w:val="25"/>
  </w:num>
  <w:num w:numId="5">
    <w:abstractNumId w:val="11"/>
  </w:num>
  <w:num w:numId="6">
    <w:abstractNumId w:val="6"/>
  </w:num>
  <w:num w:numId="7">
    <w:abstractNumId w:val="10"/>
  </w:num>
  <w:num w:numId="8">
    <w:abstractNumId w:val="9"/>
  </w:num>
  <w:num w:numId="9">
    <w:abstractNumId w:val="28"/>
  </w:num>
  <w:num w:numId="10">
    <w:abstractNumId w:val="26"/>
  </w:num>
  <w:num w:numId="11">
    <w:abstractNumId w:val="29"/>
  </w:num>
  <w:num w:numId="12">
    <w:abstractNumId w:val="5"/>
  </w:num>
  <w:num w:numId="13">
    <w:abstractNumId w:val="12"/>
  </w:num>
  <w:num w:numId="14">
    <w:abstractNumId w:val="21"/>
  </w:num>
  <w:num w:numId="15">
    <w:abstractNumId w:val="24"/>
  </w:num>
  <w:num w:numId="16">
    <w:abstractNumId w:val="17"/>
  </w:num>
  <w:num w:numId="17">
    <w:abstractNumId w:val="14"/>
  </w:num>
  <w:num w:numId="18">
    <w:abstractNumId w:val="4"/>
  </w:num>
  <w:num w:numId="19">
    <w:abstractNumId w:val="3"/>
  </w:num>
  <w:num w:numId="20">
    <w:abstractNumId w:val="1"/>
  </w:num>
  <w:num w:numId="21">
    <w:abstractNumId w:val="15"/>
  </w:num>
  <w:num w:numId="22">
    <w:abstractNumId w:val="0"/>
  </w:num>
  <w:num w:numId="23">
    <w:abstractNumId w:val="2"/>
  </w:num>
  <w:num w:numId="24">
    <w:abstractNumId w:val="27"/>
  </w:num>
  <w:num w:numId="25">
    <w:abstractNumId w:val="13"/>
  </w:num>
  <w:num w:numId="26">
    <w:abstractNumId w:val="16"/>
  </w:num>
  <w:num w:numId="27">
    <w:abstractNumId w:val="22"/>
  </w:num>
  <w:num w:numId="28">
    <w:abstractNumId w:val="20"/>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2AB796C"/>
    <w:rsid w:val="04105D4C"/>
    <w:rsid w:val="0A797599"/>
    <w:rsid w:val="0D3A78FE"/>
    <w:rsid w:val="13B3779E"/>
    <w:rsid w:val="149571E4"/>
    <w:rsid w:val="157A1727"/>
    <w:rsid w:val="160A4C2C"/>
    <w:rsid w:val="17B47679"/>
    <w:rsid w:val="1B2C1F25"/>
    <w:rsid w:val="1B565D46"/>
    <w:rsid w:val="1C326EE2"/>
    <w:rsid w:val="1F1D735B"/>
    <w:rsid w:val="20E0103D"/>
    <w:rsid w:val="217759F3"/>
    <w:rsid w:val="219C5AD0"/>
    <w:rsid w:val="21A308B5"/>
    <w:rsid w:val="229D425D"/>
    <w:rsid w:val="26AD555C"/>
    <w:rsid w:val="2A0B0C48"/>
    <w:rsid w:val="2BAC0AA4"/>
    <w:rsid w:val="2C6634B4"/>
    <w:rsid w:val="2FC35424"/>
    <w:rsid w:val="2FE41C2A"/>
    <w:rsid w:val="3067018D"/>
    <w:rsid w:val="30857F08"/>
    <w:rsid w:val="323B70AC"/>
    <w:rsid w:val="33631CF3"/>
    <w:rsid w:val="340764A6"/>
    <w:rsid w:val="36BA3DC9"/>
    <w:rsid w:val="389E0643"/>
    <w:rsid w:val="38D53AA9"/>
    <w:rsid w:val="38E777DA"/>
    <w:rsid w:val="39265BBC"/>
    <w:rsid w:val="3B60507E"/>
    <w:rsid w:val="3B615813"/>
    <w:rsid w:val="3D1A5C91"/>
    <w:rsid w:val="41F075D0"/>
    <w:rsid w:val="428A2AFE"/>
    <w:rsid w:val="44753C92"/>
    <w:rsid w:val="450C2AA6"/>
    <w:rsid w:val="4CEA2C6C"/>
    <w:rsid w:val="5109171D"/>
    <w:rsid w:val="5419033D"/>
    <w:rsid w:val="59B54097"/>
    <w:rsid w:val="5B3A30D6"/>
    <w:rsid w:val="602B4D39"/>
    <w:rsid w:val="605F149E"/>
    <w:rsid w:val="61345013"/>
    <w:rsid w:val="6B375E4A"/>
    <w:rsid w:val="6C183363"/>
    <w:rsid w:val="6C2E4CD7"/>
    <w:rsid w:val="6CE967A5"/>
    <w:rsid w:val="6EAB5F37"/>
    <w:rsid w:val="7055293C"/>
    <w:rsid w:val="71B50B5E"/>
    <w:rsid w:val="72592CCF"/>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active8"/>
    <w:basedOn w:val="5"/>
    <w:qFormat/>
    <w:uiPriority w:val="0"/>
    <w:rPr>
      <w:color w:val="00FF00"/>
      <w:shd w:val="clear" w:fill="111111"/>
    </w:rPr>
  </w:style>
  <w:style w:type="character" w:customStyle="1" w:styleId="66">
    <w:name w:val="hilite6"/>
    <w:basedOn w:val="5"/>
    <w:qFormat/>
    <w:uiPriority w:val="0"/>
    <w:rPr>
      <w:color w:val="FFFFFF"/>
      <w:shd w:val="clear" w:fil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10657</Words>
  <Characters>13770</Characters>
  <Lines>0</Lines>
  <Paragraphs>0</Paragraphs>
  <TotalTime>4</TotalTime>
  <ScaleCrop>false</ScaleCrop>
  <LinksUpToDate>false</LinksUpToDate>
  <CharactersWithSpaces>14295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2023-06-27T00:55:41Z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1F97EA4B786F4A6B9A551BC0411E4DD8_12</vt:lpwstr>
  </property>
</Properties>
</file>