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广州城投综合能源投资经营管理有限公司</w:t>
      </w:r>
    </w:p>
    <w:p>
      <w:pPr>
        <w:jc w:val="center"/>
        <w:rPr>
          <w:b/>
          <w:sz w:val="28"/>
          <w:highlight w:val="none"/>
        </w:rPr>
      </w:pPr>
      <w:r>
        <w:rPr>
          <w:rFonts w:hint="eastAsia"/>
          <w:b/>
          <w:sz w:val="28"/>
          <w:highlight w:val="none"/>
          <w:lang w:val="en-US" w:eastAsia="zh-CN"/>
        </w:rPr>
        <w:t>会议室投影融合屏设备采购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8"/>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8"/>
        <w:tabs>
          <w:tab w:val="left" w:pos="420"/>
        </w:tabs>
        <w:spacing w:line="360" w:lineRule="auto"/>
        <w:ind w:firstLine="480"/>
        <w:rPr>
          <w:rFonts w:hint="eastAsia" w:ascii="宋体" w:hAnsi="宋体" w:eastAsiaTheme="minorEastAsia"/>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会议室</w:t>
      </w:r>
      <w:r>
        <w:rPr>
          <w:rFonts w:hint="eastAsia" w:ascii="宋体" w:hAnsi="宋体"/>
          <w:sz w:val="24"/>
          <w:highlight w:val="none"/>
        </w:rPr>
        <w:t>投影融合屏</w:t>
      </w:r>
      <w:r>
        <w:rPr>
          <w:rFonts w:hint="eastAsia" w:ascii="宋体" w:hAnsi="宋体"/>
          <w:sz w:val="24"/>
          <w:highlight w:val="none"/>
          <w:lang w:val="en-US" w:eastAsia="zh-CN"/>
        </w:rPr>
        <w:t>设备</w:t>
      </w:r>
    </w:p>
    <w:p>
      <w:pPr>
        <w:pStyle w:val="8"/>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限价10万元</w:t>
      </w:r>
      <w:r>
        <w:rPr>
          <w:rFonts w:hint="eastAsia" w:ascii="宋体" w:hAnsi="宋体"/>
          <w:color w:val="auto"/>
          <w:sz w:val="24"/>
          <w:highlight w:val="none"/>
        </w:rPr>
        <w:t>。</w:t>
      </w:r>
    </w:p>
    <w:p>
      <w:pPr>
        <w:pStyle w:val="8"/>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会议室</w:t>
      </w:r>
      <w:r>
        <w:rPr>
          <w:rFonts w:hint="eastAsia" w:ascii="宋体" w:hAnsi="宋体"/>
          <w:sz w:val="24"/>
          <w:highlight w:val="none"/>
        </w:rPr>
        <w:t>投影融合屏</w:t>
      </w:r>
      <w:r>
        <w:rPr>
          <w:rFonts w:hint="eastAsia" w:ascii="宋体" w:hAnsi="宋体"/>
          <w:sz w:val="24"/>
          <w:highlight w:val="none"/>
          <w:lang w:val="en-US" w:eastAsia="zh-CN"/>
        </w:rPr>
        <w:t>设备</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8"/>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8"/>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8"/>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8"/>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8"/>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8"/>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8"/>
        <w:tabs>
          <w:tab w:val="left" w:pos="420"/>
        </w:tabs>
        <w:spacing w:line="360" w:lineRule="auto"/>
        <w:ind w:firstLineChars="0"/>
        <w:rPr>
          <w:rFonts w:hint="eastAsia" w:ascii="宋体" w:hAnsi="宋体"/>
          <w:sz w:val="24"/>
        </w:rPr>
      </w:pPr>
      <w:r>
        <w:rPr>
          <w:rFonts w:hint="eastAsia" w:ascii="宋体" w:hAnsi="宋体"/>
          <w:sz w:val="24"/>
        </w:rPr>
        <w:t>合同签订后预付合同总价的30%款项作为预付款</w:t>
      </w:r>
      <w:r>
        <w:rPr>
          <w:rFonts w:hint="eastAsia" w:ascii="宋体" w:hAnsi="宋体"/>
          <w:sz w:val="24"/>
          <w:lang w:eastAsia="zh-CN"/>
        </w:rPr>
        <w:t>，</w:t>
      </w:r>
      <w:r>
        <w:rPr>
          <w:rFonts w:hint="eastAsia" w:ascii="宋体" w:hAnsi="宋体"/>
          <w:sz w:val="24"/>
        </w:rPr>
        <w:t>全部货物货到现场并经</w:t>
      </w:r>
      <w:r>
        <w:rPr>
          <w:rFonts w:hint="eastAsia" w:ascii="宋体" w:hAnsi="宋体"/>
          <w:sz w:val="24"/>
          <w:lang w:val="en-US" w:eastAsia="zh-CN"/>
        </w:rPr>
        <w:t>需</w:t>
      </w:r>
      <w:r>
        <w:rPr>
          <w:rFonts w:hint="eastAsia" w:ascii="宋体" w:hAnsi="宋体"/>
          <w:sz w:val="24"/>
        </w:rPr>
        <w:t>方验收合格签字和收到供方相关的技术资料后15</w:t>
      </w:r>
      <w:r>
        <w:rPr>
          <w:rFonts w:hint="eastAsia" w:ascii="宋体" w:hAnsi="宋体"/>
          <w:sz w:val="24"/>
          <w:lang w:val="en-US" w:eastAsia="zh-CN"/>
        </w:rPr>
        <w:t>个工作日</w:t>
      </w:r>
      <w:r>
        <w:rPr>
          <w:rFonts w:hint="eastAsia" w:ascii="宋体" w:hAnsi="宋体"/>
          <w:sz w:val="24"/>
        </w:rPr>
        <w:t>内支付至结算价的</w:t>
      </w:r>
      <w:r>
        <w:rPr>
          <w:rFonts w:hint="eastAsia" w:ascii="宋体" w:hAnsi="宋体"/>
          <w:sz w:val="24"/>
          <w:lang w:val="en-US" w:eastAsia="zh-CN"/>
        </w:rPr>
        <w:t>95%</w:t>
      </w:r>
      <w:r>
        <w:rPr>
          <w:rFonts w:hint="eastAsia" w:ascii="宋体" w:hAnsi="宋体"/>
          <w:sz w:val="24"/>
        </w:rPr>
        <w:t>款项，同时余下结算价的5%作为质保金，质保期满供方履行完质保期义务后付清余款。付款前供方开具相应金额增值税(含13%增值税)专用发票给需方。</w:t>
      </w:r>
    </w:p>
    <w:p>
      <w:pPr>
        <w:pStyle w:val="8"/>
        <w:numPr>
          <w:ilvl w:val="0"/>
          <w:numId w:val="4"/>
        </w:numPr>
        <w:tabs>
          <w:tab w:val="left" w:pos="0"/>
        </w:tabs>
        <w:spacing w:line="360" w:lineRule="auto"/>
        <w:ind w:left="0" w:leftChars="0" w:firstLine="420" w:firstLineChars="175"/>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8"/>
        <w:tabs>
          <w:tab w:val="left" w:pos="420"/>
        </w:tabs>
        <w:spacing w:line="360" w:lineRule="auto"/>
        <w:ind w:left="59" w:leftChars="28" w:firstLine="360" w:firstLineChars="150"/>
        <w:rPr>
          <w:rFonts w:hint="eastAsia" w:ascii="宋体" w:hAnsi="宋体" w:eastAsiaTheme="minorEastAsia"/>
          <w:sz w:val="24"/>
          <w:highlight w:val="none"/>
          <w:lang w:eastAsia="zh-CN"/>
        </w:rPr>
      </w:pPr>
      <w:r>
        <w:rPr>
          <w:rFonts w:hint="eastAsia" w:ascii="宋体" w:hAnsi="宋体"/>
          <w:sz w:val="24"/>
          <w:highlight w:val="none"/>
        </w:rPr>
        <w:t>（四）送货地点：广州市番禺区大学城明志街1号信息枢纽楼</w:t>
      </w:r>
      <w:r>
        <w:rPr>
          <w:rFonts w:hint="eastAsia" w:ascii="宋体" w:hAnsi="宋体"/>
          <w:sz w:val="24"/>
          <w:highlight w:val="none"/>
          <w:lang w:val="en-US" w:eastAsia="zh-CN"/>
        </w:rPr>
        <w:t>10</w:t>
      </w:r>
      <w:r>
        <w:rPr>
          <w:rFonts w:hint="eastAsia" w:ascii="宋体" w:hAnsi="宋体"/>
          <w:sz w:val="24"/>
          <w:highlight w:val="none"/>
        </w:rPr>
        <w:t>楼</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8"/>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8"/>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pPr>
        <w:pStyle w:val="8"/>
        <w:spacing w:line="360" w:lineRule="auto"/>
        <w:ind w:firstLine="480"/>
        <w:rPr>
          <w:rFonts w:ascii="宋体" w:hAnsi="宋体"/>
          <w:sz w:val="24"/>
          <w:highlight w:val="none"/>
        </w:rPr>
      </w:pPr>
      <w:r>
        <w:rPr>
          <w:rFonts w:hint="eastAsia" w:ascii="宋体" w:hAnsi="宋体"/>
          <w:sz w:val="24"/>
          <w:highlight w:val="none"/>
        </w:rPr>
        <w:t>五、投标文件</w:t>
      </w:r>
    </w:p>
    <w:p>
      <w:pPr>
        <w:pStyle w:val="8"/>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8"/>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8"/>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8"/>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8"/>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8"/>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8"/>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8"/>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8"/>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8"/>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8"/>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8"/>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8"/>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8"/>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8"/>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hint="eastAsia"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color w:val="FF0000"/>
          <w:sz w:val="24"/>
          <w:highlight w:val="none"/>
        </w:rPr>
      </w:pPr>
      <w:r>
        <w:rPr>
          <w:rFonts w:hint="eastAsia" w:ascii="宋体" w:hAnsi="宋体"/>
          <w:b/>
          <w:color w:val="FF0000"/>
          <w:sz w:val="24"/>
          <w:highlight w:val="none"/>
          <w:lang w:val="en-US" w:eastAsia="zh-CN"/>
        </w:rPr>
        <w:t>七</w:t>
      </w:r>
      <w:r>
        <w:rPr>
          <w:rFonts w:hint="eastAsia" w:ascii="宋体" w:hAnsi="宋体"/>
          <w:b/>
          <w:color w:val="FF0000"/>
          <w:sz w:val="24"/>
          <w:highlight w:val="none"/>
        </w:rPr>
        <w:t>、踏勘现场</w:t>
      </w:r>
    </w:p>
    <w:p>
      <w:pPr>
        <w:spacing w:line="360" w:lineRule="auto"/>
        <w:ind w:firstLine="480" w:firstLineChars="200"/>
        <w:rPr>
          <w:rFonts w:hint="eastAsia" w:ascii="宋体" w:hAnsi="宋体"/>
          <w:sz w:val="24"/>
          <w:highlight w:val="none"/>
        </w:rPr>
      </w:pPr>
      <w:bookmarkStart w:id="0" w:name="_Hlk33472887"/>
      <w:r>
        <w:rPr>
          <w:rFonts w:hint="eastAsia"/>
          <w:sz w:val="24"/>
          <w:highlight w:val="none"/>
        </w:rPr>
        <w:t>投标人有必要踏勘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0"/>
      <w:r>
        <w:rPr>
          <w:rFonts w:hint="eastAsia"/>
          <w:sz w:val="24"/>
          <w:highlight w:val="none"/>
        </w:rPr>
        <w:t>。踏勘现场时间：</w:t>
      </w:r>
      <w:r>
        <w:rPr>
          <w:color w:val="FF0000"/>
          <w:sz w:val="24"/>
          <w:highlight w:val="none"/>
        </w:rPr>
        <w:t>202</w:t>
      </w:r>
      <w:r>
        <w:rPr>
          <w:rFonts w:hint="eastAsia"/>
          <w:color w:val="FF0000"/>
          <w:sz w:val="24"/>
          <w:highlight w:val="none"/>
          <w:lang w:val="en-US" w:eastAsia="zh-CN"/>
        </w:rPr>
        <w:t>3</w:t>
      </w:r>
      <w:r>
        <w:rPr>
          <w:rFonts w:hint="eastAsia"/>
          <w:color w:val="FF0000"/>
          <w:sz w:val="24"/>
          <w:highlight w:val="none"/>
        </w:rPr>
        <w:t>年</w:t>
      </w:r>
      <w:r>
        <w:rPr>
          <w:rFonts w:hint="eastAsia"/>
          <w:color w:val="FF0000"/>
          <w:sz w:val="24"/>
          <w:highlight w:val="none"/>
          <w:lang w:val="en-US" w:eastAsia="zh-CN"/>
        </w:rPr>
        <w:t>2</w:t>
      </w:r>
      <w:r>
        <w:rPr>
          <w:rFonts w:hint="eastAsia"/>
          <w:color w:val="FF0000"/>
          <w:sz w:val="24"/>
          <w:highlight w:val="none"/>
        </w:rPr>
        <w:t>月</w:t>
      </w:r>
      <w:r>
        <w:rPr>
          <w:rFonts w:hint="eastAsia"/>
          <w:color w:val="FF0000"/>
          <w:sz w:val="24"/>
          <w:highlight w:val="none"/>
          <w:lang w:val="en-US" w:eastAsia="zh-CN"/>
        </w:rPr>
        <w:t>21</w:t>
      </w:r>
      <w:r>
        <w:rPr>
          <w:rFonts w:hint="eastAsia"/>
          <w:color w:val="FF0000"/>
          <w:sz w:val="24"/>
          <w:highlight w:val="none"/>
        </w:rPr>
        <w:t>日</w:t>
      </w:r>
      <w:r>
        <w:rPr>
          <w:color w:val="FF0000"/>
          <w:sz w:val="24"/>
          <w:highlight w:val="none"/>
        </w:rPr>
        <w:t>10</w:t>
      </w:r>
      <w:r>
        <w:rPr>
          <w:rFonts w:hint="eastAsia"/>
          <w:color w:val="FF0000"/>
          <w:sz w:val="24"/>
          <w:highlight w:val="none"/>
        </w:rPr>
        <w:t>时</w:t>
      </w:r>
      <w:r>
        <w:rPr>
          <w:color w:val="FF0000"/>
          <w:sz w:val="24"/>
          <w:highlight w:val="none"/>
        </w:rPr>
        <w:t>00</w:t>
      </w:r>
      <w:r>
        <w:rPr>
          <w:rFonts w:hint="eastAsia"/>
          <w:color w:val="FF0000"/>
          <w:sz w:val="24"/>
          <w:highlight w:val="none"/>
        </w:rPr>
        <w:t>分</w:t>
      </w:r>
      <w:r>
        <w:rPr>
          <w:rFonts w:hint="eastAsia"/>
          <w:sz w:val="24"/>
          <w:highlight w:val="none"/>
        </w:rPr>
        <w:t>，集中地点：广州市番禺区大学城明志街1号信息枢纽楼</w:t>
      </w:r>
      <w:r>
        <w:rPr>
          <w:rFonts w:hint="eastAsia"/>
          <w:sz w:val="24"/>
          <w:highlight w:val="none"/>
          <w:lang w:val="en-US" w:eastAsia="zh-CN"/>
        </w:rPr>
        <w:t>九</w:t>
      </w:r>
      <w:r>
        <w:rPr>
          <w:rFonts w:hint="eastAsia"/>
          <w:sz w:val="24"/>
          <w:highlight w:val="none"/>
        </w:rPr>
        <w:t>楼。踏勘现场联系人生产部</w:t>
      </w:r>
      <w:r>
        <w:rPr>
          <w:rFonts w:hint="eastAsia"/>
          <w:sz w:val="24"/>
          <w:highlight w:val="none"/>
          <w:lang w:val="en-US" w:eastAsia="zh-CN"/>
        </w:rPr>
        <w:t>许</w:t>
      </w:r>
      <w:r>
        <w:rPr>
          <w:rFonts w:hint="eastAsia"/>
          <w:sz w:val="24"/>
          <w:highlight w:val="none"/>
        </w:rPr>
        <w:t>工，联系电话：</w:t>
      </w:r>
      <w:r>
        <w:rPr>
          <w:rFonts w:hint="eastAsia"/>
          <w:sz w:val="24"/>
          <w:highlight w:val="none"/>
          <w:lang w:val="en-US" w:eastAsia="zh-CN"/>
        </w:rPr>
        <w:t>020-39302063</w:t>
      </w:r>
      <w:r>
        <w:rPr>
          <w:rFonts w:hint="eastAsia"/>
          <w:sz w:val="24"/>
          <w:highlight w:val="none"/>
        </w:rPr>
        <w:t>。投标人未在规定时间踏勘现场的，采购人不再另行组织，由投标人自行前往踏勘。</w:t>
      </w:r>
    </w:p>
    <w:p>
      <w:pPr>
        <w:spacing w:line="360" w:lineRule="auto"/>
        <w:ind w:firstLine="482" w:firstLineChars="200"/>
        <w:rPr>
          <w:rFonts w:ascii="宋体" w:hAnsi="宋体"/>
          <w:b/>
          <w:sz w:val="24"/>
          <w:highlight w:val="none"/>
        </w:rPr>
      </w:pPr>
      <w:r>
        <w:rPr>
          <w:rFonts w:hint="eastAsia" w:ascii="宋体" w:hAnsi="宋体"/>
          <w:b/>
          <w:sz w:val="24"/>
          <w:highlight w:val="none"/>
          <w:lang w:val="en-US" w:eastAsia="zh-CN"/>
        </w:rPr>
        <w:t>八</w:t>
      </w:r>
      <w:r>
        <w:rPr>
          <w:rFonts w:hint="eastAsia" w:ascii="宋体" w:hAnsi="宋体"/>
          <w:b/>
          <w:sz w:val="24"/>
          <w:highlight w:val="none"/>
        </w:rPr>
        <w:t>、递交投标文件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2</w:t>
      </w:r>
      <w:r>
        <w:rPr>
          <w:rFonts w:hint="eastAsia" w:ascii="宋体" w:hAnsi="宋体"/>
          <w:sz w:val="24"/>
          <w:highlight w:val="none"/>
        </w:rPr>
        <w:t>月</w:t>
      </w:r>
      <w:r>
        <w:rPr>
          <w:rFonts w:hint="eastAsia" w:ascii="宋体" w:hAnsi="宋体"/>
          <w:sz w:val="24"/>
          <w:highlight w:val="none"/>
          <w:lang w:val="en-US" w:eastAsia="zh-CN"/>
        </w:rPr>
        <w:t>28</w:t>
      </w:r>
      <w:bookmarkStart w:id="1" w:name="_GoBack"/>
      <w:bookmarkEnd w:id="1"/>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val="en-US" w:eastAsia="zh-CN"/>
        </w:rPr>
        <w:t>会议室</w:t>
      </w:r>
      <w:r>
        <w:rPr>
          <w:rFonts w:hint="eastAsia" w:ascii="宋体" w:hAnsi="宋体"/>
          <w:sz w:val="24"/>
          <w:highlight w:val="none"/>
        </w:rPr>
        <w:t>投影融合屏</w:t>
      </w:r>
      <w:r>
        <w:rPr>
          <w:rFonts w:hint="eastAsia" w:ascii="宋体" w:hAnsi="宋体"/>
          <w:sz w:val="24"/>
          <w:highlight w:val="none"/>
          <w:lang w:val="en-US" w:eastAsia="zh-CN"/>
        </w:rPr>
        <w:t>设备采购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9"/>
        <w:numPr>
          <w:ilvl w:val="0"/>
          <w:numId w:val="9"/>
        </w:numPr>
        <w:spacing w:line="360" w:lineRule="auto"/>
        <w:ind w:firstLineChars="0"/>
        <w:rPr>
          <w:rFonts w:ascii="宋体" w:hAnsi="宋体"/>
          <w:sz w:val="24"/>
          <w:highlight w:val="none"/>
        </w:rPr>
      </w:pPr>
      <w:r>
        <w:rPr>
          <w:rFonts w:hint="eastAsia" w:ascii="宋体" w:hAnsi="宋体"/>
          <w:sz w:val="24"/>
          <w:highlight w:val="none"/>
        </w:rPr>
        <w:t>采购单位：广州城投综合能源投资经营管理有限公司</w:t>
      </w:r>
    </w:p>
    <w:p>
      <w:pPr>
        <w:pStyle w:val="9"/>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8"/>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8"/>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8"/>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8"/>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8"/>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8"/>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8"/>
        <w:spacing w:line="360" w:lineRule="auto"/>
        <w:ind w:firstLine="480"/>
        <w:jc w:val="center"/>
        <w:rPr>
          <w:rFonts w:ascii="宋体" w:hAnsi="宋体"/>
          <w:sz w:val="24"/>
          <w:highlight w:val="none"/>
        </w:rPr>
      </w:pPr>
      <w:r>
        <w:rPr>
          <w:rFonts w:hint="eastAsia" w:ascii="宋体" w:hAnsi="宋体"/>
          <w:sz w:val="24"/>
          <w:highlight w:val="none"/>
        </w:rPr>
        <w:t xml:space="preserve">             采购人：广州城投综合能源投资经营管理有限公司</w:t>
      </w:r>
    </w:p>
    <w:p>
      <w:pPr>
        <w:pStyle w:val="8"/>
        <w:spacing w:line="360" w:lineRule="auto"/>
        <w:ind w:right="960" w:firstLine="4740" w:firstLineChars="1975"/>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2</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p>
    <w:p>
      <w:pPr>
        <w:spacing w:line="360" w:lineRule="auto"/>
        <w:rPr>
          <w:rFonts w:ascii="宋体" w:hAnsi="宋体"/>
          <w:sz w:val="32"/>
          <w:highlight w:val="none"/>
        </w:rPr>
      </w:pP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sz w:val="24"/>
          <w:highlight w:val="none"/>
          <w:lang w:val="en-US" w:eastAsia="zh-CN"/>
        </w:rPr>
        <w:t>会议室</w:t>
      </w:r>
      <w:r>
        <w:rPr>
          <w:rFonts w:hint="eastAsia" w:ascii="宋体" w:hAnsi="宋体"/>
          <w:sz w:val="24"/>
          <w:highlight w:val="none"/>
        </w:rPr>
        <w:t>投影融合屏</w:t>
      </w:r>
      <w:r>
        <w:rPr>
          <w:rFonts w:hint="eastAsia" w:ascii="宋体" w:hAnsi="宋体"/>
          <w:sz w:val="24"/>
          <w:highlight w:val="none"/>
          <w:lang w:val="en-US" w:eastAsia="zh-CN"/>
        </w:rPr>
        <w:t>设备</w:t>
      </w:r>
      <w:r>
        <w:rPr>
          <w:rFonts w:hint="eastAsia" w:ascii="宋体" w:hAnsi="宋体"/>
          <w:b w:val="0"/>
          <w:sz w:val="24"/>
          <w:highlight w:val="none"/>
          <w:lang w:val="en-US" w:eastAsia="zh-CN"/>
        </w:rPr>
        <w:t>采购</w:t>
      </w:r>
      <w:r>
        <w:rPr>
          <w:rFonts w:hint="eastAsia" w:ascii="宋体" w:hAnsi="宋体"/>
          <w:sz w:val="24"/>
          <w:highlight w:val="none"/>
        </w:rPr>
        <w:t>清单</w:t>
      </w:r>
    </w:p>
    <w:tbl>
      <w:tblPr>
        <w:tblStyle w:val="7"/>
        <w:tblW w:w="8720" w:type="dxa"/>
        <w:tblInd w:w="0" w:type="dxa"/>
        <w:tblLayout w:type="fixed"/>
        <w:tblCellMar>
          <w:top w:w="0" w:type="dxa"/>
          <w:left w:w="108" w:type="dxa"/>
          <w:bottom w:w="0" w:type="dxa"/>
          <w:right w:w="108" w:type="dxa"/>
        </w:tblCellMar>
      </w:tblPr>
      <w:tblGrid>
        <w:gridCol w:w="692"/>
        <w:gridCol w:w="1792"/>
        <w:gridCol w:w="3765"/>
        <w:gridCol w:w="600"/>
        <w:gridCol w:w="720"/>
        <w:gridCol w:w="1151"/>
      </w:tblGrid>
      <w:tr>
        <w:tblPrEx>
          <w:tblLayout w:type="fixed"/>
          <w:tblCellMar>
            <w:top w:w="0" w:type="dxa"/>
            <w:left w:w="108" w:type="dxa"/>
            <w:bottom w:w="0" w:type="dxa"/>
            <w:right w:w="108" w:type="dxa"/>
          </w:tblCellMar>
        </w:tblPrEx>
        <w:trPr>
          <w:trHeight w:val="762"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79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7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0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15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123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1</w:t>
            </w:r>
          </w:p>
        </w:tc>
        <w:tc>
          <w:tcPr>
            <w:tcW w:w="17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color w:val="000000"/>
                <w:kern w:val="0"/>
                <w:sz w:val="22"/>
                <w:szCs w:val="22"/>
                <w:u w:val="none"/>
                <w:lang w:val="en-US" w:eastAsia="zh-CN" w:bidi="ar"/>
              </w:rPr>
              <w:t>激光工程投影</w:t>
            </w:r>
          </w:p>
        </w:tc>
        <w:tc>
          <w:tcPr>
            <w:tcW w:w="3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color w:val="000000"/>
                <w:kern w:val="0"/>
                <w:sz w:val="22"/>
                <w:szCs w:val="22"/>
                <w:u w:val="none"/>
                <w:lang w:val="en-US" w:eastAsia="zh-CN" w:bidi="ar"/>
              </w:rPr>
              <w:t>Epson CB-L730U</w:t>
            </w:r>
          </w:p>
        </w:tc>
        <w:tc>
          <w:tcPr>
            <w:tcW w:w="60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color w:val="000000"/>
                <w:kern w:val="0"/>
                <w:sz w:val="22"/>
                <w:szCs w:val="22"/>
                <w:u w:val="none"/>
                <w:lang w:val="en-US" w:eastAsia="zh-CN" w:bidi="ar"/>
              </w:rPr>
              <w:t>台</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color w:val="000000"/>
                <w:kern w:val="0"/>
                <w:sz w:val="22"/>
                <w:szCs w:val="22"/>
                <w:u w:val="none"/>
                <w:lang w:val="en-US" w:eastAsia="zh-CN" w:bidi="ar"/>
              </w:rPr>
              <w:t>2</w:t>
            </w:r>
          </w:p>
        </w:tc>
        <w:tc>
          <w:tcPr>
            <w:tcW w:w="1151"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sz w:val="22"/>
                <w:szCs w:val="22"/>
                <w:highlight w:val="none"/>
                <w:u w:val="single"/>
                <w:lang w:val="en-US" w:eastAsia="zh-CN"/>
              </w:rPr>
            </w:pPr>
          </w:p>
        </w:tc>
      </w:tr>
      <w:tr>
        <w:tblPrEx>
          <w:tblLayout w:type="fixed"/>
          <w:tblCellMar>
            <w:top w:w="0" w:type="dxa"/>
            <w:left w:w="108" w:type="dxa"/>
            <w:bottom w:w="0" w:type="dxa"/>
            <w:right w:w="108" w:type="dxa"/>
          </w:tblCellMar>
        </w:tblPrEx>
        <w:trPr>
          <w:trHeight w:val="73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17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承重架</w:t>
            </w:r>
          </w:p>
        </w:tc>
        <w:tc>
          <w:tcPr>
            <w:tcW w:w="3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45KG以上投影承重工程吊架</w:t>
            </w:r>
          </w:p>
        </w:tc>
        <w:tc>
          <w:tcPr>
            <w:tcW w:w="60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color w:val="000000"/>
                <w:kern w:val="0"/>
                <w:sz w:val="22"/>
                <w:szCs w:val="22"/>
                <w:u w:val="none"/>
                <w:lang w:val="en-US" w:eastAsia="zh-CN" w:bidi="ar"/>
              </w:rPr>
              <w:t>2</w:t>
            </w:r>
          </w:p>
        </w:tc>
        <w:tc>
          <w:tcPr>
            <w:tcW w:w="1151"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70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p>
        </w:tc>
        <w:tc>
          <w:tcPr>
            <w:tcW w:w="17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b w:val="0"/>
                <w:i w:val="0"/>
                <w:color w:val="333333"/>
                <w:sz w:val="22"/>
                <w:szCs w:val="22"/>
                <w:u w:val="none"/>
              </w:rPr>
              <w:t>网传发射器</w:t>
            </w:r>
          </w:p>
        </w:tc>
        <w:tc>
          <w:tcPr>
            <w:tcW w:w="3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val="0"/>
                <w:i w:val="0"/>
                <w:color w:val="333333"/>
                <w:sz w:val="18"/>
                <w:szCs w:val="18"/>
                <w:u w:val="none"/>
              </w:rPr>
              <w:t>参考型号：宏正 HDMI HDBaseT-Lite信号延长器 (4K@40m) VE801</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 可根据实际需要选择支持HDBaseT技术的发送器、接收器，包括但不限于DVI、HDMI、DP硬件接口及可选择传输1080P信号 70米、100米、150米，4K（4096 x 2160 / 3840 x 2160 @ 60Hz）信号40米、70米的发送器或接收器。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 可实现各种硬件接口的发送器和接收器的混合使用，如DP发送器和HDMI接收器可混合配合使用。减少整个系统转换器的数量。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 HDMI端口要求：HDMI (3D, 色深, 4k)，兼容HDCP及消费性电子控制(CEC)</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 支持远程EDID回传功能可确保屏幕最佳分辨率</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 支持LockPro™ HDMI安全锁扣，可将HDMI线缆固定在设备上，防止线缆脱落</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 整机三年质保，需提供厂家证明文件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 为了保证高质量信号的传输，要求选择同一品牌的HDBaseT协会认证的网线。</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 可选择发送器或接收器机柜安装组合套件</w:t>
            </w:r>
          </w:p>
          <w:p>
            <w:pPr>
              <w:keepNext w:val="0"/>
              <w:keepLines w:val="0"/>
              <w:widowControl/>
              <w:suppressLineNumbers w:val="0"/>
              <w:jc w:val="left"/>
              <w:textAlignment w:val="center"/>
              <w:rPr>
                <w:rFonts w:hint="eastAsia" w:ascii="宋体" w:hAnsi="宋体" w:eastAsia="宋体" w:cs="宋体"/>
                <w:sz w:val="22"/>
                <w:szCs w:val="22"/>
                <w:highlight w:val="none"/>
              </w:rPr>
            </w:pPr>
            <w:r>
              <w:rPr>
                <w:rFonts w:hint="eastAsia" w:ascii="宋体" w:hAnsi="宋体" w:eastAsia="宋体" w:cs="宋体"/>
                <w:i w:val="0"/>
                <w:color w:val="000000"/>
                <w:kern w:val="0"/>
                <w:sz w:val="18"/>
                <w:szCs w:val="18"/>
                <w:u w:val="none"/>
                <w:lang w:val="en-US" w:eastAsia="zh-CN" w:bidi="ar"/>
              </w:rPr>
              <w:t>9. 须通过3C认证，CE认证，FCC认证；生产制造商必须通过ISO14001、RoHS认证等相关认证。</w:t>
            </w:r>
          </w:p>
        </w:tc>
        <w:tc>
          <w:tcPr>
            <w:tcW w:w="60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color w:val="000000"/>
                <w:kern w:val="0"/>
                <w:sz w:val="22"/>
                <w:szCs w:val="22"/>
                <w:u w:val="none"/>
                <w:lang w:val="en-US" w:eastAsia="zh-CN" w:bidi="ar"/>
              </w:rPr>
              <w:t>套</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color w:val="000000"/>
                <w:kern w:val="0"/>
                <w:sz w:val="22"/>
                <w:szCs w:val="22"/>
                <w:u w:val="none"/>
                <w:lang w:val="en-US" w:eastAsia="zh-CN" w:bidi="ar"/>
              </w:rPr>
              <w:t>3</w:t>
            </w:r>
          </w:p>
        </w:tc>
        <w:tc>
          <w:tcPr>
            <w:tcW w:w="1151"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70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w:t>
            </w:r>
          </w:p>
        </w:tc>
        <w:tc>
          <w:tcPr>
            <w:tcW w:w="17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i w:val="0"/>
                <w:color w:val="333333"/>
                <w:sz w:val="22"/>
                <w:szCs w:val="22"/>
                <w:u w:val="none"/>
              </w:rPr>
            </w:pPr>
            <w:r>
              <w:rPr>
                <w:rFonts w:hint="eastAsia" w:ascii="宋体" w:hAnsi="宋体" w:eastAsia="宋体" w:cs="宋体"/>
                <w:b w:val="0"/>
                <w:i w:val="0"/>
                <w:color w:val="333333"/>
                <w:sz w:val="22"/>
                <w:szCs w:val="22"/>
                <w:u w:val="none"/>
              </w:rPr>
              <w:t>融合器</w:t>
            </w:r>
          </w:p>
        </w:tc>
        <w:tc>
          <w:tcPr>
            <w:tcW w:w="3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1、纯硬件式FPGA+DSP芯片构架，不带任何操作系统，机箱须采用标准1U机箱设计，可支持持多台设备级联设置。</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 输入最大支持一路高清4K输入，一路高清4K环接输出，支持一路3.5mm音频输出，单机最大支持4路高清融合输出，支持多设备级联。</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输出支持任意形状曲面网格式矫正功能，自身产生网格，可以达到像素级调整，可以任意设置节点，支持2*2~17*40节点，达到局部矫正，在异形曲面上画面校正，达到内容均匀一致，完整显示的效果，可实现各种异型融合系统。</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4、支持网格透视蒙版功能，支持各种异形任意形状型遮罩功能。</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5、支持在不接入任何信号源，设备支持255*255种底背景色彩测试图像，支持多阶色彩校正功能。</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6、支持暗场调试功能。</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7、图像处理性能极强：采集信号文字清晰、图像艳丽、色彩还原度高，用户可以拥有更舒服的视觉体验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8、图像处理实时性强、同步性好：硬件采集延迟不到0.1秒</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9、支持内置多种融合消影gamma曲线，也可以自定义任意线性Gamma曲线，软件通过对每台投影机色彩、gamma、暗场进行调整，然后在对融合带色彩、gamma进行调整，使整个画面浑然一体。</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10、旋转融合拼接功能：可实现0-360°任意角度旋转拼接融合功能，解决竖屏拼接显示需求。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11、设支持具备EDID配置管理，可支持自定义EDID设置，支持各种非标分辨率自定义功能，单口可只支持2K，3K，4K，5K，6K，7K，8K等各种信号采集。</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12、产品可提供RoHS认证、3C认证、FCC认证、CE认证产品检测报告。</w:t>
            </w:r>
          </w:p>
        </w:tc>
        <w:tc>
          <w:tcPr>
            <w:tcW w:w="60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val="0"/>
                <w:i w:val="0"/>
                <w:color w:val="333333"/>
                <w:sz w:val="22"/>
                <w:szCs w:val="22"/>
                <w:u w:val="none"/>
              </w:rPr>
              <w:t>套</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51"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color w:val="auto"/>
                <w:sz w:val="22"/>
                <w:szCs w:val="22"/>
                <w:highlight w:val="none"/>
              </w:rPr>
            </w:pPr>
          </w:p>
        </w:tc>
      </w:tr>
      <w:tr>
        <w:tblPrEx>
          <w:tblLayout w:type="fixed"/>
          <w:tblCellMar>
            <w:top w:w="0" w:type="dxa"/>
            <w:left w:w="108" w:type="dxa"/>
            <w:bottom w:w="0" w:type="dxa"/>
            <w:right w:w="108" w:type="dxa"/>
          </w:tblCellMar>
        </w:tblPrEx>
        <w:trPr>
          <w:trHeight w:val="70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w:t>
            </w:r>
          </w:p>
        </w:tc>
        <w:tc>
          <w:tcPr>
            <w:tcW w:w="17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b w:val="0"/>
                <w:i w:val="0"/>
                <w:color w:val="333333"/>
                <w:sz w:val="22"/>
                <w:szCs w:val="22"/>
                <w:u w:val="none"/>
              </w:rPr>
              <w:t>安装配件</w:t>
            </w:r>
          </w:p>
        </w:tc>
        <w:tc>
          <w:tcPr>
            <w:tcW w:w="3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b w:val="0"/>
                <w:i w:val="0"/>
                <w:color w:val="333333"/>
                <w:sz w:val="20"/>
                <w:szCs w:val="20"/>
                <w:u w:val="none"/>
                <w:lang w:eastAsia="zh-CN"/>
              </w:rPr>
            </w:pPr>
            <w:r>
              <w:rPr>
                <w:rFonts w:hint="eastAsia" w:ascii="宋体" w:hAnsi="宋体" w:eastAsia="宋体" w:cs="宋体"/>
                <w:b w:val="0"/>
                <w:i w:val="0"/>
                <w:color w:val="333333"/>
                <w:sz w:val="20"/>
                <w:szCs w:val="20"/>
                <w:u w:val="none"/>
              </w:rPr>
              <w:t>1</w:t>
            </w:r>
            <w:r>
              <w:rPr>
                <w:rFonts w:hint="eastAsia" w:ascii="宋体" w:hAnsi="宋体" w:eastAsia="宋体" w:cs="宋体"/>
                <w:b w:val="0"/>
                <w:i w:val="0"/>
                <w:color w:val="333333"/>
                <w:sz w:val="20"/>
                <w:szCs w:val="20"/>
                <w:u w:val="none"/>
                <w:lang w:eastAsia="zh-CN"/>
              </w:rPr>
              <w:t>、</w:t>
            </w:r>
            <w:r>
              <w:rPr>
                <w:rFonts w:hint="eastAsia" w:ascii="宋体" w:hAnsi="宋体" w:eastAsia="宋体" w:cs="宋体"/>
                <w:b w:val="0"/>
                <w:i w:val="0"/>
                <w:color w:val="333333"/>
                <w:sz w:val="20"/>
                <w:szCs w:val="20"/>
                <w:u w:val="none"/>
              </w:rPr>
              <w:t>会议室背景刷平刷白（长约19米高约4米 （荧幕投影漆颜色荧幕白）</w:t>
            </w:r>
            <w:r>
              <w:rPr>
                <w:rFonts w:hint="eastAsia" w:ascii="宋体" w:hAnsi="宋体" w:eastAsia="宋体" w:cs="宋体"/>
                <w:b w:val="0"/>
                <w:i w:val="0"/>
                <w:color w:val="333333"/>
                <w:sz w:val="20"/>
                <w:szCs w:val="20"/>
                <w:u w:val="none"/>
                <w:lang w:eastAsia="zh-CN"/>
              </w:rPr>
              <w:t>；</w:t>
            </w:r>
          </w:p>
          <w:p>
            <w:pPr>
              <w:keepNext w:val="0"/>
              <w:keepLines w:val="0"/>
              <w:widowControl/>
              <w:suppressLineNumbers w:val="0"/>
              <w:jc w:val="left"/>
              <w:textAlignment w:val="center"/>
              <w:rPr>
                <w:rFonts w:hint="eastAsia" w:ascii="宋体" w:hAnsi="宋体" w:eastAsia="宋体" w:cs="宋体"/>
                <w:sz w:val="20"/>
                <w:szCs w:val="20"/>
                <w:highlight w:val="none"/>
                <w:lang w:eastAsia="zh-CN"/>
              </w:rPr>
            </w:pPr>
            <w:r>
              <w:rPr>
                <w:rFonts w:hint="eastAsia" w:ascii="宋体" w:hAnsi="宋体" w:eastAsia="宋体" w:cs="宋体"/>
                <w:b w:val="0"/>
                <w:i w:val="0"/>
                <w:color w:val="333333"/>
                <w:sz w:val="20"/>
                <w:szCs w:val="20"/>
                <w:u w:val="none"/>
              </w:rPr>
              <w:t>2</w:t>
            </w:r>
            <w:r>
              <w:rPr>
                <w:rFonts w:hint="eastAsia" w:ascii="宋体" w:hAnsi="宋体" w:eastAsia="宋体" w:cs="宋体"/>
                <w:b w:val="0"/>
                <w:i w:val="0"/>
                <w:color w:val="333333"/>
                <w:sz w:val="20"/>
                <w:szCs w:val="20"/>
                <w:u w:val="none"/>
                <w:lang w:eastAsia="zh-CN"/>
              </w:rPr>
              <w:t>、</w:t>
            </w:r>
            <w:r>
              <w:rPr>
                <w:rFonts w:hint="eastAsia" w:ascii="宋体" w:hAnsi="宋体" w:eastAsia="宋体" w:cs="宋体"/>
                <w:b w:val="0"/>
                <w:i w:val="0"/>
                <w:color w:val="333333"/>
                <w:sz w:val="20"/>
                <w:szCs w:val="20"/>
                <w:u w:val="none"/>
              </w:rPr>
              <w:t>配套工程安装所用管线等</w:t>
            </w:r>
            <w:r>
              <w:rPr>
                <w:rFonts w:hint="eastAsia" w:ascii="宋体" w:hAnsi="宋体" w:eastAsia="宋体" w:cs="宋体"/>
                <w:b w:val="0"/>
                <w:i w:val="0"/>
                <w:color w:val="333333"/>
                <w:sz w:val="20"/>
                <w:szCs w:val="20"/>
                <w:u w:val="none"/>
                <w:lang w:val="en-US" w:eastAsia="zh-CN"/>
              </w:rPr>
              <w:t>辅材</w:t>
            </w:r>
          </w:p>
        </w:tc>
        <w:tc>
          <w:tcPr>
            <w:tcW w:w="60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color w:val="000000"/>
                <w:kern w:val="0"/>
                <w:sz w:val="22"/>
                <w:szCs w:val="22"/>
                <w:u w:val="none"/>
                <w:lang w:val="en-US" w:eastAsia="zh-CN" w:bidi="ar"/>
              </w:rPr>
              <w:t>套</w:t>
            </w:r>
          </w:p>
        </w:tc>
        <w:tc>
          <w:tcPr>
            <w:tcW w:w="72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2"/>
                <w:szCs w:val="22"/>
                <w:highlight w:val="none"/>
              </w:rPr>
            </w:pPr>
            <w:r>
              <w:rPr>
                <w:rFonts w:hint="eastAsia" w:ascii="宋体" w:hAnsi="宋体" w:eastAsia="宋体" w:cs="宋体"/>
                <w:i w:val="0"/>
                <w:color w:val="000000"/>
                <w:kern w:val="0"/>
                <w:sz w:val="22"/>
                <w:szCs w:val="22"/>
                <w:u w:val="none"/>
                <w:lang w:val="en-US" w:eastAsia="zh-CN" w:bidi="ar"/>
              </w:rPr>
              <w:t>1</w:t>
            </w:r>
          </w:p>
        </w:tc>
        <w:tc>
          <w:tcPr>
            <w:tcW w:w="1151"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color w:val="auto"/>
                <w:sz w:val="22"/>
                <w:szCs w:val="22"/>
                <w:highlight w:val="none"/>
              </w:rPr>
            </w:pPr>
            <w:r>
              <w:rPr>
                <w:rFonts w:hint="eastAsia" w:ascii="宋体" w:hAnsi="宋体" w:eastAsia="宋体" w:cs="宋体"/>
                <w:b w:val="0"/>
                <w:i w:val="0"/>
                <w:color w:val="333333"/>
                <w:sz w:val="18"/>
                <w:szCs w:val="18"/>
                <w:u w:val="none"/>
              </w:rPr>
              <w:t>需办理施工进场申请</w:t>
            </w:r>
          </w:p>
        </w:tc>
      </w:tr>
      <w:tr>
        <w:tblPrEx>
          <w:tblLayout w:type="fixed"/>
          <w:tblCellMar>
            <w:top w:w="0" w:type="dxa"/>
            <w:left w:w="108" w:type="dxa"/>
            <w:bottom w:w="0" w:type="dxa"/>
            <w:right w:w="108" w:type="dxa"/>
          </w:tblCellMar>
        </w:tblPrEx>
        <w:trPr>
          <w:trHeight w:val="36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7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765"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tc>
        <w:tc>
          <w:tcPr>
            <w:tcW w:w="60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2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151"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rFonts w:ascii="仿宋" w:hAnsi="仿宋"/>
          <w:szCs w:val="28"/>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hint="eastAsia" w:ascii="宋体" w:hAnsi="宋体" w:eastAsiaTheme="minorEastAsia"/>
          <w:color w:val="FF0000"/>
          <w:sz w:val="24"/>
          <w:highlight w:val="none"/>
          <w:lang w:val="en-US" w:eastAsia="zh-CN"/>
        </w:rPr>
      </w:pPr>
      <w:r>
        <w:rPr>
          <w:rFonts w:hint="eastAsia" w:ascii="宋体" w:hAnsi="宋体"/>
          <w:sz w:val="24"/>
          <w:highlight w:val="none"/>
        </w:rPr>
        <w:t>1.需送货</w:t>
      </w:r>
      <w:r>
        <w:rPr>
          <w:rFonts w:hint="eastAsia" w:ascii="宋体" w:hAnsi="宋体"/>
          <w:sz w:val="24"/>
          <w:highlight w:val="none"/>
          <w:lang w:val="en-US" w:eastAsia="zh-CN"/>
        </w:rPr>
        <w:t>并摆放</w:t>
      </w:r>
      <w:r>
        <w:rPr>
          <w:rFonts w:hint="eastAsia" w:ascii="宋体" w:hAnsi="宋体"/>
          <w:sz w:val="24"/>
          <w:highlight w:val="none"/>
        </w:rPr>
        <w:t>至指定地点：广州市番禺区大学城明志街1号信息枢纽楼</w:t>
      </w:r>
      <w:r>
        <w:rPr>
          <w:rFonts w:hint="eastAsia" w:ascii="宋体" w:hAnsi="宋体"/>
          <w:sz w:val="24"/>
          <w:highlight w:val="none"/>
          <w:lang w:val="en-US" w:eastAsia="zh-CN"/>
        </w:rPr>
        <w:t>10</w:t>
      </w:r>
      <w:r>
        <w:rPr>
          <w:rFonts w:hint="eastAsia" w:ascii="宋体" w:hAnsi="宋体"/>
          <w:sz w:val="24"/>
          <w:highlight w:val="none"/>
        </w:rPr>
        <w:t>楼</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r>
        <w:rPr>
          <w:rFonts w:hint="eastAsia" w:ascii="宋体" w:hAnsi="宋体"/>
          <w:sz w:val="24"/>
          <w:highlight w:val="none"/>
          <w:lang w:val="en-US" w:eastAsia="zh-CN"/>
        </w:rPr>
        <w:t>其中第1、3、4项质保期最低3年，其他项质保期最低1年。</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w:t>
      </w:r>
      <w:r>
        <w:rPr>
          <w:rFonts w:hint="eastAsia" w:ascii="宋体" w:hAnsi="宋体"/>
          <w:sz w:val="24"/>
        </w:rPr>
        <w:t>合同签订后预付合同总价的30%款项作为预付款</w:t>
      </w:r>
      <w:r>
        <w:rPr>
          <w:rFonts w:hint="eastAsia" w:ascii="宋体" w:hAnsi="宋体"/>
          <w:sz w:val="24"/>
          <w:lang w:eastAsia="zh-CN"/>
        </w:rPr>
        <w:t>，</w:t>
      </w:r>
      <w:r>
        <w:rPr>
          <w:rFonts w:hint="eastAsia" w:ascii="宋体" w:hAnsi="宋体"/>
          <w:sz w:val="24"/>
        </w:rPr>
        <w:t>全部货物货到现场并经</w:t>
      </w:r>
      <w:r>
        <w:rPr>
          <w:rFonts w:hint="eastAsia" w:ascii="宋体" w:hAnsi="宋体"/>
          <w:sz w:val="24"/>
          <w:lang w:val="en-US" w:eastAsia="zh-CN"/>
        </w:rPr>
        <w:t>需</w:t>
      </w:r>
      <w:r>
        <w:rPr>
          <w:rFonts w:hint="eastAsia" w:ascii="宋体" w:hAnsi="宋体"/>
          <w:sz w:val="24"/>
        </w:rPr>
        <w:t>方验收合格签字和收到供方相关的技术资料后15</w:t>
      </w:r>
      <w:r>
        <w:rPr>
          <w:rFonts w:hint="eastAsia" w:ascii="宋体" w:hAnsi="宋体"/>
          <w:sz w:val="24"/>
          <w:lang w:val="en-US" w:eastAsia="zh-CN"/>
        </w:rPr>
        <w:t>个工作日</w:t>
      </w:r>
      <w:r>
        <w:rPr>
          <w:rFonts w:hint="eastAsia" w:ascii="宋体" w:hAnsi="宋体"/>
          <w:sz w:val="24"/>
        </w:rPr>
        <w:t>内支付至结算价的</w:t>
      </w:r>
      <w:r>
        <w:rPr>
          <w:rFonts w:hint="eastAsia" w:ascii="宋体" w:hAnsi="宋体"/>
          <w:sz w:val="24"/>
          <w:lang w:val="en-US" w:eastAsia="zh-CN"/>
        </w:rPr>
        <w:t>95%</w:t>
      </w:r>
      <w:r>
        <w:rPr>
          <w:rFonts w:hint="eastAsia" w:ascii="宋体" w:hAnsi="宋体"/>
          <w:sz w:val="24"/>
        </w:rPr>
        <w:t>款项，同时余下结算价的5%作为质保金，质保期满供方履行完质保期义务后付清余款。付款前供方开具相应金额增值税(含13%增值税)专用发票给需方。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lang w:val="en-US" w:eastAsia="zh-CN"/>
        </w:rPr>
        <w:t>会议室</w:t>
      </w:r>
      <w:r>
        <w:rPr>
          <w:rFonts w:hint="eastAsia" w:ascii="宋体" w:hAnsi="宋体"/>
          <w:sz w:val="24"/>
          <w:highlight w:val="none"/>
        </w:rPr>
        <w:t>投影融合屏</w:t>
      </w:r>
      <w:r>
        <w:rPr>
          <w:rFonts w:hint="eastAsia" w:ascii="宋体" w:hAnsi="宋体"/>
          <w:sz w:val="24"/>
          <w:highlight w:val="none"/>
          <w:lang w:val="en-US" w:eastAsia="zh-CN"/>
        </w:rPr>
        <w:t>设备</w:t>
      </w:r>
      <w:r>
        <w:rPr>
          <w:rFonts w:hint="eastAsia" w:ascii="宋体" w:hAnsi="宋体"/>
          <w:b w:val="0"/>
          <w:sz w:val="24"/>
          <w:highlight w:val="none"/>
          <w:lang w:val="en-US" w:eastAsia="zh-CN"/>
        </w:rPr>
        <w:t>采购</w:t>
      </w:r>
    </w:p>
    <w:tbl>
      <w:tblPr>
        <w:tblStyle w:val="7"/>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blPrEx>
          <w:tblLayout w:type="fixed"/>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rFonts w:hint="eastAsia" w:eastAsiaTheme="minorEastAsia"/>
          <w:b w:val="0"/>
          <w:bCs w:val="0"/>
          <w:sz w:val="24"/>
          <w:highlight w:val="none"/>
          <w:lang w:val="en-US" w:eastAsia="zh-CN"/>
        </w:rPr>
      </w:pPr>
      <w:r>
        <w:rPr>
          <w:rFonts w:hint="eastAsia"/>
          <w:b w:val="0"/>
          <w:bCs w:val="0"/>
          <w:sz w:val="24"/>
          <w:highlight w:val="none"/>
        </w:rPr>
        <w:t>说明：</w:t>
      </w:r>
    </w:p>
    <w:p>
      <w:pPr>
        <w:widowControl/>
        <w:numPr>
          <w:ilvl w:val="0"/>
          <w:numId w:val="19"/>
        </w:numPr>
        <w:spacing w:line="360" w:lineRule="auto"/>
        <w:jc w:val="left"/>
        <w:rPr>
          <w:rFonts w:ascii="宋体" w:hAnsi="宋体"/>
          <w:b/>
          <w:kern w:val="0"/>
          <w:sz w:val="24"/>
          <w:highlight w:val="none"/>
        </w:rPr>
      </w:pPr>
      <w:r>
        <w:rPr>
          <w:rFonts w:hint="eastAsia" w:ascii="宋体" w:hAnsi="宋体"/>
          <w:b w:val="0"/>
          <w:bCs w:val="0"/>
          <w:kern w:val="0"/>
          <w:sz w:val="24"/>
          <w:highlight w:val="none"/>
        </w:rPr>
        <w:t>投</w:t>
      </w:r>
      <w:r>
        <w:rPr>
          <w:rFonts w:hint="eastAsia" w:ascii="宋体" w:hAnsi="宋体"/>
          <w:kern w:val="0"/>
          <w:sz w:val="24"/>
          <w:highlight w:val="none"/>
        </w:rPr>
        <w:t>标报价为人民币报价。</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center"/>
        <w:rPr>
          <w:rFonts w:hint="eastAsia" w:ascii="宋体" w:hAnsi="宋体"/>
          <w:sz w:val="32"/>
          <w:highlight w:val="none"/>
          <w:lang w:val="en-US" w:eastAsia="zh-CN"/>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ind w:firstLine="3360" w:firstLineChars="1400"/>
        <w:jc w:val="both"/>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r>
        <w:rPr>
          <w:rFonts w:hint="eastAsia" w:ascii="宋体" w:hAnsi="宋体"/>
          <w:sz w:val="24"/>
          <w:highlight w:val="none"/>
          <w:lang w:val="en-US" w:eastAsia="zh-CN"/>
        </w:rPr>
        <w:t>会议室</w:t>
      </w:r>
      <w:r>
        <w:rPr>
          <w:rFonts w:hint="eastAsia" w:ascii="宋体" w:hAnsi="宋体"/>
          <w:sz w:val="24"/>
          <w:highlight w:val="none"/>
        </w:rPr>
        <w:t>投影融合屏</w:t>
      </w:r>
      <w:r>
        <w:rPr>
          <w:rFonts w:hint="eastAsia" w:ascii="宋体" w:hAnsi="宋体"/>
          <w:sz w:val="24"/>
          <w:highlight w:val="none"/>
          <w:lang w:val="en-US" w:eastAsia="zh-CN"/>
        </w:rPr>
        <w:t>设备</w:t>
      </w:r>
      <w:r>
        <w:rPr>
          <w:rFonts w:hint="eastAsia" w:ascii="宋体" w:hAnsi="宋体"/>
          <w:b w:val="0"/>
          <w:sz w:val="24"/>
          <w:highlight w:val="none"/>
          <w:lang w:val="en-US" w:eastAsia="zh-CN"/>
        </w:rPr>
        <w:t>采购</w:t>
      </w:r>
    </w:p>
    <w:tbl>
      <w:tblPr>
        <w:tblStyle w:val="7"/>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会议室</w:t>
      </w:r>
      <w:r>
        <w:rPr>
          <w:rFonts w:hint="eastAsia" w:ascii="宋体" w:hAnsi="宋体"/>
          <w:sz w:val="24"/>
          <w:highlight w:val="none"/>
        </w:rPr>
        <w:t>投影融合屏</w:t>
      </w:r>
      <w:r>
        <w:rPr>
          <w:rFonts w:hint="eastAsia" w:ascii="宋体" w:hAnsi="宋体"/>
          <w:sz w:val="24"/>
          <w:highlight w:val="none"/>
          <w:lang w:val="en-US" w:eastAsia="zh-CN"/>
        </w:rPr>
        <w:t>设备</w:t>
      </w:r>
      <w:r>
        <w:rPr>
          <w:rFonts w:hint="eastAsia" w:ascii="宋体" w:hAnsi="宋体"/>
          <w:b w:val="0"/>
          <w:sz w:val="24"/>
          <w:highlight w:val="none"/>
          <w:lang w:val="en-US" w:eastAsia="zh-CN"/>
        </w:rPr>
        <w:t>采购</w:t>
      </w:r>
    </w:p>
    <w:tbl>
      <w:tblPr>
        <w:tblStyle w:val="7"/>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hint="eastAsia"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val="en-US"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hint="eastAsia" w:ascii="宋体" w:hAnsi="宋体"/>
                <w:sz w:val="18"/>
                <w:szCs w:val="18"/>
                <w:highlight w:val="none"/>
                <w:lang w:val="en-US" w:eastAsia="zh-CN"/>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13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numPr>
                <w:ilvl w:val="0"/>
                <w:numId w:val="0"/>
              </w:numPr>
              <w:tabs>
                <w:tab w:val="left" w:pos="0"/>
              </w:tabs>
              <w:spacing w:line="360" w:lineRule="auto"/>
              <w:ind w:left="18" w:leftChars="0" w:hanging="18" w:hangingChars="10"/>
              <w:rPr>
                <w:rFonts w:ascii="宋体" w:hAnsi="宋体"/>
                <w:szCs w:val="18"/>
                <w:highlight w:val="none"/>
              </w:rPr>
            </w:pPr>
            <w:r>
              <w:rPr>
                <w:rFonts w:hint="eastAsia" w:ascii="宋体" w:hAnsi="宋体"/>
                <w:sz w:val="18"/>
                <w:szCs w:val="18"/>
                <w:highlight w:val="none"/>
                <w:lang w:val="en-US" w:eastAsia="zh-CN"/>
              </w:rPr>
              <w:t>采购需求 五、商务要求（一）★付款方式：</w:t>
            </w:r>
            <w:r>
              <w:rPr>
                <w:rFonts w:hint="eastAsia" w:ascii="宋体" w:hAnsi="宋体" w:eastAsia="宋体" w:cs="宋体"/>
                <w:sz w:val="18"/>
                <w:szCs w:val="18"/>
              </w:rPr>
              <w:t>合同签订后预付合同总价的30%款项作为预付款</w:t>
            </w:r>
            <w:r>
              <w:rPr>
                <w:rFonts w:hint="eastAsia" w:ascii="宋体" w:hAnsi="宋体" w:eastAsia="宋体" w:cs="宋体"/>
                <w:sz w:val="18"/>
                <w:szCs w:val="18"/>
                <w:lang w:eastAsia="zh-CN"/>
              </w:rPr>
              <w:t>，</w:t>
            </w:r>
            <w:r>
              <w:rPr>
                <w:rFonts w:hint="eastAsia" w:ascii="宋体" w:hAnsi="宋体" w:eastAsia="宋体" w:cs="宋体"/>
                <w:sz w:val="18"/>
                <w:szCs w:val="18"/>
              </w:rPr>
              <w:t>全部货物货到现场并经</w:t>
            </w:r>
            <w:r>
              <w:rPr>
                <w:rFonts w:hint="eastAsia" w:ascii="宋体" w:hAnsi="宋体" w:eastAsia="宋体" w:cs="宋体"/>
                <w:sz w:val="18"/>
                <w:szCs w:val="18"/>
                <w:lang w:val="en-US" w:eastAsia="zh-CN"/>
              </w:rPr>
              <w:t>需</w:t>
            </w:r>
            <w:r>
              <w:rPr>
                <w:rFonts w:hint="eastAsia" w:ascii="宋体" w:hAnsi="宋体" w:eastAsia="宋体" w:cs="宋体"/>
                <w:sz w:val="18"/>
                <w:szCs w:val="18"/>
              </w:rPr>
              <w:t>方验收合格签字和收到供方相关的技术资料后15</w:t>
            </w:r>
            <w:r>
              <w:rPr>
                <w:rFonts w:hint="eastAsia" w:ascii="宋体" w:hAnsi="宋体"/>
                <w:sz w:val="16"/>
                <w:szCs w:val="16"/>
                <w:lang w:val="en-US" w:eastAsia="zh-CN"/>
              </w:rPr>
              <w:t>个</w:t>
            </w:r>
            <w:r>
              <w:rPr>
                <w:rFonts w:hint="eastAsia" w:ascii="宋体" w:hAnsi="宋体"/>
                <w:sz w:val="18"/>
                <w:szCs w:val="18"/>
                <w:lang w:val="en-US" w:eastAsia="zh-CN"/>
              </w:rPr>
              <w:t>工作日</w:t>
            </w:r>
            <w:r>
              <w:rPr>
                <w:rFonts w:hint="eastAsia" w:ascii="宋体" w:hAnsi="宋体" w:eastAsia="宋体" w:cs="宋体"/>
                <w:sz w:val="18"/>
                <w:szCs w:val="18"/>
              </w:rPr>
              <w:t>内支付至结算价的</w:t>
            </w:r>
            <w:r>
              <w:rPr>
                <w:rFonts w:hint="eastAsia" w:ascii="宋体" w:hAnsi="宋体" w:eastAsia="宋体" w:cs="宋体"/>
                <w:sz w:val="18"/>
                <w:szCs w:val="18"/>
                <w:lang w:val="en-US" w:eastAsia="zh-CN"/>
              </w:rPr>
              <w:t>95%</w:t>
            </w:r>
            <w:r>
              <w:rPr>
                <w:rFonts w:hint="eastAsia" w:ascii="宋体" w:hAnsi="宋体" w:eastAsia="宋体" w:cs="宋体"/>
                <w:sz w:val="18"/>
                <w:szCs w:val="18"/>
              </w:rPr>
              <w:t>款项，同时余下结算价的5%作为质保金，质保期满供方履行完质保期义务后付清余款。付款前供方开具相应金额增值税(含13%增值税)专用发票给需方。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hint="eastAsia" w:ascii="宋体" w:hAnsi="宋体"/>
          <w:highlight w:val="none"/>
        </w:rPr>
      </w:pPr>
      <w:r>
        <w:rPr>
          <w:rFonts w:hint="eastAsia" w:ascii="宋体" w:hAnsi="宋体"/>
          <w:highlight w:val="none"/>
        </w:rPr>
        <w:t>备注：</w:t>
      </w:r>
    </w:p>
    <w:p>
      <w:pPr>
        <w:spacing w:line="360" w:lineRule="auto"/>
        <w:ind w:firstLine="420" w:firstLineChars="200"/>
        <w:rPr>
          <w:rFonts w:ascii="宋体" w:hAnsi="宋体"/>
          <w:highlight w:val="none"/>
        </w:rPr>
      </w:pPr>
      <w:r>
        <w:rPr>
          <w:rFonts w:hint="eastAsia" w:ascii="宋体" w:hAnsi="宋体"/>
          <w:highlight w:val="none"/>
        </w:rPr>
        <w:t>1、竞选文件中标有“★”的指标均被视为实质性响应指标，供应商如有一项带“★”的指标未响应或不满足，将按无效投标处理。</w:t>
      </w:r>
    </w:p>
    <w:p>
      <w:pPr>
        <w:spacing w:line="360" w:lineRule="auto"/>
        <w:ind w:firstLine="420" w:firstLineChars="2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040" w:firstLineChars="2400"/>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r>
        <w:rPr>
          <w:rFonts w:hint="eastAsia" w:ascii="宋体" w:hAnsi="宋体"/>
          <w:sz w:val="24"/>
          <w:highlight w:val="none"/>
          <w:lang w:val="en-US" w:eastAsia="zh-CN"/>
        </w:rPr>
        <w:t>会议室</w:t>
      </w:r>
      <w:r>
        <w:rPr>
          <w:rFonts w:hint="eastAsia" w:ascii="宋体" w:hAnsi="宋体"/>
          <w:sz w:val="24"/>
          <w:highlight w:val="none"/>
        </w:rPr>
        <w:t>投影融合屏</w:t>
      </w:r>
      <w:r>
        <w:rPr>
          <w:rFonts w:hint="eastAsia" w:ascii="宋体" w:hAnsi="宋体"/>
          <w:sz w:val="24"/>
          <w:highlight w:val="none"/>
          <w:lang w:val="en-US" w:eastAsia="zh-CN"/>
        </w:rPr>
        <w:t>设备</w:t>
      </w:r>
      <w:r>
        <w:rPr>
          <w:rFonts w:hint="eastAsia" w:ascii="宋体" w:hAnsi="宋体"/>
          <w:b w:val="0"/>
          <w:sz w:val="24"/>
          <w:highlight w:val="none"/>
          <w:lang w:val="en-US" w:eastAsia="zh-CN"/>
        </w:rPr>
        <w:t>采购</w:t>
      </w:r>
    </w:p>
    <w:tbl>
      <w:tblPr>
        <w:tblStyle w:val="7"/>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w:t>
      </w:r>
      <w:r>
        <w:rPr>
          <w:rFonts w:hint="eastAsia" w:ascii="宋体" w:hAnsi="宋体"/>
          <w:highlight w:val="none"/>
          <w:lang w:val="en-US" w:eastAsia="zh-CN"/>
        </w:rPr>
        <w:t>2023</w:t>
      </w:r>
      <w:r>
        <w:rPr>
          <w:rFonts w:hint="eastAsia" w:ascii="宋体" w:hAnsi="宋体"/>
          <w:highlight w:val="none"/>
        </w:rPr>
        <w:t xml:space="preserve">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BBF659"/>
    <w:multiLevelType w:val="singleLevel"/>
    <w:tmpl w:val="C4BBF659"/>
    <w:lvl w:ilvl="0" w:tentative="0">
      <w:start w:val="3"/>
      <w:numFmt w:val="chineseCounting"/>
      <w:suff w:val="nothing"/>
      <w:lvlText w:val="（%1）"/>
      <w:lvlJc w:val="left"/>
      <w:rPr>
        <w:rFonts w:hint="eastAsia"/>
      </w:rPr>
    </w:lvl>
  </w:abstractNum>
  <w:abstractNum w:abstractNumId="1">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9">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0">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2">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11"/>
  </w:num>
  <w:num w:numId="3">
    <w:abstractNumId w:val="4"/>
  </w:num>
  <w:num w:numId="4">
    <w:abstractNumId w:val="0"/>
  </w:num>
  <w:num w:numId="5">
    <w:abstractNumId w:val="16"/>
  </w:num>
  <w:num w:numId="6">
    <w:abstractNumId w:val="7"/>
  </w:num>
  <w:num w:numId="7">
    <w:abstractNumId w:val="3"/>
  </w:num>
  <w:num w:numId="8">
    <w:abstractNumId w:val="6"/>
  </w:num>
  <w:num w:numId="9">
    <w:abstractNumId w:val="5"/>
  </w:num>
  <w:num w:numId="10">
    <w:abstractNumId w:val="18"/>
  </w:num>
  <w:num w:numId="11">
    <w:abstractNumId w:val="17"/>
  </w:num>
  <w:num w:numId="12">
    <w:abstractNumId w:val="19"/>
  </w:num>
  <w:num w:numId="13">
    <w:abstractNumId w:val="2"/>
  </w:num>
  <w:num w:numId="14">
    <w:abstractNumId w:val="13"/>
  </w:num>
  <w:num w:numId="15">
    <w:abstractNumId w:val="15"/>
  </w:num>
  <w:num w:numId="16">
    <w:abstractNumId w:val="9"/>
  </w:num>
  <w:num w:numId="17">
    <w:abstractNumId w:val="8"/>
  </w:num>
  <w:num w:numId="18">
    <w:abstractNumId w:val="1"/>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0659"/>
    <w:rsid w:val="105F7BEE"/>
    <w:rsid w:val="1C326EE2"/>
    <w:rsid w:val="210D7ABF"/>
    <w:rsid w:val="219C5AD0"/>
    <w:rsid w:val="21EF441B"/>
    <w:rsid w:val="261B75D1"/>
    <w:rsid w:val="2AC216B9"/>
    <w:rsid w:val="2B603C36"/>
    <w:rsid w:val="2BA32398"/>
    <w:rsid w:val="315670E0"/>
    <w:rsid w:val="338220BD"/>
    <w:rsid w:val="353F7778"/>
    <w:rsid w:val="36A7666B"/>
    <w:rsid w:val="375171B8"/>
    <w:rsid w:val="3CC4116D"/>
    <w:rsid w:val="3DD90F53"/>
    <w:rsid w:val="5349618D"/>
    <w:rsid w:val="53DC470C"/>
    <w:rsid w:val="55C8186D"/>
    <w:rsid w:val="605F149E"/>
    <w:rsid w:val="61345013"/>
    <w:rsid w:val="6370437E"/>
    <w:rsid w:val="69A35E39"/>
    <w:rsid w:val="6CCC321F"/>
    <w:rsid w:val="788D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character" w:styleId="4">
    <w:name w:val="FollowedHyperlink"/>
    <w:basedOn w:val="3"/>
    <w:uiPriority w:val="0"/>
    <w:rPr>
      <w:color w:val="2490F8"/>
      <w:u w:val="none"/>
    </w:rPr>
  </w:style>
  <w:style w:type="character" w:styleId="5">
    <w:name w:val="Emphasis"/>
    <w:basedOn w:val="3"/>
    <w:qFormat/>
    <w:uiPriority w:val="0"/>
  </w:style>
  <w:style w:type="character" w:styleId="6">
    <w:name w:val="Hyperlink"/>
    <w:basedOn w:val="3"/>
    <w:unhideWhenUsed/>
    <w:qFormat/>
    <w:uiPriority w:val="99"/>
    <w:rPr>
      <w:color w:val="0000FF"/>
      <w:u w:val="single"/>
    </w:rPr>
  </w:style>
  <w:style w:type="paragraph" w:customStyle="1" w:styleId="8">
    <w:name w:val="列出段落1"/>
    <w:basedOn w:val="1"/>
    <w:unhideWhenUsed/>
    <w:qFormat/>
    <w:uiPriority w:val="0"/>
    <w:pPr>
      <w:ind w:firstLine="420" w:firstLineChars="200"/>
    </w:pPr>
  </w:style>
  <w:style w:type="paragraph" w:styleId="9">
    <w:name w:val="List Paragraph"/>
    <w:basedOn w:val="1"/>
    <w:unhideWhenUsed/>
    <w:qFormat/>
    <w:uiPriority w:val="34"/>
    <w:pPr>
      <w:ind w:firstLine="420" w:firstLineChars="200"/>
    </w:pPr>
  </w:style>
  <w:style w:type="character" w:customStyle="1" w:styleId="10">
    <w:name w:val="font11"/>
    <w:basedOn w:val="3"/>
    <w:qFormat/>
    <w:uiPriority w:val="0"/>
    <w:rPr>
      <w:rFonts w:hint="eastAsia" w:ascii="宋体" w:hAnsi="宋体" w:eastAsia="宋体" w:cs="宋体"/>
      <w:color w:val="000000"/>
      <w:sz w:val="22"/>
      <w:szCs w:val="22"/>
      <w:u w:val="none"/>
    </w:rPr>
  </w:style>
  <w:style w:type="character" w:customStyle="1" w:styleId="11">
    <w:name w:val="font01"/>
    <w:basedOn w:val="3"/>
    <w:qFormat/>
    <w:uiPriority w:val="0"/>
    <w:rPr>
      <w:rFonts w:hint="eastAsia" w:ascii="宋体" w:hAnsi="宋体" w:eastAsia="宋体" w:cs="宋体"/>
      <w:color w:val="FF0000"/>
      <w:sz w:val="22"/>
      <w:szCs w:val="22"/>
      <w:u w:val="none"/>
    </w:rPr>
  </w:style>
  <w:style w:type="character" w:customStyle="1" w:styleId="12">
    <w:name w:val="font21"/>
    <w:basedOn w:val="3"/>
    <w:qFormat/>
    <w:uiPriority w:val="0"/>
    <w:rPr>
      <w:rFonts w:hint="eastAsia" w:ascii="宋体" w:hAnsi="宋体" w:eastAsia="宋体" w:cs="宋体"/>
      <w:color w:val="FF0000"/>
      <w:sz w:val="22"/>
      <w:szCs w:val="22"/>
      <w:u w:val="none"/>
    </w:rPr>
  </w:style>
  <w:style w:type="character" w:customStyle="1" w:styleId="13">
    <w:name w:val="after"/>
    <w:basedOn w:val="3"/>
    <w:qFormat/>
    <w:uiPriority w:val="0"/>
    <w:rPr>
      <w:sz w:val="0"/>
      <w:szCs w:val="0"/>
    </w:rPr>
  </w:style>
  <w:style w:type="character" w:customStyle="1" w:styleId="14">
    <w:name w:val="w32"/>
    <w:basedOn w:val="3"/>
    <w:uiPriority w:val="0"/>
  </w:style>
  <w:style w:type="character" w:customStyle="1" w:styleId="15">
    <w:name w:val="cdropleft"/>
    <w:basedOn w:val="3"/>
    <w:qFormat/>
    <w:uiPriority w:val="0"/>
  </w:style>
  <w:style w:type="character" w:customStyle="1" w:styleId="16">
    <w:name w:val="active"/>
    <w:basedOn w:val="3"/>
    <w:qFormat/>
    <w:uiPriority w:val="0"/>
    <w:rPr>
      <w:color w:val="00FF00"/>
      <w:shd w:val="clear" w:fill="111111"/>
    </w:rPr>
  </w:style>
  <w:style w:type="character" w:customStyle="1" w:styleId="17">
    <w:name w:val="cy"/>
    <w:basedOn w:val="3"/>
    <w:qFormat/>
    <w:uiPriority w:val="0"/>
  </w:style>
  <w:style w:type="character" w:customStyle="1" w:styleId="18">
    <w:name w:val="button4"/>
    <w:basedOn w:val="3"/>
    <w:uiPriority w:val="0"/>
  </w:style>
  <w:style w:type="character" w:customStyle="1" w:styleId="19">
    <w:name w:val="cdropright"/>
    <w:basedOn w:val="3"/>
    <w:qFormat/>
    <w:uiPriority w:val="0"/>
  </w:style>
  <w:style w:type="character" w:customStyle="1" w:styleId="20">
    <w:name w:val="layui-layer-tabnow"/>
    <w:basedOn w:val="3"/>
    <w:qFormat/>
    <w:uiPriority w:val="0"/>
    <w:rPr>
      <w:bdr w:val="single" w:color="CCCCCC" w:sz="6" w:space="0"/>
      <w:shd w:val="clear" w:fill="FFFFFF"/>
    </w:rPr>
  </w:style>
  <w:style w:type="character" w:customStyle="1" w:styleId="21">
    <w:name w:val="icontext2"/>
    <w:basedOn w:val="3"/>
    <w:qFormat/>
    <w:uiPriority w:val="0"/>
  </w:style>
  <w:style w:type="character" w:customStyle="1" w:styleId="22">
    <w:name w:val="drapbtn"/>
    <w:basedOn w:val="3"/>
    <w:qFormat/>
    <w:uiPriority w:val="0"/>
  </w:style>
  <w:style w:type="character" w:customStyle="1" w:styleId="23">
    <w:name w:val="hilite6"/>
    <w:basedOn w:val="3"/>
    <w:qFormat/>
    <w:uiPriority w:val="0"/>
    <w:rPr>
      <w:color w:val="FFFFFF"/>
      <w:shd w:val="clear" w:fill="666666"/>
    </w:rPr>
  </w:style>
  <w:style w:type="character" w:customStyle="1" w:styleId="24">
    <w:name w:val="icontext3"/>
    <w:basedOn w:val="3"/>
    <w:qFormat/>
    <w:uiPriority w:val="0"/>
  </w:style>
  <w:style w:type="character" w:customStyle="1" w:styleId="25">
    <w:name w:val="ico1652"/>
    <w:basedOn w:val="3"/>
    <w:qFormat/>
    <w:uiPriority w:val="0"/>
  </w:style>
  <w:style w:type="character" w:customStyle="1" w:styleId="26">
    <w:name w:val="pagechatarealistclose_box"/>
    <w:basedOn w:val="3"/>
    <w:qFormat/>
    <w:uiPriority w:val="0"/>
  </w:style>
  <w:style w:type="character" w:customStyle="1" w:styleId="27">
    <w:name w:val="pagechatarealistclose_box1"/>
    <w:basedOn w:val="3"/>
    <w:qFormat/>
    <w:uiPriority w:val="0"/>
  </w:style>
  <w:style w:type="character" w:customStyle="1" w:styleId="28">
    <w:name w:val="associateddata"/>
    <w:basedOn w:val="3"/>
    <w:qFormat/>
    <w:uiPriority w:val="0"/>
    <w:rPr>
      <w:shd w:val="clear" w:fill="50A6F9"/>
    </w:rPr>
  </w:style>
  <w:style w:type="character" w:customStyle="1" w:styleId="29">
    <w:name w:val="tmpztreemove_arrow"/>
    <w:basedOn w:val="3"/>
    <w:qFormat/>
    <w:uiPriority w:val="0"/>
  </w:style>
  <w:style w:type="character" w:customStyle="1" w:styleId="30">
    <w:name w:val="icontext1"/>
    <w:basedOn w:val="3"/>
    <w:qFormat/>
    <w:uiPriority w:val="0"/>
  </w:style>
  <w:style w:type="character" w:customStyle="1" w:styleId="31">
    <w:name w:val="icontext11"/>
    <w:basedOn w:val="3"/>
    <w:qFormat/>
    <w:uiPriority w:val="0"/>
  </w:style>
  <w:style w:type="character" w:customStyle="1" w:styleId="32">
    <w:name w:val="icontext12"/>
    <w:basedOn w:val="3"/>
    <w:qFormat/>
    <w:uiPriority w:val="0"/>
  </w:style>
  <w:style w:type="character" w:customStyle="1" w:styleId="33">
    <w:name w:val="iconline2"/>
    <w:basedOn w:val="3"/>
    <w:qFormat/>
    <w:uiPriority w:val="0"/>
  </w:style>
  <w:style w:type="character" w:customStyle="1" w:styleId="34">
    <w:name w:val="iconline21"/>
    <w:basedOn w:val="3"/>
    <w:qFormat/>
    <w:uiPriority w:val="0"/>
  </w:style>
  <w:style w:type="character" w:customStyle="1" w:styleId="35">
    <w:name w:val="first-child"/>
    <w:basedOn w:val="3"/>
    <w:qFormat/>
    <w:uiPriority w:val="0"/>
  </w:style>
  <w:style w:type="character" w:customStyle="1" w:styleId="36">
    <w:name w:val="choose-status"/>
    <w:basedOn w:val="3"/>
    <w:qFormat/>
    <w:uiPriority w:val="0"/>
    <w:rPr>
      <w:color w:val="1F85EC"/>
      <w:shd w:val="clear" w:fill="FFFFFF"/>
    </w:rPr>
  </w:style>
  <w:style w:type="character" w:customStyle="1" w:styleId="37">
    <w:name w:val="hilite"/>
    <w:basedOn w:val="3"/>
    <w:qFormat/>
    <w:uiPriority w:val="0"/>
    <w:rPr>
      <w:color w:val="FFFFFF"/>
      <w:shd w:val="clear" w:fill="666666"/>
    </w:rPr>
  </w:style>
  <w:style w:type="character" w:customStyle="1" w:styleId="38">
    <w:name w:val="button"/>
    <w:basedOn w:val="3"/>
    <w:qFormat/>
    <w:uiPriority w:val="0"/>
  </w:style>
  <w:style w:type="character" w:customStyle="1" w:styleId="39">
    <w:name w:val="active3"/>
    <w:basedOn w:val="3"/>
    <w:qFormat/>
    <w:uiPriority w:val="0"/>
    <w:rPr>
      <w:color w:val="00FF00"/>
      <w:shd w:val="clear" w:fill="111111"/>
    </w:rPr>
  </w:style>
  <w:style w:type="character" w:customStyle="1" w:styleId="40">
    <w:name w:val="ico1654"/>
    <w:basedOn w:val="3"/>
    <w:qFormat/>
    <w:uiPriority w:val="0"/>
  </w:style>
  <w:style w:type="character" w:customStyle="1" w:styleId="41">
    <w:name w:val="ico1655"/>
    <w:basedOn w:val="3"/>
    <w:qFormat/>
    <w:uiPriority w:val="0"/>
  </w:style>
  <w:style w:type="character" w:customStyle="1" w:styleId="42">
    <w:name w:val="active6"/>
    <w:basedOn w:val="3"/>
    <w:uiPriority w:val="0"/>
    <w:rPr>
      <w:color w:val="00FF00"/>
      <w:shd w:val="clear" w:fill="111111"/>
    </w:rPr>
  </w:style>
  <w:style w:type="character" w:customStyle="1" w:styleId="43">
    <w:name w:val="hilite5"/>
    <w:basedOn w:val="3"/>
    <w:qFormat/>
    <w:uiPriority w:val="0"/>
    <w:rPr>
      <w:color w:val="FFFFFF"/>
      <w:shd w:val="clear" w:fill="666666"/>
    </w:rPr>
  </w:style>
  <w:style w:type="character" w:customStyle="1" w:styleId="44">
    <w:name w:val="active8"/>
    <w:basedOn w:val="3"/>
    <w:qFormat/>
    <w:uiPriority w:val="0"/>
    <w:rPr>
      <w:color w:val="00FF00"/>
      <w:shd w:val="clear" w:fill="111111"/>
    </w:rPr>
  </w:style>
  <w:style w:type="character" w:customStyle="1" w:styleId="45">
    <w:name w:val="active2"/>
    <w:basedOn w:val="3"/>
    <w:qFormat/>
    <w:uiPriority w:val="0"/>
    <w:rPr>
      <w:color w:val="00FF00"/>
      <w:shd w:val="clear" w:fill="111111"/>
    </w:rPr>
  </w:style>
  <w:style w:type="character" w:customStyle="1" w:styleId="46">
    <w:name w:val="ico1653"/>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2023-02-17T08:04:05Z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