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highlight w:val="none"/>
          <w:lang w:val="en-US" w:eastAsia="zh-CN"/>
        </w:rPr>
        <w:t>管网查漏设备采购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6"/>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管网查漏设备采购</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限价20万元</w:t>
      </w:r>
      <w:r>
        <w:rPr>
          <w:rFonts w:hint="eastAsia" w:ascii="宋体" w:hAnsi="宋体"/>
          <w:sz w:val="24"/>
          <w:highlight w:val="none"/>
        </w:rPr>
        <w:t>。</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b w:val="0"/>
          <w:sz w:val="24"/>
          <w:highlight w:val="none"/>
          <w:lang w:val="en-US" w:eastAsia="zh-CN"/>
        </w:rPr>
        <w:t>管网查漏设备</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6"/>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6"/>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6"/>
        <w:tabs>
          <w:tab w:val="left" w:pos="420"/>
        </w:tabs>
        <w:spacing w:line="360" w:lineRule="auto"/>
        <w:ind w:firstLineChars="0"/>
        <w:rPr>
          <w:rFonts w:hint="eastAsia" w:ascii="宋体" w:hAnsi="宋体"/>
          <w:sz w:val="24"/>
        </w:rPr>
      </w:pPr>
      <w:r>
        <w:rPr>
          <w:rFonts w:hint="eastAsia" w:ascii="宋体" w:hAnsi="宋体"/>
          <w:sz w:val="24"/>
        </w:rPr>
        <w:t>全部货物货到现场并经双方验收合格签字和收到供方相关的技术资料后15</w:t>
      </w:r>
      <w:r>
        <w:rPr>
          <w:rFonts w:hint="eastAsia" w:ascii="宋体" w:hAnsi="宋体"/>
          <w:sz w:val="24"/>
          <w:lang w:val="en-US" w:eastAsia="zh-CN"/>
        </w:rPr>
        <w:t>个工作日</w:t>
      </w:r>
      <w:r>
        <w:rPr>
          <w:rFonts w:hint="eastAsia" w:ascii="宋体" w:hAnsi="宋体"/>
          <w:sz w:val="24"/>
        </w:rPr>
        <w:t>内支付至结算价的95%款项，同时余下结算价的5%作为质保金，质保期</w:t>
      </w:r>
      <w:r>
        <w:rPr>
          <w:rFonts w:hint="eastAsia" w:ascii="宋体" w:hAnsi="宋体"/>
          <w:sz w:val="24"/>
          <w:lang w:val="en-US" w:eastAsia="zh-CN"/>
        </w:rPr>
        <w:t>1年</w:t>
      </w:r>
      <w:r>
        <w:rPr>
          <w:rFonts w:hint="eastAsia" w:ascii="宋体" w:hAnsi="宋体"/>
          <w:sz w:val="24"/>
        </w:rPr>
        <w:t>，质保期满供方履行完质保期义务后付清余款。付款前供方开具相应金额增值税(含13%增值税)专用发票给需方。</w:t>
      </w:r>
    </w:p>
    <w:p>
      <w:pPr>
        <w:pStyle w:val="6"/>
        <w:numPr>
          <w:ilvl w:val="0"/>
          <w:numId w:val="4"/>
        </w:numPr>
        <w:tabs>
          <w:tab w:val="left" w:pos="0"/>
        </w:tabs>
        <w:spacing w:line="360" w:lineRule="auto"/>
        <w:ind w:left="0" w:leftChars="0" w:firstLine="420" w:firstLineChars="175"/>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6"/>
        <w:tabs>
          <w:tab w:val="left" w:pos="420"/>
        </w:tabs>
        <w:spacing w:line="360" w:lineRule="auto"/>
        <w:ind w:left="59" w:leftChars="28" w:firstLine="360" w:firstLineChars="150"/>
        <w:rPr>
          <w:rFonts w:ascii="宋体" w:hAnsi="宋体"/>
          <w:sz w:val="24"/>
          <w:highlight w:val="none"/>
        </w:rPr>
      </w:pPr>
      <w:r>
        <w:rPr>
          <w:rFonts w:hint="eastAsia" w:ascii="宋体" w:hAnsi="宋体"/>
          <w:sz w:val="24"/>
          <w:highlight w:val="none"/>
        </w:rPr>
        <w:t>（四）送货地点：广州大学城西五路4#冷站旁边仓库（国家档案馆对面）</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6"/>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6"/>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6"/>
        <w:spacing w:line="360" w:lineRule="auto"/>
        <w:ind w:firstLine="480"/>
        <w:rPr>
          <w:rFonts w:ascii="宋体" w:hAnsi="宋体"/>
          <w:sz w:val="24"/>
          <w:highlight w:val="none"/>
        </w:rPr>
      </w:pPr>
      <w:r>
        <w:rPr>
          <w:rFonts w:hint="eastAsia" w:ascii="宋体" w:hAnsi="宋体"/>
          <w:sz w:val="24"/>
          <w:highlight w:val="none"/>
        </w:rPr>
        <w:t>五、投标文件</w:t>
      </w:r>
    </w:p>
    <w:p>
      <w:pPr>
        <w:pStyle w:val="6"/>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13</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管网查漏设备采购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7"/>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7"/>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6"/>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6"/>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6"/>
        <w:spacing w:line="360" w:lineRule="auto"/>
        <w:ind w:firstLine="480"/>
        <w:jc w:val="center"/>
        <w:rPr>
          <w:rFonts w:ascii="宋体" w:hAnsi="宋体"/>
          <w:sz w:val="24"/>
          <w:highlight w:val="none"/>
        </w:rPr>
      </w:pPr>
      <w:r>
        <w:rPr>
          <w:rFonts w:hint="eastAsia" w:ascii="宋体" w:hAnsi="宋体"/>
          <w:sz w:val="24"/>
          <w:highlight w:val="none"/>
        </w:rPr>
        <w:t xml:space="preserve">             采购人：广州城投综合能源投资经营管理有限公司</w:t>
      </w:r>
    </w:p>
    <w:p>
      <w:pPr>
        <w:pStyle w:val="6"/>
        <w:spacing w:line="360" w:lineRule="auto"/>
        <w:ind w:right="960" w:firstLine="4740" w:firstLineChars="19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w:t>
      </w:r>
      <w:r>
        <w:rPr>
          <w:rFonts w:hint="eastAsia" w:ascii="宋体" w:hAnsi="宋体"/>
          <w:sz w:val="24"/>
          <w:highlight w:val="none"/>
          <w:lang w:val="en-US" w:eastAsia="zh-CN"/>
        </w:rPr>
        <w:t xml:space="preserve"> 29</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b w:val="0"/>
          <w:sz w:val="24"/>
          <w:highlight w:val="none"/>
          <w:lang w:val="en-US" w:eastAsia="zh-CN"/>
        </w:rPr>
        <w:t>管网查漏设备采购</w:t>
      </w:r>
      <w:r>
        <w:rPr>
          <w:rFonts w:hint="eastAsia" w:ascii="宋体" w:hAnsi="宋体"/>
          <w:sz w:val="24"/>
          <w:highlight w:val="none"/>
        </w:rPr>
        <w:t>清单</w:t>
      </w:r>
    </w:p>
    <w:tbl>
      <w:tblPr>
        <w:tblStyle w:val="5"/>
        <w:tblW w:w="8720" w:type="dxa"/>
        <w:tblInd w:w="0" w:type="dxa"/>
        <w:tblLayout w:type="fixed"/>
        <w:tblCellMar>
          <w:top w:w="0" w:type="dxa"/>
          <w:left w:w="108" w:type="dxa"/>
          <w:bottom w:w="0" w:type="dxa"/>
          <w:right w:w="108" w:type="dxa"/>
        </w:tblCellMar>
      </w:tblPr>
      <w:tblGrid>
        <w:gridCol w:w="692"/>
        <w:gridCol w:w="1537"/>
        <w:gridCol w:w="3540"/>
        <w:gridCol w:w="690"/>
        <w:gridCol w:w="705"/>
        <w:gridCol w:w="1556"/>
      </w:tblGrid>
      <w:tr>
        <w:tblPrEx>
          <w:tblLayout w:type="fixed"/>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53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9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23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1</w:t>
            </w: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电子听漏仪</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品牌：英国豪迈（HWM）、德国竖威（SEWERIN）、日本富士（FUJI TECOM INC）。</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技术参数：</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1、频率范围0-5000Hz；</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2、防护等级IP65；</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3、显示屏5寸TFT彩色液晶屏，显示噪声强度、滤波选择和频率分析、最低噪声水平图示；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4、具备固件升级、噪声录音、音频远程传输、定位等功能，可远程获取查漏数据；</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5、具有安全噪声水平切断功能和噪声消除滤波器</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6、具备金属管道、塑料管道快速分析功能；</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7、配有线航空音质耳机；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8、防风探头内置高灵敏压电陶瓷传感器，防护外壳材质为丁晴橡胶，降低噪声，配不短于1.5m的探头连接线；</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9、手持探头带有三角底座和不锈钢探杆，三角底座用于硬化路面听音，探杆用于软质地面（探杆配：两节400mm和三节1000mm，可任意组合)；</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10、电池工作时间大于25小时（无背光显示），大于15小时（有背光显示）；</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11、充电器：通用110-240V交流充电器；12、提供专业人员不少于三次现场设备技术培训，直到甲方熟练掌握相关设备技术。</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套</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1</w:t>
            </w:r>
          </w:p>
        </w:tc>
        <w:tc>
          <w:tcPr>
            <w:tcW w:w="1556"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32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相关仪</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品牌：英国豪迈（HWM）、德国竖威（SEWERIN）、日本富士（FUJI TECOM INC）。</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技术参数：</w:t>
            </w:r>
          </w:p>
          <w:p>
            <w:pPr>
              <w:keepNext w:val="0"/>
              <w:keepLines w:val="0"/>
              <w:widowControl/>
              <w:numPr>
                <w:ilvl w:val="0"/>
                <w:numId w:val="1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射机：防护等级IP65，高强度PC/ABS塑料，具有充电、耳机、外置天线等接口，可更换式充电锂电池，集成了高性能远距离无线电通信装置，底部配置有强磁铁，军工接口；传感器：防护等级IP68，频率范围d.c.-5000Hz，High V/g,2m/3m/5m连接线带军工接口；</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机：防护等级IP65，高强度PC/ABS塑料，高清全彩VGA触摸屏，多语言可选，中文，手动、FFT、三重滤波相关、管道数据默认设置，分辨率±0.1m，外置天线，可更换式充电锂电池，增强型噪声处理功能，水听器接口，自动智能滤波优化功能（自动对整个频段的的噪声数据做55段滤波组合，比较相关的结果优劣），调查模式，听音功能，频率分析，峰值抑制，可定义管材和声速，一体化充电，USB连接电脑打印机输出，开机自检查及自诊断。</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仪器箱：一体化充电箱。</w:t>
            </w:r>
          </w:p>
          <w:p>
            <w:pPr>
              <w:keepNext w:val="0"/>
              <w:keepLines w:val="0"/>
              <w:widowControl/>
              <w:numPr>
                <w:ilvl w:val="0"/>
                <w:numId w:val="0"/>
              </w:numPr>
              <w:suppressLineNumbers w:val="0"/>
              <w:ind w:leftChars="0"/>
              <w:jc w:val="left"/>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4、配置两台发射机、一台主机、一个仪器箱及相关配线。5、提供专业人员不少于三次现场设备技术培训，直到甲方熟练掌握相关设备技术。</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套</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1</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r>
        <w:tblPrEx>
          <w:tblLayout w:type="fixed"/>
          <w:tblCellMar>
            <w:top w:w="0" w:type="dxa"/>
            <w:left w:w="108" w:type="dxa"/>
            <w:bottom w:w="0" w:type="dxa"/>
            <w:right w:w="108" w:type="dxa"/>
          </w:tblCellMar>
        </w:tblPrEx>
        <w:trPr>
          <w:trHeight w:val="70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钻洞棒</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品牌：日本富士（FUJI TECOM INC）。产品型号：BB1500mm</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套</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1</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r>
        <w:tblPrEx>
          <w:tblLayout w:type="fixed"/>
          <w:tblCellMar>
            <w:top w:w="0" w:type="dxa"/>
            <w:left w:w="108" w:type="dxa"/>
            <w:bottom w:w="0" w:type="dxa"/>
            <w:right w:w="108" w:type="dxa"/>
          </w:tblCellMar>
        </w:tblPrEx>
        <w:trPr>
          <w:trHeight w:val="70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电锤钻头</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品牌：博世（BOSCH）。</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型号：SDS PLUS-1四坑1系，</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规格：直径14mm，</w:t>
            </w:r>
          </w:p>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工作长度400mm，总长度460mm</w:t>
            </w:r>
          </w:p>
        </w:tc>
        <w:tc>
          <w:tcPr>
            <w:tcW w:w="6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支</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22"/>
                <w:szCs w:val="22"/>
                <w:u w:val="none"/>
                <w:lang w:val="en-US" w:eastAsia="zh-CN" w:bidi="ar"/>
              </w:rPr>
              <w:t>2</w:t>
            </w: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r>
        <w:tblPrEx>
          <w:tblLayout w:type="fixed"/>
          <w:tblCellMar>
            <w:top w:w="0" w:type="dxa"/>
            <w:left w:w="108" w:type="dxa"/>
            <w:bottom w:w="0" w:type="dxa"/>
            <w:right w:w="108" w:type="dxa"/>
          </w:tblCellMar>
        </w:tblPrEx>
        <w:trPr>
          <w:trHeight w:val="36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69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556"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至指定地点：广州大学城西五路4#冷站旁边仓库（国家档案馆对面</w:t>
      </w:r>
      <w:r>
        <w:rPr>
          <w:rFonts w:hint="eastAsia" w:ascii="宋体" w:hAnsi="宋体"/>
          <w:sz w:val="24"/>
          <w:highlight w:val="none"/>
          <w:lang w:val="en-US" w:eastAsia="zh-CN"/>
        </w:rPr>
        <w:t>)</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w:t>
      </w:r>
      <w:r>
        <w:rPr>
          <w:rFonts w:hint="eastAsia" w:ascii="宋体" w:hAnsi="宋体"/>
          <w:sz w:val="24"/>
          <w:lang w:val="en-US" w:eastAsia="zh-CN"/>
        </w:rPr>
        <w:t>全部货物货到现场并经双方验收合格签字和收到供方相关的技术资料后15个工作日内支付至结算价的95%款项，同时余下结算价的5%作为质保金，质保期1年，质保期满供方履行完质保期义务后付清余款。付款前供方开具相应金额增值税(含13%增值税)专用发票给需方。</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bookmarkStart w:id="0" w:name="_GoBack"/>
      <w:bookmarkEnd w:id="0"/>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管网查漏设备采购</w:t>
      </w:r>
    </w:p>
    <w:tbl>
      <w:tblPr>
        <w:tblStyle w:val="5"/>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Layout w:type="fixed"/>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2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b w:val="0"/>
          <w:sz w:val="24"/>
          <w:highlight w:val="none"/>
          <w:lang w:val="en-US" w:eastAsia="zh-CN"/>
        </w:rPr>
        <w:t>管网查漏设备采购</w:t>
      </w:r>
    </w:p>
    <w:tbl>
      <w:tblPr>
        <w:tblStyle w:val="5"/>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4"/>
          <w:highlight w:val="none"/>
          <w:lang w:val="en-US" w:eastAsia="zh-CN"/>
        </w:rPr>
        <w:t>管网查漏设备采购</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lang w:val="en-US" w:eastAsia="zh-CN"/>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3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szCs w:val="18"/>
                <w:highlight w:val="none"/>
              </w:rPr>
            </w:pPr>
            <w:r>
              <w:rPr>
                <w:rFonts w:hint="eastAsia" w:ascii="宋体" w:hAnsi="宋体"/>
                <w:sz w:val="18"/>
                <w:szCs w:val="18"/>
                <w:highlight w:val="none"/>
                <w:lang w:val="en-US" w:eastAsia="zh-CN"/>
              </w:rPr>
              <w:t>采购需求 五、商务要求（一）★付款方式：全部货物货到现场并经双方验收合格签字和收到供方相关的技术资料后15个工作日内支付至结算价的95%款项，同时余下结算价的5%作为质保金，质保期1年，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b w:val="0"/>
          <w:sz w:val="24"/>
          <w:highlight w:val="none"/>
          <w:lang w:val="en-US" w:eastAsia="zh-CN"/>
        </w:rPr>
        <w:t>管网查漏设备采购</w:t>
      </w:r>
    </w:p>
    <w:tbl>
      <w:tblPr>
        <w:tblStyle w:val="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A1DDD"/>
    <w:multiLevelType w:val="singleLevel"/>
    <w:tmpl w:val="ACAA1DDD"/>
    <w:lvl w:ilvl="0" w:tentative="0">
      <w:start w:val="1"/>
      <w:numFmt w:val="decimal"/>
      <w:suff w:val="nothing"/>
      <w:lvlText w:val="%1、"/>
      <w:lvlJc w:val="left"/>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7">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8">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5"/>
  </w:num>
  <w:num w:numId="2">
    <w:abstractNumId w:val="12"/>
  </w:num>
  <w:num w:numId="3">
    <w:abstractNumId w:val="5"/>
  </w:num>
  <w:num w:numId="4">
    <w:abstractNumId w:val="1"/>
  </w:num>
  <w:num w:numId="5">
    <w:abstractNumId w:val="17"/>
  </w:num>
  <w:num w:numId="6">
    <w:abstractNumId w:val="8"/>
  </w:num>
  <w:num w:numId="7">
    <w:abstractNumId w:val="4"/>
  </w:num>
  <w:num w:numId="8">
    <w:abstractNumId w:val="7"/>
  </w:num>
  <w:num w:numId="9">
    <w:abstractNumId w:val="6"/>
  </w:num>
  <w:num w:numId="10">
    <w:abstractNumId w:val="19"/>
  </w:num>
  <w:num w:numId="11">
    <w:abstractNumId w:val="18"/>
  </w:num>
  <w:num w:numId="12">
    <w:abstractNumId w:val="0"/>
  </w:num>
  <w:num w:numId="13">
    <w:abstractNumId w:val="20"/>
  </w:num>
  <w:num w:numId="14">
    <w:abstractNumId w:val="3"/>
  </w:num>
  <w:num w:numId="15">
    <w:abstractNumId w:val="14"/>
  </w:num>
  <w:num w:numId="16">
    <w:abstractNumId w:val="16"/>
  </w:num>
  <w:num w:numId="17">
    <w:abstractNumId w:val="10"/>
  </w:num>
  <w:num w:numId="18">
    <w:abstractNumId w:val="9"/>
  </w:num>
  <w:num w:numId="19">
    <w:abstractNumId w:val="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0659"/>
    <w:rsid w:val="105F7BEE"/>
    <w:rsid w:val="1C326EE2"/>
    <w:rsid w:val="219C5AD0"/>
    <w:rsid w:val="21EF441B"/>
    <w:rsid w:val="261B75D1"/>
    <w:rsid w:val="2AC216B9"/>
    <w:rsid w:val="315670E0"/>
    <w:rsid w:val="338220BD"/>
    <w:rsid w:val="36A7666B"/>
    <w:rsid w:val="5349618D"/>
    <w:rsid w:val="53DC470C"/>
    <w:rsid w:val="55C8186D"/>
    <w:rsid w:val="605F149E"/>
    <w:rsid w:val="61345013"/>
    <w:rsid w:val="6370437E"/>
    <w:rsid w:val="69A35E39"/>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4">
    <w:name w:val="Hyperlink"/>
    <w:basedOn w:val="3"/>
    <w:unhideWhenUsed/>
    <w:qFormat/>
    <w:uiPriority w:val="99"/>
    <w:rPr>
      <w:color w:val="0000FF"/>
      <w:u w:val="single"/>
    </w:rPr>
  </w:style>
  <w:style w:type="paragraph" w:customStyle="1" w:styleId="6">
    <w:name w:val="列出段落1"/>
    <w:basedOn w:val="1"/>
    <w:unhideWhenUsed/>
    <w:qFormat/>
    <w:uiPriority w:val="0"/>
    <w:pPr>
      <w:ind w:firstLine="420" w:firstLineChars="200"/>
    </w:pPr>
  </w:style>
  <w:style w:type="paragraph" w:styleId="7">
    <w:name w:val="List Paragraph"/>
    <w:basedOn w:val="1"/>
    <w:unhideWhenUsed/>
    <w:qFormat/>
    <w:uiPriority w:val="34"/>
    <w:pPr>
      <w:ind w:firstLine="420" w:firstLineChars="200"/>
    </w:pPr>
  </w:style>
  <w:style w:type="character" w:customStyle="1" w:styleId="8">
    <w:name w:val="font11"/>
    <w:basedOn w:val="3"/>
    <w:qFormat/>
    <w:uiPriority w:val="0"/>
    <w:rPr>
      <w:rFonts w:hint="eastAsia" w:ascii="宋体" w:hAnsi="宋体" w:eastAsia="宋体" w:cs="宋体"/>
      <w:color w:val="000000"/>
      <w:sz w:val="22"/>
      <w:szCs w:val="22"/>
      <w:u w:val="none"/>
    </w:rPr>
  </w:style>
  <w:style w:type="character" w:customStyle="1" w:styleId="9">
    <w:name w:val="font01"/>
    <w:basedOn w:val="3"/>
    <w:qFormat/>
    <w:uiPriority w:val="0"/>
    <w:rPr>
      <w:rFonts w:hint="eastAsia" w:ascii="宋体" w:hAnsi="宋体" w:eastAsia="宋体" w:cs="宋体"/>
      <w:color w:val="FF0000"/>
      <w:sz w:val="22"/>
      <w:szCs w:val="22"/>
      <w:u w:val="none"/>
    </w:rPr>
  </w:style>
  <w:style w:type="character" w:customStyle="1" w:styleId="10">
    <w:name w:val="font2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2023-01-29T06:59:21Z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