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leftChars="0" w:firstLine="0" w:firstLineChars="0"/>
        <w:jc w:val="center"/>
        <w:rPr>
          <w:rFonts w:hint="eastAsia" w:ascii="仿宋" w:hAnsi="仿宋" w:eastAsia="宋体"/>
          <w:b/>
          <w:sz w:val="36"/>
          <w:szCs w:val="36"/>
          <w:highlight w:val="none"/>
          <w:lang w:val="en-US" w:eastAsia="zh-CN"/>
        </w:rPr>
      </w:pPr>
      <w:bookmarkStart w:id="0" w:name="_Hlk102747051"/>
      <w:bookmarkEnd w:id="0"/>
      <w:r>
        <w:rPr>
          <w:rFonts w:hint="eastAsia"/>
          <w:b/>
          <w:sz w:val="28"/>
          <w:szCs w:val="28"/>
          <w:highlight w:val="none"/>
          <w:lang w:eastAsia="zh-CN"/>
        </w:rPr>
        <w:t>广州城投综合能源投资经营管理有限公司广中医药科楼板换间设备拆除和广大教2旁冷冻水管漏水处理工程</w:t>
      </w:r>
    </w:p>
    <w:p>
      <w:pPr>
        <w:tabs>
          <w:tab w:val="left" w:pos="720"/>
        </w:tabs>
        <w:spacing w:before="120" w:beforeLines="50" w:after="120" w:afterLines="50" w:line="360" w:lineRule="auto"/>
        <w:jc w:val="center"/>
        <w:rPr>
          <w:rFonts w:hint="eastAsia" w:eastAsia="宋体"/>
          <w:b/>
          <w:sz w:val="28"/>
          <w:szCs w:val="28"/>
          <w:highlight w:val="none"/>
          <w:lang w:eastAsia="zh-CN"/>
        </w:rPr>
      </w:pPr>
      <w:r>
        <w:rPr>
          <w:rFonts w:hint="eastAsia"/>
          <w:b/>
          <w:sz w:val="28"/>
          <w:szCs w:val="28"/>
          <w:highlight w:val="none"/>
        </w:rPr>
        <w:t>竞选文件</w:t>
      </w:r>
    </w:p>
    <w:p>
      <w:pPr>
        <w:numPr>
          <w:ilvl w:val="0"/>
          <w:numId w:val="1"/>
        </w:numPr>
        <w:spacing w:before="120" w:beforeLines="50" w:after="120" w:afterLines="50" w:line="360" w:lineRule="auto"/>
        <w:ind w:left="0" w:firstLine="482" w:firstLineChars="200"/>
        <w:rPr>
          <w:b/>
          <w:bCs/>
          <w:sz w:val="24"/>
          <w:highlight w:val="none"/>
        </w:rPr>
      </w:pPr>
      <w:r>
        <w:rPr>
          <w:rFonts w:hint="eastAsia"/>
          <w:b/>
          <w:bCs/>
          <w:sz w:val="24"/>
          <w:highlight w:val="none"/>
        </w:rPr>
        <w:t>项目基本情况</w:t>
      </w:r>
    </w:p>
    <w:p>
      <w:pPr>
        <w:numPr>
          <w:ilvl w:val="0"/>
          <w:numId w:val="2"/>
        </w:numPr>
        <w:spacing w:before="120" w:beforeLines="50" w:after="120" w:afterLines="50" w:line="360" w:lineRule="auto"/>
        <w:ind w:left="0" w:firstLine="480" w:firstLineChars="200"/>
        <w:rPr>
          <w:sz w:val="24"/>
          <w:highlight w:val="none"/>
        </w:rPr>
      </w:pPr>
      <w:r>
        <w:rPr>
          <w:rFonts w:hint="eastAsia"/>
          <w:sz w:val="24"/>
          <w:highlight w:val="none"/>
        </w:rPr>
        <w:t>项目名称：</w:t>
      </w:r>
      <w:r>
        <w:rPr>
          <w:rFonts w:hint="eastAsia" w:ascii="宋体"/>
          <w:sz w:val="24"/>
          <w:highlight w:val="none"/>
          <w:lang w:eastAsia="zh-CN"/>
        </w:rPr>
        <w:t>广中医药科楼板换间设备拆除和广大教2旁冷冻水管漏水处理工程</w:t>
      </w:r>
    </w:p>
    <w:p>
      <w:pPr>
        <w:numPr>
          <w:ilvl w:val="0"/>
          <w:numId w:val="2"/>
        </w:numPr>
        <w:spacing w:before="120" w:beforeLines="50" w:after="120" w:afterLines="50" w:line="360" w:lineRule="auto"/>
        <w:ind w:left="0" w:firstLine="480" w:firstLineChars="200"/>
        <w:rPr>
          <w:sz w:val="24"/>
          <w:highlight w:val="none"/>
        </w:rPr>
      </w:pPr>
      <w:r>
        <w:rPr>
          <w:rFonts w:hint="eastAsia"/>
          <w:sz w:val="24"/>
          <w:highlight w:val="none"/>
        </w:rPr>
        <w:t>项目地点：</w:t>
      </w:r>
      <w:r>
        <w:rPr>
          <w:rFonts w:hint="eastAsia"/>
          <w:sz w:val="24"/>
          <w:highlight w:val="none"/>
          <w:lang w:val="en-US" w:eastAsia="zh-CN"/>
        </w:rPr>
        <w:t>大学城</w:t>
      </w:r>
    </w:p>
    <w:p>
      <w:pPr>
        <w:numPr>
          <w:ilvl w:val="0"/>
          <w:numId w:val="2"/>
        </w:numPr>
        <w:spacing w:before="120" w:beforeLines="50" w:after="120" w:afterLines="50" w:line="360" w:lineRule="auto"/>
        <w:ind w:left="0" w:firstLine="480" w:firstLineChars="200"/>
        <w:rPr>
          <w:sz w:val="24"/>
          <w:highlight w:val="none"/>
        </w:rPr>
      </w:pPr>
      <w:r>
        <w:rPr>
          <w:rFonts w:hint="eastAsia"/>
          <w:sz w:val="24"/>
          <w:highlight w:val="none"/>
        </w:rPr>
        <w:t>采购限价：人民币</w:t>
      </w:r>
      <w:r>
        <w:rPr>
          <w:rFonts w:hint="eastAsia"/>
          <w:sz w:val="24"/>
          <w:highlight w:val="none"/>
          <w:lang w:val="en-US" w:eastAsia="zh-CN"/>
        </w:rPr>
        <w:t>3.8</w:t>
      </w:r>
      <w:r>
        <w:rPr>
          <w:rFonts w:hint="eastAsia"/>
          <w:sz w:val="24"/>
          <w:highlight w:val="none"/>
        </w:rPr>
        <w:t>万元（投标报价超过采购限价为无效投标）。</w:t>
      </w:r>
    </w:p>
    <w:p>
      <w:pPr>
        <w:numPr>
          <w:ilvl w:val="0"/>
          <w:numId w:val="2"/>
        </w:numPr>
        <w:spacing w:before="120" w:beforeLines="50" w:after="120" w:afterLines="50" w:line="360" w:lineRule="auto"/>
        <w:ind w:left="0" w:firstLine="480" w:firstLineChars="200"/>
        <w:rPr>
          <w:sz w:val="24"/>
          <w:highlight w:val="none"/>
        </w:rPr>
      </w:pPr>
      <w:r>
        <w:rPr>
          <w:rFonts w:hint="eastAsia"/>
          <w:sz w:val="24"/>
          <w:highlight w:val="none"/>
        </w:rPr>
        <w:t>项目概况</w:t>
      </w:r>
    </w:p>
    <w:p>
      <w:pPr>
        <w:numPr>
          <w:ilvl w:val="0"/>
          <w:numId w:val="0"/>
        </w:numPr>
        <w:spacing w:before="120" w:beforeLines="50" w:after="120" w:afterLines="50"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rPr>
        <w:t>广中医药科楼板换间校方需要改造并作它用，因此需将我司一次侧板换器、管道和阀门等设备拆除运回仓库</w:t>
      </w:r>
      <w:r>
        <w:rPr>
          <w:rFonts w:hint="eastAsia" w:asciiTheme="minorEastAsia" w:hAnsiTheme="minorEastAsia" w:eastAsiaTheme="minorEastAsia" w:cstheme="minorEastAsia"/>
          <w:sz w:val="24"/>
          <w:szCs w:val="24"/>
          <w:highlight w:val="none"/>
          <w:lang w:val="en-US" w:eastAsia="zh-CN"/>
        </w:rPr>
        <w:t>。</w:t>
      </w:r>
    </w:p>
    <w:p>
      <w:pPr>
        <w:numPr>
          <w:ilvl w:val="0"/>
          <w:numId w:val="0"/>
        </w:numPr>
        <w:spacing w:before="120" w:beforeLines="50" w:after="120" w:afterLines="50"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rPr>
        <w:t>广大教2旁冷冻水管漏水点于2022年9月通过设备找到，由于当时供冷负荷较大不具备焊接条件，使用带压补漏装置作了临时处理，现需对管道漏点进行焊接封堵</w:t>
      </w:r>
      <w:r>
        <w:rPr>
          <w:rFonts w:hint="eastAsia" w:asciiTheme="minorEastAsia" w:hAnsiTheme="minorEastAsia" w:eastAsiaTheme="minorEastAsia" w:cstheme="minorEastAsia"/>
          <w:sz w:val="24"/>
          <w:szCs w:val="24"/>
          <w:highlight w:val="none"/>
          <w:lang w:val="en-US" w:eastAsia="zh-CN"/>
        </w:rPr>
        <w:t>。</w:t>
      </w:r>
    </w:p>
    <w:p>
      <w:pPr>
        <w:numPr>
          <w:ilvl w:val="0"/>
          <w:numId w:val="1"/>
        </w:numPr>
        <w:spacing w:before="120" w:beforeLines="50" w:after="120" w:afterLines="50" w:line="360" w:lineRule="auto"/>
        <w:ind w:left="0" w:firstLine="482" w:firstLineChars="200"/>
        <w:rPr>
          <w:b/>
          <w:bCs/>
          <w:sz w:val="24"/>
          <w:highlight w:val="none"/>
        </w:rPr>
      </w:pPr>
      <w:r>
        <w:rPr>
          <w:rFonts w:hint="eastAsia"/>
          <w:b/>
          <w:bCs/>
          <w:sz w:val="24"/>
          <w:highlight w:val="none"/>
        </w:rPr>
        <w:t>合格投标人资格要求</w:t>
      </w:r>
    </w:p>
    <w:p>
      <w:pPr>
        <w:numPr>
          <w:ilvl w:val="0"/>
          <w:numId w:val="3"/>
        </w:numPr>
        <w:spacing w:before="120" w:beforeLines="50" w:after="120" w:afterLines="50" w:line="360" w:lineRule="auto"/>
        <w:ind w:left="0" w:firstLine="480" w:firstLineChars="200"/>
        <w:rPr>
          <w:sz w:val="24"/>
          <w:highlight w:val="none"/>
        </w:rPr>
      </w:pPr>
      <w:r>
        <w:rPr>
          <w:rFonts w:hint="eastAsia"/>
          <w:sz w:val="24"/>
          <w:highlight w:val="none"/>
        </w:rPr>
        <w:t>必须是具有独立承担民事责任能力、在中华人民共和国境内注册的法人，按国家法律经营。</w:t>
      </w:r>
    </w:p>
    <w:p>
      <w:pPr>
        <w:numPr>
          <w:ilvl w:val="0"/>
          <w:numId w:val="3"/>
        </w:numPr>
        <w:spacing w:before="120" w:beforeLines="50" w:after="120" w:afterLines="50" w:line="360" w:lineRule="auto"/>
        <w:ind w:left="0" w:firstLine="480" w:firstLineChars="200"/>
        <w:rPr>
          <w:sz w:val="24"/>
          <w:highlight w:val="none"/>
        </w:rPr>
      </w:pPr>
      <w:r>
        <w:rPr>
          <w:rFonts w:hint="eastAsia"/>
          <w:sz w:val="24"/>
          <w:highlight w:val="none"/>
        </w:rPr>
        <w:t>具备有效的工商营业执照、企业法人组织机构代码证书、税务登记证书（或三证合一）。</w:t>
      </w:r>
    </w:p>
    <w:p>
      <w:pPr>
        <w:numPr>
          <w:ilvl w:val="0"/>
          <w:numId w:val="3"/>
        </w:numPr>
        <w:spacing w:before="120" w:beforeLines="50" w:after="120" w:afterLines="50" w:line="360" w:lineRule="auto"/>
        <w:ind w:left="0" w:firstLine="480" w:firstLineChars="200"/>
        <w:rPr>
          <w:rFonts w:hint="eastAsia" w:ascii="宋体" w:hAnsi="宋体" w:eastAsia="宋体"/>
          <w:sz w:val="24"/>
          <w:szCs w:val="24"/>
          <w:highlight w:val="none"/>
        </w:rPr>
      </w:pPr>
      <w:r>
        <w:rPr>
          <w:sz w:val="24"/>
          <w:highlight w:val="none"/>
        </w:rPr>
        <w:t>已办理合法税务登记，具有开具相应增值税专用发票资格</w:t>
      </w:r>
      <w:r>
        <w:rPr>
          <w:rFonts w:hint="eastAsia"/>
          <w:sz w:val="24"/>
          <w:highlight w:val="none"/>
        </w:rPr>
        <w:t>。</w:t>
      </w:r>
      <w:bookmarkStart w:id="1" w:name="_Hlk50641340"/>
      <w:bookmarkStart w:id="2" w:name="_Hlk45716001"/>
    </w:p>
    <w:p>
      <w:pPr>
        <w:numPr>
          <w:ilvl w:val="0"/>
          <w:numId w:val="3"/>
        </w:numPr>
        <w:spacing w:before="120" w:beforeLines="50" w:after="120" w:afterLines="50" w:line="360" w:lineRule="auto"/>
        <w:ind w:left="0" w:firstLine="480" w:firstLineChars="200"/>
        <w:rPr>
          <w:sz w:val="24"/>
          <w:highlight w:val="none"/>
        </w:rPr>
      </w:pPr>
      <w:r>
        <w:rPr>
          <w:rFonts w:hint="eastAsia" w:ascii="宋体" w:hAnsi="宋体" w:eastAsia="宋体"/>
          <w:sz w:val="24"/>
          <w:szCs w:val="24"/>
          <w:highlight w:val="none"/>
        </w:rPr>
        <w:t>具</w:t>
      </w:r>
      <w:r>
        <w:rPr>
          <w:rFonts w:hint="eastAsia" w:ascii="宋体" w:hAnsi="宋体" w:eastAsia="宋体"/>
          <w:sz w:val="24"/>
          <w:szCs w:val="24"/>
          <w:highlight w:val="none"/>
          <w:lang w:val="en-US" w:eastAsia="zh-CN"/>
        </w:rPr>
        <w:t>有机电</w:t>
      </w:r>
      <w:r>
        <w:rPr>
          <w:rFonts w:hint="eastAsia" w:ascii="宋体" w:hAnsi="宋体" w:eastAsia="宋体"/>
          <w:sz w:val="24"/>
          <w:szCs w:val="24"/>
          <w:highlight w:val="none"/>
        </w:rPr>
        <w:t>工程施工总承包叁级及以上资质</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或具有</w:t>
      </w:r>
      <w:r>
        <w:rPr>
          <w:rFonts w:hint="eastAsia"/>
          <w:sz w:val="24"/>
          <w:highlight w:val="none"/>
          <w:lang w:val="en-US" w:eastAsia="zh-CN"/>
        </w:rPr>
        <w:t>建筑</w:t>
      </w:r>
      <w:r>
        <w:rPr>
          <w:rFonts w:hint="eastAsia"/>
          <w:sz w:val="24"/>
          <w:highlight w:val="none"/>
        </w:rPr>
        <w:t>机电安装工程专业承包三级</w:t>
      </w:r>
      <w:r>
        <w:rPr>
          <w:rFonts w:hint="eastAsia"/>
          <w:sz w:val="24"/>
          <w:highlight w:val="none"/>
          <w:lang w:val="en-US" w:eastAsia="zh-CN"/>
        </w:rPr>
        <w:t>及</w:t>
      </w:r>
      <w:r>
        <w:rPr>
          <w:rFonts w:hint="eastAsia"/>
          <w:sz w:val="24"/>
          <w:highlight w:val="none"/>
        </w:rPr>
        <w:t>以上资质</w:t>
      </w:r>
      <w:r>
        <w:rPr>
          <w:rFonts w:hint="eastAsia"/>
          <w:sz w:val="24"/>
          <w:highlight w:val="none"/>
          <w:lang w:eastAsia="zh-CN"/>
        </w:rPr>
        <w:t>。</w:t>
      </w:r>
    </w:p>
    <w:bookmarkEnd w:id="1"/>
    <w:bookmarkEnd w:id="2"/>
    <w:p>
      <w:pPr>
        <w:numPr>
          <w:ilvl w:val="0"/>
          <w:numId w:val="3"/>
        </w:numPr>
        <w:spacing w:before="120" w:beforeLines="50" w:after="120" w:afterLines="50" w:line="360" w:lineRule="auto"/>
        <w:ind w:left="0" w:firstLine="480" w:firstLineChars="200"/>
        <w:rPr>
          <w:sz w:val="24"/>
          <w:highlight w:val="none"/>
        </w:rPr>
      </w:pPr>
      <w:r>
        <w:rPr>
          <w:rFonts w:hint="eastAsia"/>
          <w:sz w:val="24"/>
          <w:highlight w:val="none"/>
        </w:rPr>
        <w:t>投标人近3年内(20</w:t>
      </w:r>
      <w:r>
        <w:rPr>
          <w:rFonts w:hint="eastAsia"/>
          <w:sz w:val="24"/>
          <w:highlight w:val="none"/>
          <w:lang w:val="en-US" w:eastAsia="zh-CN"/>
        </w:rPr>
        <w:t>20</w:t>
      </w:r>
      <w:r>
        <w:rPr>
          <w:rFonts w:hint="eastAsia"/>
          <w:sz w:val="24"/>
          <w:highlight w:val="none"/>
        </w:rPr>
        <w:t>年1月1日至今) 完成过质量合格的类似项目业绩（需提供合同</w:t>
      </w:r>
      <w:r>
        <w:rPr>
          <w:rFonts w:hint="eastAsia" w:ascii="宋体" w:hAnsi="宋体" w:eastAsia="宋体"/>
          <w:sz w:val="24"/>
          <w:szCs w:val="24"/>
          <w:lang w:val="en-US" w:eastAsia="zh-CN"/>
        </w:rPr>
        <w:t>和验收报告</w:t>
      </w:r>
      <w:r>
        <w:rPr>
          <w:rFonts w:hint="eastAsia"/>
          <w:sz w:val="24"/>
          <w:highlight w:val="none"/>
        </w:rPr>
        <w:t>等相关证明材料复印件，完成时间以竣工验收时间为准）。</w:t>
      </w:r>
    </w:p>
    <w:p>
      <w:pPr>
        <w:numPr>
          <w:ilvl w:val="0"/>
          <w:numId w:val="3"/>
        </w:numPr>
        <w:spacing w:before="120" w:beforeLines="50" w:after="120" w:afterLines="50" w:line="360" w:lineRule="auto"/>
        <w:ind w:left="0" w:firstLine="480" w:firstLineChars="200"/>
        <w:rPr>
          <w:sz w:val="24"/>
          <w:highlight w:val="none"/>
        </w:rPr>
      </w:pPr>
      <w:r>
        <w:rPr>
          <w:rFonts w:hint="eastAsia"/>
          <w:sz w:val="24"/>
          <w:highlight w:val="none"/>
        </w:rPr>
        <w:t>不接受联合体报价。</w:t>
      </w:r>
    </w:p>
    <w:p>
      <w:pPr>
        <w:numPr>
          <w:ilvl w:val="0"/>
          <w:numId w:val="1"/>
        </w:numPr>
        <w:spacing w:before="120" w:beforeLines="50" w:after="120" w:afterLines="50" w:line="360" w:lineRule="auto"/>
        <w:ind w:left="0" w:firstLine="482" w:firstLineChars="200"/>
        <w:rPr>
          <w:b/>
          <w:bCs/>
          <w:sz w:val="24"/>
          <w:highlight w:val="none"/>
        </w:rPr>
      </w:pPr>
      <w:r>
        <w:rPr>
          <w:rFonts w:hint="eastAsia"/>
          <w:b/>
          <w:bCs/>
          <w:sz w:val="24"/>
          <w:highlight w:val="none"/>
        </w:rPr>
        <w:t>项目内容及要求</w:t>
      </w:r>
    </w:p>
    <w:p>
      <w:pPr>
        <w:spacing w:before="120" w:beforeLines="50" w:after="120" w:afterLines="50" w:line="360" w:lineRule="auto"/>
        <w:ind w:firstLine="480" w:firstLineChars="200"/>
        <w:rPr>
          <w:rFonts w:hint="eastAsia" w:ascii="宋体" w:hAnsi="宋体" w:eastAsiaTheme="minorEastAsia"/>
          <w:sz w:val="24"/>
          <w:highlight w:val="none"/>
          <w:lang w:val="en-US" w:eastAsia="zh-CN"/>
        </w:rPr>
      </w:pPr>
      <w:r>
        <w:rPr>
          <w:rFonts w:hint="eastAsia" w:asciiTheme="minorEastAsia" w:hAnsiTheme="minorEastAsia" w:eastAsiaTheme="minorEastAsia" w:cstheme="minorEastAsia"/>
          <w:sz w:val="24"/>
          <w:szCs w:val="24"/>
        </w:rPr>
        <w:t>本工作地点位于</w:t>
      </w:r>
      <w:r>
        <w:rPr>
          <w:rFonts w:hint="eastAsia" w:asciiTheme="minorEastAsia" w:hAnsiTheme="minorEastAsia" w:eastAsiaTheme="minorEastAsia" w:cstheme="minorEastAsia"/>
          <w:sz w:val="24"/>
          <w:szCs w:val="24"/>
          <w:lang w:val="en-US" w:eastAsia="zh-CN"/>
        </w:rPr>
        <w:t>大学城</w:t>
      </w:r>
      <w:r>
        <w:rPr>
          <w:rFonts w:hint="eastAsia" w:asciiTheme="minorEastAsia" w:hAnsiTheme="minorEastAsia" w:eastAsiaTheme="minorEastAsia" w:cstheme="minorEastAsia"/>
          <w:sz w:val="24"/>
          <w:szCs w:val="24"/>
        </w:rPr>
        <w:t>广中医药科楼板换间和广大教2旁，主要工作内容包括管道拆除和运输、板换拆除和运输、道路开挖、绿化开挖、管道封堵等内容</w:t>
      </w:r>
      <w:r>
        <w:rPr>
          <w:rFonts w:hint="eastAsia" w:asciiTheme="minorEastAsia" w:hAnsiTheme="minorEastAsia" w:eastAsiaTheme="minorEastAsia" w:cstheme="minorEastAsia"/>
          <w:sz w:val="24"/>
          <w:szCs w:val="24"/>
          <w:lang w:eastAsia="zh-CN"/>
        </w:rPr>
        <w:t>。</w:t>
      </w:r>
    </w:p>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工程量及材料说明</w:t>
      </w:r>
    </w:p>
    <w:p>
      <w:pPr>
        <w:spacing w:before="120" w:beforeLines="50" w:after="120" w:afterLines="50" w:line="360" w:lineRule="auto"/>
        <w:ind w:firstLine="480" w:firstLineChars="200"/>
        <w:rPr>
          <w:rFonts w:hint="eastAsia" w:ascii="宋体" w:hAnsi="宋体"/>
          <w:sz w:val="24"/>
          <w:highlight w:val="none"/>
        </w:rPr>
      </w:pPr>
      <w:r>
        <w:rPr>
          <w:rFonts w:hint="eastAsia" w:ascii="宋体" w:hAnsi="宋体"/>
          <w:sz w:val="24"/>
          <w:highlight w:val="none"/>
        </w:rPr>
        <w:t>以下工程量仅作参考，本项目由投标人包工包料，投标人</w:t>
      </w:r>
      <w:r>
        <w:rPr>
          <w:rFonts w:hint="eastAsia" w:ascii="宋体" w:hAnsi="宋体"/>
          <w:sz w:val="24"/>
          <w:highlight w:val="none"/>
          <w:lang w:val="en-US" w:eastAsia="zh-CN"/>
        </w:rPr>
        <w:t>应</w:t>
      </w:r>
      <w:r>
        <w:rPr>
          <w:rFonts w:hint="eastAsia" w:ascii="宋体" w:hAnsi="宋体"/>
          <w:sz w:val="24"/>
          <w:highlight w:val="none"/>
        </w:rPr>
        <w:t>勘踏现场后，应根据下表及结合现场实际情况综合考虑再进行报价。</w:t>
      </w:r>
    </w:p>
    <w:p>
      <w:pPr>
        <w:ind w:firstLine="480" w:firstLineChars="200"/>
        <w:rPr>
          <w:rFonts w:ascii="宋体" w:hAnsi="宋体"/>
          <w:sz w:val="24"/>
          <w:szCs w:val="24"/>
        </w:rPr>
      </w:pPr>
      <w:r>
        <w:rPr>
          <w:rFonts w:hint="eastAsia" w:ascii="宋体" w:hAnsi="宋体"/>
          <w:sz w:val="24"/>
          <w:szCs w:val="24"/>
        </w:rPr>
        <w:t>施工单位提供的主要材料规格需满足如下的要求（所有材料需经</w:t>
      </w:r>
      <w:r>
        <w:rPr>
          <w:rFonts w:hint="eastAsia" w:ascii="宋体" w:hAnsi="宋体"/>
          <w:sz w:val="24"/>
          <w:szCs w:val="24"/>
          <w:lang w:val="en-US" w:eastAsia="zh-CN"/>
        </w:rPr>
        <w:t>采购人</w:t>
      </w:r>
      <w:r>
        <w:rPr>
          <w:rFonts w:hint="eastAsia" w:ascii="宋体" w:hAnsi="宋体"/>
          <w:sz w:val="24"/>
          <w:szCs w:val="24"/>
        </w:rPr>
        <w:t>核查后方可使用）：</w:t>
      </w:r>
    </w:p>
    <w:tbl>
      <w:tblPr>
        <w:tblStyle w:val="23"/>
        <w:tblW w:w="8222" w:type="dxa"/>
        <w:tblInd w:w="108" w:type="dxa"/>
        <w:tblLayout w:type="fixed"/>
        <w:tblCellMar>
          <w:top w:w="15" w:type="dxa"/>
          <w:left w:w="15" w:type="dxa"/>
          <w:bottom w:w="15" w:type="dxa"/>
          <w:right w:w="15" w:type="dxa"/>
        </w:tblCellMar>
      </w:tblPr>
      <w:tblGrid>
        <w:gridCol w:w="2127"/>
        <w:gridCol w:w="2976"/>
        <w:gridCol w:w="993"/>
        <w:gridCol w:w="850"/>
        <w:gridCol w:w="1276"/>
      </w:tblGrid>
      <w:tr>
        <w:tblPrEx>
          <w:tblLayout w:type="fixed"/>
          <w:tblCellMar>
            <w:top w:w="15" w:type="dxa"/>
            <w:left w:w="15" w:type="dxa"/>
            <w:bottom w:w="15" w:type="dxa"/>
            <w:right w:w="15" w:type="dxa"/>
          </w:tblCellMar>
        </w:tblPrEx>
        <w:trPr>
          <w:trHeight w:val="285" w:hRule="atLeast"/>
        </w:trPr>
        <w:tc>
          <w:tcPr>
            <w:tcW w:w="21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名称</w:t>
            </w:r>
          </w:p>
        </w:tc>
        <w:tc>
          <w:tcPr>
            <w:tcW w:w="297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规格</w:t>
            </w:r>
          </w:p>
        </w:tc>
        <w:tc>
          <w:tcPr>
            <w:tcW w:w="99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单位</w:t>
            </w:r>
          </w:p>
        </w:tc>
        <w:tc>
          <w:tcPr>
            <w:tcW w:w="85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数量</w:t>
            </w:r>
          </w:p>
        </w:tc>
        <w:tc>
          <w:tcPr>
            <w:tcW w:w="127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备注</w:t>
            </w:r>
          </w:p>
        </w:tc>
      </w:tr>
      <w:tr>
        <w:tblPrEx>
          <w:tblLayout w:type="fixed"/>
          <w:tblCellMar>
            <w:top w:w="15" w:type="dxa"/>
            <w:left w:w="15" w:type="dxa"/>
            <w:bottom w:w="15" w:type="dxa"/>
            <w:right w:w="15" w:type="dxa"/>
          </w:tblCellMar>
        </w:tblPrEx>
        <w:trPr>
          <w:trHeight w:val="446" w:hRule="atLeast"/>
        </w:trPr>
        <w:tc>
          <w:tcPr>
            <w:tcW w:w="21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盲板</w:t>
            </w:r>
          </w:p>
        </w:tc>
        <w:tc>
          <w:tcPr>
            <w:tcW w:w="297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sz w:val="24"/>
                <w:szCs w:val="24"/>
              </w:rPr>
            </w:pPr>
            <w:r>
              <w:rPr>
                <w:rFonts w:ascii="Arial" w:hAnsi="Arial" w:cs="Arial"/>
                <w:color w:val="333333"/>
                <w:sz w:val="24"/>
                <w:szCs w:val="24"/>
                <w:shd w:val="clear" w:color="auto" w:fill="FFFFFF"/>
              </w:rPr>
              <w:t>DN150</w:t>
            </w:r>
          </w:p>
        </w:tc>
        <w:tc>
          <w:tcPr>
            <w:tcW w:w="99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 w:val="24"/>
                <w:szCs w:val="24"/>
              </w:rPr>
            </w:pPr>
            <w:r>
              <w:rPr>
                <w:rFonts w:hint="eastAsia" w:ascii="宋体" w:hAnsi="宋体"/>
                <w:kern w:val="0"/>
                <w:sz w:val="24"/>
                <w:szCs w:val="24"/>
              </w:rPr>
              <w:t>对</w:t>
            </w:r>
          </w:p>
        </w:tc>
        <w:tc>
          <w:tcPr>
            <w:tcW w:w="85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1</w:t>
            </w:r>
          </w:p>
        </w:tc>
        <w:tc>
          <w:tcPr>
            <w:tcW w:w="127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sz w:val="24"/>
                <w:szCs w:val="24"/>
              </w:rPr>
            </w:pPr>
          </w:p>
        </w:tc>
      </w:tr>
    </w:tbl>
    <w:p>
      <w:pPr>
        <w:spacing w:before="120" w:beforeLines="50" w:after="120" w:afterLines="50" w:line="360" w:lineRule="auto"/>
        <w:jc w:val="center"/>
        <w:rPr>
          <w:rFonts w:hint="eastAsia" w:ascii="宋体" w:hAnsi="宋体"/>
          <w:b/>
          <w:sz w:val="28"/>
          <w:szCs w:val="28"/>
          <w:highlight w:val="none"/>
        </w:rPr>
      </w:pPr>
      <w:r>
        <w:rPr>
          <w:rFonts w:hint="eastAsia" w:ascii="宋体" w:hAnsi="宋体"/>
          <w:b/>
          <w:sz w:val="28"/>
          <w:szCs w:val="28"/>
          <w:highlight w:val="none"/>
        </w:rPr>
        <w:t>主要工程量清单</w:t>
      </w:r>
    </w:p>
    <w:tbl>
      <w:tblPr>
        <w:tblStyle w:val="23"/>
        <w:tblW w:w="8758" w:type="dxa"/>
        <w:jc w:val="center"/>
        <w:tblInd w:w="0" w:type="dxa"/>
        <w:tblLayout w:type="fixed"/>
        <w:tblCellMar>
          <w:top w:w="0" w:type="dxa"/>
          <w:left w:w="108" w:type="dxa"/>
          <w:bottom w:w="0" w:type="dxa"/>
          <w:right w:w="108" w:type="dxa"/>
        </w:tblCellMar>
      </w:tblPr>
      <w:tblGrid>
        <w:gridCol w:w="456"/>
        <w:gridCol w:w="1779"/>
        <w:gridCol w:w="567"/>
        <w:gridCol w:w="737"/>
        <w:gridCol w:w="2843"/>
        <w:gridCol w:w="2376"/>
      </w:tblGrid>
      <w:tr>
        <w:tblPrEx>
          <w:tblLayout w:type="fixed"/>
          <w:tblCellMar>
            <w:top w:w="0" w:type="dxa"/>
            <w:left w:w="108" w:type="dxa"/>
            <w:bottom w:w="0" w:type="dxa"/>
            <w:right w:w="108" w:type="dxa"/>
          </w:tblCellMar>
        </w:tblPrEx>
        <w:trPr>
          <w:jc w:val="center"/>
        </w:trPr>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序号</w:t>
            </w:r>
          </w:p>
        </w:tc>
        <w:tc>
          <w:tcPr>
            <w:tcW w:w="177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项目</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单位</w:t>
            </w:r>
          </w:p>
        </w:tc>
        <w:tc>
          <w:tcPr>
            <w:tcW w:w="73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数量</w:t>
            </w:r>
          </w:p>
        </w:tc>
        <w:tc>
          <w:tcPr>
            <w:tcW w:w="284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项目描述</w:t>
            </w:r>
          </w:p>
        </w:tc>
        <w:tc>
          <w:tcPr>
            <w:tcW w:w="2376"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备注</w:t>
            </w:r>
          </w:p>
        </w:tc>
      </w:tr>
      <w:tr>
        <w:tblPrEx>
          <w:tblLayout w:type="fixed"/>
          <w:tblCellMar>
            <w:top w:w="0" w:type="dxa"/>
            <w:left w:w="108" w:type="dxa"/>
            <w:bottom w:w="0" w:type="dxa"/>
            <w:right w:w="108" w:type="dxa"/>
          </w:tblCellMar>
        </w:tblPrEx>
        <w:trPr>
          <w:trHeight w:val="844"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w:t>
            </w:r>
          </w:p>
        </w:tc>
        <w:tc>
          <w:tcPr>
            <w:tcW w:w="1779"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管道拆除与运输</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ascii="宋体" w:hAnsi="宋体"/>
                <w:sz w:val="24"/>
                <w:szCs w:val="24"/>
              </w:rPr>
              <w:t>M</w:t>
            </w:r>
          </w:p>
        </w:tc>
        <w:tc>
          <w:tcPr>
            <w:tcW w:w="73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ascii="宋体" w:hAnsi="宋体"/>
                <w:sz w:val="24"/>
                <w:szCs w:val="24"/>
              </w:rPr>
              <w:t>15</w:t>
            </w:r>
          </w:p>
        </w:tc>
        <w:tc>
          <w:tcPr>
            <w:tcW w:w="2843" w:type="dxa"/>
            <w:tcBorders>
              <w:top w:val="single" w:color="auto" w:sz="4" w:space="0"/>
              <w:left w:val="nil"/>
              <w:bottom w:val="single" w:color="auto" w:sz="4" w:space="0"/>
              <w:right w:val="single" w:color="auto" w:sz="4" w:space="0"/>
            </w:tcBorders>
            <w:vAlign w:val="center"/>
          </w:tcPr>
          <w:p>
            <w:pPr>
              <w:jc w:val="left"/>
              <w:rPr>
                <w:rFonts w:ascii="宋体" w:hAnsi="宋体"/>
                <w:sz w:val="24"/>
                <w:szCs w:val="24"/>
              </w:rPr>
            </w:pPr>
            <w:r>
              <w:rPr>
                <w:rFonts w:ascii="宋体" w:hAnsi="宋体"/>
                <w:sz w:val="24"/>
                <w:szCs w:val="24"/>
              </w:rPr>
              <w:t>DN150</w:t>
            </w:r>
            <w:r>
              <w:rPr>
                <w:rFonts w:hint="eastAsia" w:ascii="宋体" w:hAnsi="宋体"/>
                <w:sz w:val="24"/>
                <w:szCs w:val="24"/>
              </w:rPr>
              <w:t>管道拆除并运输至4#站仓库</w:t>
            </w:r>
          </w:p>
        </w:tc>
        <w:tc>
          <w:tcPr>
            <w:tcW w:w="2376"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广医药科楼板换间内</w:t>
            </w:r>
          </w:p>
        </w:tc>
      </w:tr>
      <w:tr>
        <w:tblPrEx>
          <w:tblLayout w:type="fixed"/>
          <w:tblCellMar>
            <w:top w:w="0" w:type="dxa"/>
            <w:left w:w="108" w:type="dxa"/>
            <w:bottom w:w="0" w:type="dxa"/>
            <w:right w:w="108" w:type="dxa"/>
          </w:tblCellMar>
        </w:tblPrEx>
        <w:trPr>
          <w:trHeight w:val="2034" w:hRule="atLeast"/>
          <w:jc w:val="center"/>
        </w:trPr>
        <w:tc>
          <w:tcPr>
            <w:tcW w:w="456" w:type="dxa"/>
            <w:vMerge w:val="restart"/>
            <w:tcBorders>
              <w:top w:val="single" w:color="auto" w:sz="4" w:space="0"/>
              <w:left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w:t>
            </w:r>
          </w:p>
        </w:tc>
        <w:tc>
          <w:tcPr>
            <w:tcW w:w="1779" w:type="dxa"/>
            <w:vMerge w:val="restart"/>
            <w:tcBorders>
              <w:top w:val="single" w:color="auto" w:sz="4" w:space="0"/>
              <w:left w:val="nil"/>
              <w:right w:val="single" w:color="auto" w:sz="4" w:space="0"/>
            </w:tcBorders>
            <w:vAlign w:val="center"/>
          </w:tcPr>
          <w:p>
            <w:pPr>
              <w:rPr>
                <w:rFonts w:ascii="宋体" w:hAnsi="宋体"/>
                <w:sz w:val="24"/>
                <w:szCs w:val="24"/>
              </w:rPr>
            </w:pPr>
            <w:r>
              <w:rPr>
                <w:rFonts w:hint="eastAsia" w:ascii="宋体" w:hAnsi="宋体"/>
                <w:sz w:val="24"/>
                <w:szCs w:val="24"/>
              </w:rPr>
              <w:t>板换器拆除与运输</w:t>
            </w:r>
          </w:p>
        </w:tc>
        <w:tc>
          <w:tcPr>
            <w:tcW w:w="567" w:type="dxa"/>
            <w:vMerge w:val="restart"/>
            <w:tcBorders>
              <w:top w:val="single" w:color="auto" w:sz="4" w:space="0"/>
              <w:left w:val="nil"/>
              <w:right w:val="single" w:color="auto" w:sz="4" w:space="0"/>
            </w:tcBorders>
            <w:vAlign w:val="center"/>
          </w:tcPr>
          <w:p>
            <w:pPr>
              <w:jc w:val="center"/>
              <w:rPr>
                <w:rFonts w:ascii="宋体" w:hAnsi="宋体"/>
                <w:sz w:val="24"/>
                <w:szCs w:val="24"/>
              </w:rPr>
            </w:pPr>
            <w:r>
              <w:rPr>
                <w:rFonts w:hint="eastAsia" w:ascii="宋体" w:hAnsi="宋体"/>
                <w:sz w:val="24"/>
                <w:szCs w:val="24"/>
              </w:rPr>
              <w:t>个</w:t>
            </w:r>
          </w:p>
        </w:tc>
        <w:tc>
          <w:tcPr>
            <w:tcW w:w="737" w:type="dxa"/>
            <w:vMerge w:val="restart"/>
            <w:tcBorders>
              <w:top w:val="single" w:color="auto" w:sz="4" w:space="0"/>
              <w:left w:val="nil"/>
              <w:right w:val="single" w:color="auto" w:sz="4" w:space="0"/>
            </w:tcBorders>
            <w:vAlign w:val="center"/>
          </w:tcPr>
          <w:p>
            <w:pPr>
              <w:jc w:val="center"/>
              <w:rPr>
                <w:rFonts w:ascii="宋体" w:hAnsi="宋体"/>
                <w:sz w:val="24"/>
                <w:szCs w:val="24"/>
              </w:rPr>
            </w:pPr>
            <w:r>
              <w:rPr>
                <w:rFonts w:hint="eastAsia" w:ascii="宋体" w:hAnsi="宋体"/>
                <w:sz w:val="24"/>
                <w:szCs w:val="24"/>
              </w:rPr>
              <w:t>1</w:t>
            </w:r>
          </w:p>
        </w:tc>
        <w:tc>
          <w:tcPr>
            <w:tcW w:w="2843" w:type="dxa"/>
            <w:tcBorders>
              <w:top w:val="single" w:color="auto" w:sz="4" w:space="0"/>
              <w:left w:val="nil"/>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085型板换器解体拆除后将板片、板换器框架运送至4#站仓库，需保护性拆除</w:t>
            </w:r>
          </w:p>
        </w:tc>
        <w:tc>
          <w:tcPr>
            <w:tcW w:w="2376" w:type="dxa"/>
            <w:vMerge w:val="restart"/>
            <w:tcBorders>
              <w:top w:val="single" w:color="auto" w:sz="4" w:space="0"/>
              <w:left w:val="nil"/>
              <w:right w:val="single" w:color="auto" w:sz="4" w:space="0"/>
            </w:tcBorders>
            <w:vAlign w:val="center"/>
          </w:tcPr>
          <w:p>
            <w:pPr>
              <w:rPr>
                <w:rFonts w:ascii="宋体" w:hAnsi="宋体"/>
                <w:sz w:val="24"/>
                <w:szCs w:val="24"/>
              </w:rPr>
            </w:pPr>
            <w:r>
              <w:rPr>
                <w:rFonts w:hint="eastAsia" w:ascii="宋体" w:hAnsi="宋体"/>
                <w:sz w:val="24"/>
                <w:szCs w:val="24"/>
              </w:rPr>
              <w:t>广医药科楼板换间内</w:t>
            </w:r>
          </w:p>
        </w:tc>
      </w:tr>
      <w:tr>
        <w:tblPrEx>
          <w:tblLayout w:type="fixed"/>
          <w:tblCellMar>
            <w:top w:w="0" w:type="dxa"/>
            <w:left w:w="108" w:type="dxa"/>
            <w:bottom w:w="0" w:type="dxa"/>
            <w:right w:w="108" w:type="dxa"/>
          </w:tblCellMar>
        </w:tblPrEx>
        <w:trPr>
          <w:trHeight w:val="2034" w:hRule="atLeast"/>
          <w:jc w:val="center"/>
        </w:trPr>
        <w:tc>
          <w:tcPr>
            <w:tcW w:w="456" w:type="dxa"/>
            <w:vMerge w:val="continue"/>
            <w:tcBorders>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779" w:type="dxa"/>
            <w:vMerge w:val="continue"/>
            <w:tcBorders>
              <w:left w:val="nil"/>
              <w:bottom w:val="single" w:color="auto" w:sz="4" w:space="0"/>
              <w:right w:val="single" w:color="auto" w:sz="4" w:space="0"/>
            </w:tcBorders>
            <w:vAlign w:val="center"/>
          </w:tcPr>
          <w:p>
            <w:pPr>
              <w:rPr>
                <w:rFonts w:ascii="宋体" w:hAnsi="宋体"/>
                <w:sz w:val="24"/>
                <w:szCs w:val="24"/>
              </w:rPr>
            </w:pPr>
          </w:p>
        </w:tc>
        <w:tc>
          <w:tcPr>
            <w:tcW w:w="567" w:type="dxa"/>
            <w:vMerge w:val="continue"/>
            <w:tcBorders>
              <w:left w:val="nil"/>
              <w:bottom w:val="single" w:color="auto" w:sz="4" w:space="0"/>
              <w:right w:val="single" w:color="auto" w:sz="4" w:space="0"/>
            </w:tcBorders>
            <w:vAlign w:val="center"/>
          </w:tcPr>
          <w:p>
            <w:pPr>
              <w:jc w:val="center"/>
              <w:rPr>
                <w:rFonts w:ascii="宋体" w:hAnsi="宋体"/>
                <w:sz w:val="24"/>
                <w:szCs w:val="24"/>
              </w:rPr>
            </w:pPr>
          </w:p>
        </w:tc>
        <w:tc>
          <w:tcPr>
            <w:tcW w:w="737" w:type="dxa"/>
            <w:vMerge w:val="continue"/>
            <w:tcBorders>
              <w:left w:val="nil"/>
              <w:bottom w:val="single" w:color="auto" w:sz="4" w:space="0"/>
              <w:right w:val="single" w:color="auto" w:sz="4" w:space="0"/>
            </w:tcBorders>
            <w:vAlign w:val="center"/>
          </w:tcPr>
          <w:p>
            <w:pPr>
              <w:jc w:val="center"/>
              <w:rPr>
                <w:rFonts w:ascii="宋体" w:hAnsi="宋体"/>
                <w:sz w:val="24"/>
                <w:szCs w:val="24"/>
              </w:rPr>
            </w:pPr>
          </w:p>
        </w:tc>
        <w:tc>
          <w:tcPr>
            <w:tcW w:w="2843" w:type="dxa"/>
            <w:tcBorders>
              <w:top w:val="single" w:color="auto" w:sz="4" w:space="0"/>
              <w:left w:val="nil"/>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085型板换器整体拆除并运送至4#站仓库，需保护性拆除</w:t>
            </w:r>
          </w:p>
        </w:tc>
        <w:tc>
          <w:tcPr>
            <w:tcW w:w="2376" w:type="dxa"/>
            <w:vMerge w:val="continue"/>
            <w:tcBorders>
              <w:left w:val="nil"/>
              <w:bottom w:val="single" w:color="auto" w:sz="4" w:space="0"/>
              <w:right w:val="single" w:color="auto" w:sz="4" w:space="0"/>
            </w:tcBorders>
            <w:vAlign w:val="center"/>
          </w:tcPr>
          <w:p>
            <w:pPr>
              <w:rPr>
                <w:rFonts w:ascii="宋体" w:hAnsi="宋体"/>
                <w:sz w:val="24"/>
                <w:szCs w:val="24"/>
              </w:rPr>
            </w:pPr>
          </w:p>
        </w:tc>
      </w:tr>
      <w:tr>
        <w:tblPrEx>
          <w:tblLayout w:type="fixed"/>
          <w:tblCellMar>
            <w:top w:w="0" w:type="dxa"/>
            <w:left w:w="108" w:type="dxa"/>
            <w:bottom w:w="0" w:type="dxa"/>
            <w:right w:w="108" w:type="dxa"/>
          </w:tblCellMar>
        </w:tblPrEx>
        <w:trPr>
          <w:trHeight w:val="841"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3</w:t>
            </w:r>
          </w:p>
        </w:tc>
        <w:tc>
          <w:tcPr>
            <w:tcW w:w="1779"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电动开关阀拆除与运输</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个</w:t>
            </w:r>
          </w:p>
        </w:tc>
        <w:tc>
          <w:tcPr>
            <w:tcW w:w="73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w:t>
            </w:r>
          </w:p>
        </w:tc>
        <w:tc>
          <w:tcPr>
            <w:tcW w:w="2843" w:type="dxa"/>
            <w:tcBorders>
              <w:top w:val="single" w:color="auto" w:sz="4" w:space="0"/>
              <w:left w:val="nil"/>
              <w:bottom w:val="single" w:color="auto" w:sz="4" w:space="0"/>
              <w:right w:val="single" w:color="auto" w:sz="4" w:space="0"/>
            </w:tcBorders>
            <w:vAlign w:val="center"/>
          </w:tcPr>
          <w:p>
            <w:pPr>
              <w:spacing w:line="360" w:lineRule="auto"/>
              <w:rPr>
                <w:sz w:val="24"/>
                <w:szCs w:val="24"/>
              </w:rPr>
            </w:pPr>
            <w:r>
              <w:rPr>
                <w:rFonts w:hint="eastAsia" w:ascii="宋体" w:hAnsi="宋体"/>
                <w:sz w:val="24"/>
                <w:szCs w:val="24"/>
              </w:rPr>
              <w:t>D</w:t>
            </w:r>
            <w:r>
              <w:rPr>
                <w:rFonts w:ascii="宋体" w:hAnsi="宋体"/>
                <w:sz w:val="24"/>
                <w:szCs w:val="24"/>
              </w:rPr>
              <w:t>N150</w:t>
            </w:r>
            <w:r>
              <w:rPr>
                <w:rFonts w:hint="eastAsia" w:ascii="宋体" w:hAnsi="宋体"/>
                <w:sz w:val="24"/>
                <w:szCs w:val="24"/>
              </w:rPr>
              <w:t>电动开关阀保护性拆除运送至仓库</w:t>
            </w:r>
          </w:p>
        </w:tc>
        <w:tc>
          <w:tcPr>
            <w:tcW w:w="2376"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广医药科楼板换间内</w:t>
            </w:r>
          </w:p>
        </w:tc>
      </w:tr>
      <w:tr>
        <w:tblPrEx>
          <w:tblLayout w:type="fixed"/>
          <w:tblCellMar>
            <w:top w:w="0" w:type="dxa"/>
            <w:left w:w="108" w:type="dxa"/>
            <w:bottom w:w="0" w:type="dxa"/>
            <w:right w:w="108" w:type="dxa"/>
          </w:tblCellMar>
        </w:tblPrEx>
        <w:trPr>
          <w:trHeight w:val="841"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4</w:t>
            </w:r>
          </w:p>
        </w:tc>
        <w:tc>
          <w:tcPr>
            <w:tcW w:w="17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 w:val="24"/>
                <w:szCs w:val="24"/>
              </w:rPr>
            </w:pPr>
            <w:r>
              <w:rPr>
                <w:rFonts w:hint="eastAsia"/>
                <w:color w:val="000000"/>
                <w:sz w:val="24"/>
                <w:szCs w:val="24"/>
              </w:rPr>
              <w:t>流量计</w:t>
            </w:r>
            <w:r>
              <w:rPr>
                <w:rFonts w:hint="eastAsia" w:ascii="宋体" w:hAnsi="宋体"/>
                <w:sz w:val="24"/>
                <w:szCs w:val="24"/>
              </w:rPr>
              <w:t>拆除与运输</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台</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24"/>
                <w:szCs w:val="24"/>
              </w:rPr>
            </w:pPr>
            <w:r>
              <w:rPr>
                <w:rFonts w:hint="eastAsia"/>
                <w:color w:val="000000"/>
                <w:sz w:val="24"/>
                <w:szCs w:val="24"/>
              </w:rPr>
              <w:t>1</w:t>
            </w:r>
          </w:p>
        </w:tc>
        <w:tc>
          <w:tcPr>
            <w:tcW w:w="2843" w:type="dxa"/>
            <w:tcBorders>
              <w:top w:val="single" w:color="auto" w:sz="4" w:space="0"/>
              <w:left w:val="nil"/>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D</w:t>
            </w:r>
            <w:r>
              <w:rPr>
                <w:rFonts w:ascii="宋体" w:hAnsi="宋体"/>
                <w:sz w:val="24"/>
                <w:szCs w:val="24"/>
              </w:rPr>
              <w:t>N150</w:t>
            </w:r>
            <w:r>
              <w:rPr>
                <w:rFonts w:hint="eastAsia" w:ascii="宋体" w:hAnsi="宋体"/>
                <w:sz w:val="24"/>
                <w:szCs w:val="24"/>
              </w:rPr>
              <w:t>流量计保护性拆除运送至仓库</w:t>
            </w:r>
          </w:p>
        </w:tc>
        <w:tc>
          <w:tcPr>
            <w:tcW w:w="2376"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广医药科楼板换间内</w:t>
            </w:r>
          </w:p>
        </w:tc>
      </w:tr>
      <w:tr>
        <w:tblPrEx>
          <w:tblLayout w:type="fixed"/>
          <w:tblCellMar>
            <w:top w:w="0" w:type="dxa"/>
            <w:left w:w="108" w:type="dxa"/>
            <w:bottom w:w="0" w:type="dxa"/>
            <w:right w:w="108" w:type="dxa"/>
          </w:tblCellMar>
        </w:tblPrEx>
        <w:trPr>
          <w:trHeight w:val="841"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5</w:t>
            </w:r>
          </w:p>
        </w:tc>
        <w:tc>
          <w:tcPr>
            <w:tcW w:w="177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sz w:val="24"/>
                <w:szCs w:val="24"/>
              </w:rPr>
            </w:pPr>
            <w:r>
              <w:rPr>
                <w:rFonts w:hint="eastAsia"/>
                <w:color w:val="000000"/>
                <w:sz w:val="24"/>
                <w:szCs w:val="24"/>
              </w:rPr>
              <w:t>电动调节阀</w:t>
            </w:r>
            <w:r>
              <w:rPr>
                <w:rFonts w:hint="eastAsia" w:ascii="宋体" w:hAnsi="宋体"/>
                <w:sz w:val="24"/>
                <w:szCs w:val="24"/>
              </w:rPr>
              <w:t>拆除与运输</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个</w:t>
            </w:r>
          </w:p>
        </w:tc>
        <w:tc>
          <w:tcPr>
            <w:tcW w:w="73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 w:val="24"/>
                <w:szCs w:val="24"/>
              </w:rPr>
            </w:pPr>
            <w:r>
              <w:rPr>
                <w:rFonts w:hint="eastAsia"/>
                <w:color w:val="000000"/>
                <w:sz w:val="24"/>
                <w:szCs w:val="24"/>
              </w:rPr>
              <w:t>1</w:t>
            </w:r>
          </w:p>
        </w:tc>
        <w:tc>
          <w:tcPr>
            <w:tcW w:w="2843" w:type="dxa"/>
            <w:tcBorders>
              <w:top w:val="single" w:color="auto" w:sz="4" w:space="0"/>
              <w:left w:val="nil"/>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D</w:t>
            </w:r>
            <w:r>
              <w:rPr>
                <w:rFonts w:ascii="宋体" w:hAnsi="宋体"/>
                <w:sz w:val="24"/>
                <w:szCs w:val="24"/>
              </w:rPr>
              <w:t>N150</w:t>
            </w:r>
            <w:r>
              <w:rPr>
                <w:rFonts w:hint="eastAsia" w:ascii="宋体" w:hAnsi="宋体"/>
                <w:sz w:val="24"/>
                <w:szCs w:val="24"/>
              </w:rPr>
              <w:t>电动调节阀保护性拆除运送至仓库</w:t>
            </w:r>
          </w:p>
        </w:tc>
        <w:tc>
          <w:tcPr>
            <w:tcW w:w="2376"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广医药科楼板换间内</w:t>
            </w:r>
          </w:p>
        </w:tc>
      </w:tr>
      <w:tr>
        <w:tblPrEx>
          <w:tblLayout w:type="fixed"/>
          <w:tblCellMar>
            <w:top w:w="0" w:type="dxa"/>
            <w:left w:w="108" w:type="dxa"/>
            <w:bottom w:w="0" w:type="dxa"/>
            <w:right w:w="108" w:type="dxa"/>
          </w:tblCellMar>
        </w:tblPrEx>
        <w:trPr>
          <w:trHeight w:val="841"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6</w:t>
            </w:r>
          </w:p>
        </w:tc>
        <w:tc>
          <w:tcPr>
            <w:tcW w:w="177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sz w:val="24"/>
                <w:szCs w:val="24"/>
              </w:rPr>
            </w:pPr>
            <w:r>
              <w:rPr>
                <w:rFonts w:hint="eastAsia"/>
                <w:color w:val="000000"/>
                <w:sz w:val="24"/>
                <w:szCs w:val="24"/>
              </w:rPr>
              <w:t>手动蝶阀</w:t>
            </w:r>
            <w:r>
              <w:rPr>
                <w:rFonts w:hint="eastAsia" w:ascii="宋体" w:hAnsi="宋体"/>
                <w:sz w:val="24"/>
                <w:szCs w:val="24"/>
              </w:rPr>
              <w:t>拆除与运输</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个</w:t>
            </w:r>
          </w:p>
        </w:tc>
        <w:tc>
          <w:tcPr>
            <w:tcW w:w="73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 w:val="24"/>
                <w:szCs w:val="24"/>
              </w:rPr>
            </w:pPr>
            <w:r>
              <w:rPr>
                <w:rFonts w:hint="eastAsia"/>
                <w:color w:val="000000"/>
                <w:sz w:val="24"/>
                <w:szCs w:val="24"/>
              </w:rPr>
              <w:t>3</w:t>
            </w:r>
          </w:p>
        </w:tc>
        <w:tc>
          <w:tcPr>
            <w:tcW w:w="2843" w:type="dxa"/>
            <w:tcBorders>
              <w:top w:val="single" w:color="auto" w:sz="4" w:space="0"/>
              <w:left w:val="nil"/>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D</w:t>
            </w:r>
            <w:r>
              <w:rPr>
                <w:rFonts w:ascii="宋体" w:hAnsi="宋体"/>
                <w:sz w:val="24"/>
                <w:szCs w:val="24"/>
              </w:rPr>
              <w:t>N150</w:t>
            </w:r>
            <w:r>
              <w:rPr>
                <w:rFonts w:hint="eastAsia" w:ascii="宋体" w:hAnsi="宋体"/>
                <w:sz w:val="24"/>
                <w:szCs w:val="24"/>
              </w:rPr>
              <w:t>手动蝶阀保护性拆除运送至仓库</w:t>
            </w:r>
          </w:p>
        </w:tc>
        <w:tc>
          <w:tcPr>
            <w:tcW w:w="2376"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广医药科楼板换间内</w:t>
            </w:r>
          </w:p>
        </w:tc>
      </w:tr>
      <w:tr>
        <w:tblPrEx>
          <w:tblLayout w:type="fixed"/>
          <w:tblCellMar>
            <w:top w:w="0" w:type="dxa"/>
            <w:left w:w="108" w:type="dxa"/>
            <w:bottom w:w="0" w:type="dxa"/>
            <w:right w:w="108" w:type="dxa"/>
          </w:tblCellMar>
        </w:tblPrEx>
        <w:trPr>
          <w:trHeight w:val="841"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7</w:t>
            </w:r>
          </w:p>
        </w:tc>
        <w:tc>
          <w:tcPr>
            <w:tcW w:w="177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sz w:val="24"/>
                <w:szCs w:val="24"/>
              </w:rPr>
            </w:pPr>
            <w:r>
              <w:rPr>
                <w:rFonts w:hint="eastAsia"/>
                <w:color w:val="000000"/>
                <w:sz w:val="24"/>
                <w:szCs w:val="24"/>
              </w:rPr>
              <w:t>平衡阀</w:t>
            </w:r>
            <w:r>
              <w:rPr>
                <w:rFonts w:hint="eastAsia" w:ascii="宋体" w:hAnsi="宋体"/>
                <w:sz w:val="24"/>
                <w:szCs w:val="24"/>
              </w:rPr>
              <w:t>拆除与运输</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个</w:t>
            </w:r>
          </w:p>
        </w:tc>
        <w:tc>
          <w:tcPr>
            <w:tcW w:w="73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 w:val="24"/>
                <w:szCs w:val="24"/>
              </w:rPr>
            </w:pPr>
            <w:r>
              <w:rPr>
                <w:rFonts w:hint="eastAsia"/>
                <w:color w:val="000000"/>
                <w:sz w:val="24"/>
                <w:szCs w:val="24"/>
              </w:rPr>
              <w:t>1</w:t>
            </w:r>
          </w:p>
        </w:tc>
        <w:tc>
          <w:tcPr>
            <w:tcW w:w="2843" w:type="dxa"/>
            <w:tcBorders>
              <w:top w:val="single" w:color="auto" w:sz="4" w:space="0"/>
              <w:left w:val="nil"/>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D</w:t>
            </w:r>
            <w:r>
              <w:rPr>
                <w:rFonts w:ascii="宋体" w:hAnsi="宋体"/>
                <w:sz w:val="24"/>
                <w:szCs w:val="24"/>
              </w:rPr>
              <w:t>N150</w:t>
            </w:r>
            <w:r>
              <w:rPr>
                <w:rFonts w:hint="eastAsia" w:ascii="宋体" w:hAnsi="宋体"/>
                <w:sz w:val="24"/>
                <w:szCs w:val="24"/>
              </w:rPr>
              <w:t>平衡阀保护性拆除运送至仓库</w:t>
            </w:r>
          </w:p>
        </w:tc>
        <w:tc>
          <w:tcPr>
            <w:tcW w:w="2376"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广医药科楼板换间内</w:t>
            </w:r>
          </w:p>
        </w:tc>
      </w:tr>
      <w:tr>
        <w:tblPrEx>
          <w:tblLayout w:type="fixed"/>
          <w:tblCellMar>
            <w:top w:w="0" w:type="dxa"/>
            <w:left w:w="108" w:type="dxa"/>
            <w:bottom w:w="0" w:type="dxa"/>
            <w:right w:w="108" w:type="dxa"/>
          </w:tblCellMar>
        </w:tblPrEx>
        <w:trPr>
          <w:trHeight w:val="841"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7</w:t>
            </w:r>
          </w:p>
        </w:tc>
        <w:tc>
          <w:tcPr>
            <w:tcW w:w="1779"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土方开挖、回填</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立方米</w:t>
            </w:r>
          </w:p>
        </w:tc>
        <w:tc>
          <w:tcPr>
            <w:tcW w:w="737"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2.5</w:t>
            </w:r>
          </w:p>
        </w:tc>
        <w:tc>
          <w:tcPr>
            <w:tcW w:w="2843" w:type="dxa"/>
            <w:tcBorders>
              <w:top w:val="single" w:color="auto" w:sz="4" w:space="0"/>
              <w:left w:val="nil"/>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板换间外冷冻水管进行土方开挖，为绿化带</w:t>
            </w:r>
          </w:p>
        </w:tc>
        <w:tc>
          <w:tcPr>
            <w:tcW w:w="2376"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广医药科楼板换间冷冻水管进口处</w:t>
            </w:r>
          </w:p>
        </w:tc>
      </w:tr>
      <w:tr>
        <w:tblPrEx>
          <w:tblLayout w:type="fixed"/>
          <w:tblCellMar>
            <w:top w:w="0" w:type="dxa"/>
            <w:left w:w="108" w:type="dxa"/>
            <w:bottom w:w="0" w:type="dxa"/>
            <w:right w:w="108" w:type="dxa"/>
          </w:tblCellMar>
        </w:tblPrEx>
        <w:trPr>
          <w:trHeight w:val="841"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8</w:t>
            </w:r>
          </w:p>
        </w:tc>
        <w:tc>
          <w:tcPr>
            <w:tcW w:w="1779"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管道盲封与保温恢复</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处</w:t>
            </w:r>
          </w:p>
        </w:tc>
        <w:tc>
          <w:tcPr>
            <w:tcW w:w="73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w:t>
            </w:r>
          </w:p>
        </w:tc>
        <w:tc>
          <w:tcPr>
            <w:tcW w:w="2843" w:type="dxa"/>
            <w:tcBorders>
              <w:top w:val="single" w:color="auto" w:sz="4" w:space="0"/>
              <w:left w:val="nil"/>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在板换间外开挖处进行管道盲封，管道规格D</w:t>
            </w:r>
            <w:r>
              <w:rPr>
                <w:rFonts w:ascii="宋体" w:hAnsi="宋体"/>
                <w:sz w:val="24"/>
                <w:szCs w:val="24"/>
              </w:rPr>
              <w:t>N150</w:t>
            </w:r>
            <w:r>
              <w:rPr>
                <w:rFonts w:hint="eastAsia" w:ascii="宋体" w:hAnsi="宋体"/>
                <w:sz w:val="24"/>
                <w:szCs w:val="24"/>
              </w:rPr>
              <w:t>，需覆盖聚氨酯保温</w:t>
            </w:r>
          </w:p>
        </w:tc>
        <w:tc>
          <w:tcPr>
            <w:tcW w:w="2376"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广医药科楼板换间冷冻水管进口处</w:t>
            </w:r>
          </w:p>
        </w:tc>
      </w:tr>
      <w:tr>
        <w:tblPrEx>
          <w:tblLayout w:type="fixed"/>
          <w:tblCellMar>
            <w:top w:w="0" w:type="dxa"/>
            <w:left w:w="108" w:type="dxa"/>
            <w:bottom w:w="0" w:type="dxa"/>
            <w:right w:w="108" w:type="dxa"/>
          </w:tblCellMar>
        </w:tblPrEx>
        <w:trPr>
          <w:trHeight w:val="841"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9</w:t>
            </w:r>
          </w:p>
        </w:tc>
        <w:tc>
          <w:tcPr>
            <w:tcW w:w="1779"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沥青路面开挖与恢复</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平方米</w:t>
            </w:r>
          </w:p>
        </w:tc>
        <w:tc>
          <w:tcPr>
            <w:tcW w:w="73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3</w:t>
            </w:r>
          </w:p>
        </w:tc>
        <w:tc>
          <w:tcPr>
            <w:tcW w:w="2843" w:type="dxa"/>
            <w:tcBorders>
              <w:top w:val="single" w:color="auto" w:sz="4" w:space="0"/>
              <w:left w:val="nil"/>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沥青路面开挖与恢复，大约3平方米，厚度约8cm</w:t>
            </w:r>
          </w:p>
        </w:tc>
        <w:tc>
          <w:tcPr>
            <w:tcW w:w="2376"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广大教2漏水处</w:t>
            </w:r>
          </w:p>
        </w:tc>
      </w:tr>
      <w:tr>
        <w:tblPrEx>
          <w:tblLayout w:type="fixed"/>
          <w:tblCellMar>
            <w:top w:w="0" w:type="dxa"/>
            <w:left w:w="108" w:type="dxa"/>
            <w:bottom w:w="0" w:type="dxa"/>
            <w:right w:w="108" w:type="dxa"/>
          </w:tblCellMar>
        </w:tblPrEx>
        <w:trPr>
          <w:trHeight w:val="841"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10</w:t>
            </w:r>
          </w:p>
        </w:tc>
        <w:tc>
          <w:tcPr>
            <w:tcW w:w="1779"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混凝土路面开挖与恢复</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平方米</w:t>
            </w:r>
          </w:p>
        </w:tc>
        <w:tc>
          <w:tcPr>
            <w:tcW w:w="73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3</w:t>
            </w:r>
          </w:p>
        </w:tc>
        <w:tc>
          <w:tcPr>
            <w:tcW w:w="2843" w:type="dxa"/>
            <w:tcBorders>
              <w:top w:val="single" w:color="auto" w:sz="4" w:space="0"/>
              <w:left w:val="nil"/>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混凝土路面开挖与恢复，大约3平方米，厚度约20</w:t>
            </w:r>
            <w:r>
              <w:rPr>
                <w:rFonts w:ascii="宋体" w:hAnsi="宋体"/>
                <w:sz w:val="24"/>
                <w:szCs w:val="24"/>
              </w:rPr>
              <w:t>cm</w:t>
            </w:r>
          </w:p>
        </w:tc>
        <w:tc>
          <w:tcPr>
            <w:tcW w:w="2376"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广大教2漏水处</w:t>
            </w:r>
          </w:p>
        </w:tc>
      </w:tr>
      <w:tr>
        <w:tblPrEx>
          <w:tblLayout w:type="fixed"/>
          <w:tblCellMar>
            <w:top w:w="0" w:type="dxa"/>
            <w:left w:w="108" w:type="dxa"/>
            <w:bottom w:w="0" w:type="dxa"/>
            <w:right w:w="108" w:type="dxa"/>
          </w:tblCellMar>
        </w:tblPrEx>
        <w:trPr>
          <w:trHeight w:val="841"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11</w:t>
            </w:r>
          </w:p>
        </w:tc>
        <w:tc>
          <w:tcPr>
            <w:tcW w:w="1779"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土方开挖与回填</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立方米</w:t>
            </w:r>
          </w:p>
        </w:tc>
        <w:tc>
          <w:tcPr>
            <w:tcW w:w="73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6</w:t>
            </w:r>
          </w:p>
        </w:tc>
        <w:tc>
          <w:tcPr>
            <w:tcW w:w="2843" w:type="dxa"/>
            <w:tcBorders>
              <w:top w:val="single" w:color="auto" w:sz="4" w:space="0"/>
              <w:left w:val="nil"/>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开挖漏水点上方土方，约6立方米</w:t>
            </w:r>
          </w:p>
        </w:tc>
        <w:tc>
          <w:tcPr>
            <w:tcW w:w="2376"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广大教2漏水处</w:t>
            </w:r>
          </w:p>
        </w:tc>
      </w:tr>
      <w:tr>
        <w:tblPrEx>
          <w:tblLayout w:type="fixed"/>
          <w:tblCellMar>
            <w:top w:w="0" w:type="dxa"/>
            <w:left w:w="108" w:type="dxa"/>
            <w:bottom w:w="0" w:type="dxa"/>
            <w:right w:w="108" w:type="dxa"/>
          </w:tblCellMar>
        </w:tblPrEx>
        <w:trPr>
          <w:trHeight w:val="841"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12</w:t>
            </w:r>
          </w:p>
        </w:tc>
        <w:tc>
          <w:tcPr>
            <w:tcW w:w="1779"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管道补漏</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处</w:t>
            </w:r>
          </w:p>
        </w:tc>
        <w:tc>
          <w:tcPr>
            <w:tcW w:w="73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w:t>
            </w:r>
          </w:p>
        </w:tc>
        <w:tc>
          <w:tcPr>
            <w:tcW w:w="2843" w:type="dxa"/>
            <w:tcBorders>
              <w:top w:val="single" w:color="auto" w:sz="4" w:space="0"/>
              <w:left w:val="nil"/>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漏水点天窗 和焊缝加固处理</w:t>
            </w:r>
          </w:p>
        </w:tc>
        <w:tc>
          <w:tcPr>
            <w:tcW w:w="2376"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广大教2漏水处</w:t>
            </w:r>
          </w:p>
        </w:tc>
      </w:tr>
    </w:tbl>
    <w:p>
      <w:pPr>
        <w:spacing w:before="120" w:beforeLines="50" w:after="120" w:afterLines="50" w:line="360" w:lineRule="auto"/>
        <w:ind w:firstLine="480" w:firstLineChars="200"/>
        <w:rPr>
          <w:rFonts w:hint="default" w:ascii="宋体" w:hAnsi="宋体" w:eastAsia="宋体" w:cs="宋体"/>
          <w:bCs/>
          <w:kern w:val="0"/>
          <w:sz w:val="24"/>
          <w:highlight w:val="none"/>
          <w:lang w:val="en-US" w:eastAsia="zh-CN"/>
        </w:rPr>
      </w:pPr>
      <w:r>
        <w:rPr>
          <w:rFonts w:hint="eastAsia" w:ascii="宋体" w:hAnsi="宋体"/>
          <w:sz w:val="24"/>
          <w:szCs w:val="24"/>
          <w:highlight w:val="none"/>
        </w:rPr>
        <w:t>备注：</w:t>
      </w:r>
      <w:r>
        <w:rPr>
          <w:rFonts w:hint="eastAsia" w:ascii="宋体" w:hAnsi="宋体"/>
          <w:sz w:val="24"/>
          <w:szCs w:val="24"/>
        </w:rPr>
        <w:t>本项目材料、机械、器具等均由乙方提供，</w:t>
      </w:r>
      <w:r>
        <w:rPr>
          <w:rFonts w:hint="eastAsia" w:ascii="宋体" w:hAnsi="宋体"/>
          <w:b/>
          <w:bCs/>
          <w:color w:val="FF0000"/>
          <w:sz w:val="24"/>
          <w:szCs w:val="24"/>
        </w:rPr>
        <w:t>本项目板换器可能解体拆除也可能整体拆除，需报两个价</w:t>
      </w:r>
      <w:r>
        <w:rPr>
          <w:rFonts w:hint="eastAsia" w:ascii="宋体" w:hAnsi="宋体"/>
          <w:sz w:val="24"/>
          <w:szCs w:val="24"/>
        </w:rPr>
        <w:t>，</w:t>
      </w:r>
      <w:r>
        <w:rPr>
          <w:rFonts w:hint="eastAsia" w:ascii="宋体" w:hAnsi="宋体"/>
          <w:sz w:val="24"/>
          <w:szCs w:val="24"/>
          <w:lang w:val="en-US" w:eastAsia="zh-CN"/>
        </w:rPr>
        <w:t>最终</w:t>
      </w:r>
      <w:r>
        <w:rPr>
          <w:rFonts w:hint="eastAsia" w:ascii="宋体" w:hAnsi="宋体"/>
          <w:sz w:val="24"/>
          <w:szCs w:val="24"/>
        </w:rPr>
        <w:t>按实际操作结算</w:t>
      </w:r>
      <w:r>
        <w:rPr>
          <w:rFonts w:hint="eastAsia" w:ascii="宋体" w:hAnsi="宋体"/>
          <w:sz w:val="24"/>
          <w:szCs w:val="24"/>
          <w:lang w:eastAsia="zh-CN"/>
        </w:rPr>
        <w:t>，</w:t>
      </w:r>
      <w:r>
        <w:rPr>
          <w:rFonts w:hint="eastAsia" w:ascii="宋体" w:hAnsi="宋体" w:cs="宋体"/>
          <w:bCs/>
          <w:kern w:val="0"/>
          <w:sz w:val="24"/>
          <w:highlight w:val="none"/>
        </w:rPr>
        <w:t>工程量清单报价时建议按上述表格人工、材料分开单列报价。</w:t>
      </w:r>
    </w:p>
    <w:p>
      <w:pPr>
        <w:numPr>
          <w:ilvl w:val="0"/>
          <w:numId w:val="1"/>
        </w:numPr>
        <w:spacing w:before="120" w:beforeLines="50" w:after="120" w:afterLines="50" w:line="360" w:lineRule="auto"/>
        <w:ind w:left="0" w:firstLine="480" w:firstLineChars="200"/>
        <w:rPr>
          <w:sz w:val="24"/>
          <w:highlight w:val="none"/>
        </w:rPr>
      </w:pPr>
      <w:r>
        <w:rPr>
          <w:rFonts w:hint="eastAsia"/>
          <w:sz w:val="24"/>
          <w:highlight w:val="none"/>
          <w:lang w:val="en-US" w:eastAsia="zh-CN"/>
        </w:rPr>
        <w:t>材料及施工要求说明</w:t>
      </w:r>
    </w:p>
    <w:p>
      <w:pPr>
        <w:numPr>
          <w:ilvl w:val="0"/>
          <w:numId w:val="0"/>
        </w:numPr>
        <w:spacing w:before="120" w:beforeLines="50" w:after="120" w:afterLines="50" w:line="360" w:lineRule="auto"/>
        <w:ind w:firstLine="480" w:firstLineChars="200"/>
        <w:rPr>
          <w:sz w:val="24"/>
          <w:highlight w:val="none"/>
        </w:rPr>
      </w:pPr>
      <w:r>
        <w:rPr>
          <w:rFonts w:hint="eastAsia"/>
          <w:sz w:val="24"/>
          <w:highlight w:val="none"/>
          <w:lang w:eastAsia="zh-CN"/>
        </w:rPr>
        <w:t>（</w:t>
      </w:r>
      <w:r>
        <w:rPr>
          <w:rFonts w:hint="eastAsia"/>
          <w:sz w:val="24"/>
          <w:highlight w:val="none"/>
          <w:lang w:val="en-US" w:eastAsia="zh-CN"/>
        </w:rPr>
        <w:t>一</w:t>
      </w:r>
      <w:r>
        <w:rPr>
          <w:rFonts w:hint="eastAsia"/>
          <w:sz w:val="24"/>
          <w:highlight w:val="none"/>
          <w:lang w:eastAsia="zh-CN"/>
        </w:rPr>
        <w:t>）</w:t>
      </w:r>
      <w:r>
        <w:rPr>
          <w:rFonts w:hint="eastAsia"/>
          <w:sz w:val="24"/>
          <w:highlight w:val="none"/>
        </w:rPr>
        <w:t>本项目所涉及特殊工种作业的均需提供上岗作业证，我司随时进行人、证检查。</w:t>
      </w:r>
    </w:p>
    <w:p>
      <w:pPr>
        <w:numPr>
          <w:ilvl w:val="0"/>
          <w:numId w:val="0"/>
        </w:numPr>
        <w:spacing w:before="120" w:beforeLines="50" w:after="120" w:afterLines="50" w:line="360" w:lineRule="auto"/>
        <w:ind w:firstLine="480" w:firstLineChars="200"/>
        <w:rPr>
          <w:rFonts w:hint="eastAsia"/>
          <w:sz w:val="24"/>
          <w:highlight w:val="none"/>
        </w:rPr>
      </w:pPr>
      <w:r>
        <w:rPr>
          <w:rFonts w:hint="eastAsia"/>
          <w:sz w:val="24"/>
          <w:highlight w:val="none"/>
          <w:lang w:val="en-US" w:eastAsia="zh-CN"/>
        </w:rPr>
        <w:t>（二）本项目</w:t>
      </w:r>
      <w:r>
        <w:rPr>
          <w:rFonts w:hint="eastAsia"/>
          <w:sz w:val="24"/>
          <w:highlight w:val="none"/>
        </w:rPr>
        <w:t>所需材料、设备及配件均由施工单位负责供货</w:t>
      </w:r>
      <w:r>
        <w:rPr>
          <w:rFonts w:hint="eastAsia"/>
          <w:sz w:val="24"/>
          <w:highlight w:val="none"/>
          <w:lang w:eastAsia="zh-CN"/>
        </w:rPr>
        <w:t>。</w:t>
      </w:r>
    </w:p>
    <w:p>
      <w:pPr>
        <w:numPr>
          <w:ilvl w:val="0"/>
          <w:numId w:val="0"/>
        </w:numPr>
        <w:spacing w:before="120" w:beforeLines="50" w:after="120" w:afterLines="50" w:line="360" w:lineRule="auto"/>
        <w:ind w:leftChars="200"/>
        <w:rPr>
          <w:rFonts w:hint="eastAsia" w:eastAsia="宋体"/>
          <w:sz w:val="24"/>
          <w:highlight w:val="none"/>
          <w:lang w:eastAsia="zh-CN"/>
        </w:rPr>
      </w:pPr>
      <w:r>
        <w:rPr>
          <w:rFonts w:hint="eastAsia"/>
          <w:sz w:val="24"/>
          <w:highlight w:val="none"/>
          <w:lang w:eastAsia="zh-CN"/>
        </w:rPr>
        <w:t>（</w:t>
      </w:r>
      <w:r>
        <w:rPr>
          <w:rFonts w:hint="eastAsia"/>
          <w:sz w:val="24"/>
          <w:highlight w:val="none"/>
          <w:lang w:val="en-US" w:eastAsia="zh-CN"/>
        </w:rPr>
        <w:t>三</w:t>
      </w:r>
      <w:r>
        <w:rPr>
          <w:rFonts w:hint="eastAsia"/>
          <w:sz w:val="24"/>
          <w:highlight w:val="none"/>
          <w:lang w:eastAsia="zh-CN"/>
        </w:rPr>
        <w:t>）</w:t>
      </w:r>
      <w:r>
        <w:rPr>
          <w:rFonts w:hint="eastAsia" w:asciiTheme="minorEastAsia" w:hAnsiTheme="minorEastAsia" w:eastAsiaTheme="minorEastAsia" w:cstheme="minorEastAsia"/>
          <w:b/>
          <w:bCs/>
          <w:sz w:val="24"/>
          <w:szCs w:val="24"/>
          <w:highlight w:val="none"/>
        </w:rPr>
        <w:t>施工现场产生的垃圾及余物必须外运，完工后场地及时清理。</w:t>
      </w:r>
    </w:p>
    <w:p>
      <w:pPr>
        <w:numPr>
          <w:ilvl w:val="0"/>
          <w:numId w:val="1"/>
        </w:numPr>
        <w:spacing w:before="120" w:beforeLines="50" w:after="120" w:afterLines="50" w:line="360" w:lineRule="auto"/>
        <w:ind w:left="0" w:firstLine="480" w:firstLineChars="200"/>
        <w:rPr>
          <w:rFonts w:hint="eastAsia"/>
          <w:sz w:val="24"/>
          <w:highlight w:val="none"/>
          <w:lang w:val="en-US" w:eastAsia="zh-CN"/>
        </w:rPr>
      </w:pPr>
      <w:r>
        <w:rPr>
          <w:rFonts w:hint="eastAsia"/>
          <w:sz w:val="24"/>
          <w:highlight w:val="none"/>
          <w:lang w:val="en-US" w:eastAsia="zh-CN"/>
        </w:rPr>
        <w:t xml:space="preserve"> 施工方法及技术要求：</w:t>
      </w:r>
    </w:p>
    <w:p>
      <w:pPr>
        <w:numPr>
          <w:ilvl w:val="0"/>
          <w:numId w:val="4"/>
        </w:numPr>
        <w:spacing w:before="120" w:beforeLines="50" w:after="120" w:afterLines="50" w:line="360" w:lineRule="auto"/>
        <w:ind w:firstLine="480" w:firstLineChars="200"/>
        <w:rPr>
          <w:rFonts w:hint="eastAsia"/>
          <w:sz w:val="24"/>
          <w:highlight w:val="none"/>
          <w:lang w:val="en-US" w:eastAsia="zh-CN"/>
        </w:rPr>
      </w:pPr>
      <w:r>
        <w:rPr>
          <w:rFonts w:hint="eastAsia"/>
          <w:sz w:val="24"/>
          <w:highlight w:val="none"/>
          <w:lang w:val="en-US" w:eastAsia="zh-CN"/>
        </w:rPr>
        <w:t>除锈刷漆要求：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油漆工程按照钢结构防火涂料应用技术规范和钢结构工程质量检验评定标准(国家建设部GB50221-95)等相应标准执行。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所有管道支吊架及安装管托位置的管道油漆前需要对钢结构表面进行除锈、清除油污，除锈必须彻底，其中涉及焊接的支吊架要求焊接后再进行除锈、清除油污，刷防锈漆前需要经过甲方现场负责人员或管理人员确认后方可刷防锈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所有管道支吊架及安装管托位置的管道表面除锈达到要求后，应在4小时内涂刷首遍防锈底漆，并按防腐标准涂刷防锈漆，防锈漆必须刷两遍，所使用的防锈漆必须为环氧红丹底漆，质量必须满足要求，且必须要有相关合格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对金属表面除锈打磨以及刷每一遍底漆或面漆要进入下一道工序之前都必须由甲乙双方相关人员现场检查确认，并获得甲方人员认同许可及经双方相关人员签字确认后，方可进行下一道工序。</w:t>
      </w:r>
    </w:p>
    <w:p>
      <w:pPr>
        <w:keepNext w:val="0"/>
        <w:keepLines w:val="0"/>
        <w:pageBreakBefore w:val="0"/>
        <w:widowControl w:val="0"/>
        <w:numPr>
          <w:ilvl w:val="0"/>
          <w:numId w:val="0"/>
        </w:numPr>
        <w:kinsoku/>
        <w:wordWrap/>
        <w:overflowPunct/>
        <w:topLinePunct w:val="0"/>
        <w:autoSpaceDE/>
        <w:autoSpaceDN/>
        <w:bidi w:val="0"/>
        <w:adjustRightInd/>
        <w:snapToGrid/>
        <w:spacing w:before="120" w:beforeLines="50" w:after="120" w:afterLines="50" w:line="360" w:lineRule="auto"/>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（二）板换器拆除要求：</w:t>
      </w:r>
      <w:r>
        <w:rPr>
          <w:rFonts w:hint="eastAsia" w:ascii="宋体" w:hAnsi="宋体"/>
          <w:sz w:val="24"/>
          <w:szCs w:val="24"/>
        </w:rPr>
        <w:t>保护性拆除板换器，不能损坏板换器主体框架</w:t>
      </w:r>
      <w:r>
        <w:rPr>
          <w:rFonts w:hint="eastAsia"/>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20" w:beforeLines="50" w:after="120" w:afterLines="50" w:line="360" w:lineRule="auto"/>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（三）</w:t>
      </w:r>
      <w:r>
        <w:rPr>
          <w:rFonts w:hint="eastAsia" w:ascii="宋体" w:hAnsi="宋体"/>
          <w:sz w:val="24"/>
          <w:szCs w:val="24"/>
        </w:rPr>
        <w:t>关于焊接的质量要求</w:t>
      </w:r>
      <w:r>
        <w:rPr>
          <w:rFonts w:hint="eastAsia" w:ascii="宋体" w:hAnsi="宋体"/>
          <w:sz w:val="24"/>
          <w:szCs w:val="24"/>
          <w:lang w:eastAsia="zh-CN"/>
        </w:rPr>
        <w:t>：</w:t>
      </w:r>
      <w:r>
        <w:rPr>
          <w:rFonts w:hint="eastAsia" w:ascii="宋体" w:hAnsi="宋体"/>
          <w:sz w:val="24"/>
          <w:szCs w:val="24"/>
        </w:rPr>
        <w:t>管道焊接完成后需100%进行超声波或磁粉探伤</w:t>
      </w:r>
      <w:r>
        <w:rPr>
          <w:rFonts w:hint="eastAsia"/>
          <w:sz w:val="24"/>
          <w:szCs w:val="24"/>
          <w:highlight w:val="none"/>
          <w:lang w:val="en-US" w:eastAsia="zh-CN"/>
        </w:rPr>
        <w:t>。</w:t>
      </w:r>
    </w:p>
    <w:p>
      <w:pPr>
        <w:numPr>
          <w:ilvl w:val="0"/>
          <w:numId w:val="1"/>
        </w:numPr>
        <w:spacing w:before="120" w:beforeLines="50" w:after="120" w:afterLines="50" w:line="360" w:lineRule="auto"/>
        <w:ind w:left="0"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工程施工时需注意的事项</w:t>
      </w:r>
    </w:p>
    <w:p>
      <w:pPr>
        <w:spacing w:line="360" w:lineRule="auto"/>
        <w:ind w:left="141" w:hanging="120" w:hangingChars="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val="en-US" w:eastAsia="zh-CN"/>
        </w:rPr>
        <w:t xml:space="preserve">    （一）如涉及</w:t>
      </w:r>
      <w:r>
        <w:rPr>
          <w:rFonts w:hint="eastAsia" w:asciiTheme="minorEastAsia" w:hAnsiTheme="minorEastAsia" w:eastAsiaTheme="minorEastAsia" w:cstheme="minorEastAsia"/>
          <w:sz w:val="24"/>
          <w:szCs w:val="24"/>
          <w:highlight w:val="none"/>
        </w:rPr>
        <w:t>特殊作业，施工前必须向我司申请办理起重、动火、有限空间及临时用电等相关作业票方可施工；</w:t>
      </w:r>
    </w:p>
    <w:p>
      <w:pPr>
        <w:spacing w:line="360" w:lineRule="auto"/>
        <w:ind w:left="19" w:leftChars="9" w:firstLine="530" w:firstLineChars="22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安全第一，服从我司的安全管理规章制度，严格按施工方案进行施工，如改变施工方案须经我司批准后方可实施，雷雨大风天气禁止户外作业；</w:t>
      </w:r>
    </w:p>
    <w:p>
      <w:pPr>
        <w:spacing w:line="360" w:lineRule="auto"/>
        <w:ind w:left="19" w:leftChars="9" w:firstLine="530" w:firstLineChars="22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（三）</w:t>
      </w:r>
      <w:r>
        <w:rPr>
          <w:rFonts w:hint="eastAsia" w:asciiTheme="minorEastAsia" w:hAnsiTheme="minorEastAsia" w:eastAsiaTheme="minorEastAsia" w:cstheme="minorEastAsia"/>
          <w:sz w:val="24"/>
          <w:szCs w:val="24"/>
          <w:highlight w:val="none"/>
        </w:rPr>
        <w:t>指定专人为项目安全责任人，全面负责本项目安全生产管理工作，逐级落实安全生产责任制。</w:t>
      </w:r>
    </w:p>
    <w:p>
      <w:pPr>
        <w:spacing w:line="360" w:lineRule="auto"/>
        <w:ind w:left="19" w:leftChars="9" w:firstLine="530" w:firstLineChars="22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（四）</w:t>
      </w:r>
      <w:r>
        <w:rPr>
          <w:rFonts w:hint="eastAsia" w:asciiTheme="minorEastAsia" w:hAnsiTheme="minorEastAsia" w:eastAsiaTheme="minorEastAsia" w:cstheme="minorEastAsia"/>
          <w:sz w:val="24"/>
          <w:szCs w:val="24"/>
          <w:highlight w:val="none"/>
        </w:rPr>
        <w:t>施工单位要为工程项目安全管理配备充足的资源，包括作业人员的劳保用品、施工用的工器具等，如配电箱、焊接设备、安全带及起重机具等</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并采取措施确保所有劳保用品、安全用具处于良好状态。</w:t>
      </w:r>
    </w:p>
    <w:p>
      <w:pPr>
        <w:spacing w:line="360" w:lineRule="auto"/>
        <w:ind w:left="19" w:leftChars="9" w:firstLine="530" w:firstLineChars="22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（五）</w:t>
      </w:r>
      <w:r>
        <w:rPr>
          <w:rFonts w:hint="eastAsia" w:asciiTheme="minorEastAsia" w:hAnsiTheme="minorEastAsia" w:eastAsiaTheme="minorEastAsia" w:cstheme="minorEastAsia"/>
          <w:sz w:val="24"/>
          <w:szCs w:val="24"/>
          <w:highlight w:val="none"/>
        </w:rPr>
        <w:t>制定并严格执行高空作业规程，正确使用安全带等劳保用品，确保作业过程安全。</w:t>
      </w:r>
    </w:p>
    <w:p>
      <w:pPr>
        <w:spacing w:line="360" w:lineRule="auto"/>
        <w:ind w:left="19" w:leftChars="9" w:firstLine="530" w:firstLineChars="22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（六）</w:t>
      </w:r>
      <w:r>
        <w:rPr>
          <w:rFonts w:hint="eastAsia" w:asciiTheme="minorEastAsia" w:hAnsiTheme="minorEastAsia" w:eastAsiaTheme="minorEastAsia" w:cstheme="minorEastAsia"/>
          <w:sz w:val="24"/>
          <w:szCs w:val="24"/>
          <w:highlight w:val="none"/>
        </w:rPr>
        <w:t>要求确保现场特殊工种人员持有效作业证上岗。</w:t>
      </w:r>
    </w:p>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项目工期、验收标准及质保期限</w:t>
      </w:r>
    </w:p>
    <w:p>
      <w:pPr>
        <w:numPr>
          <w:ilvl w:val="0"/>
          <w:numId w:val="5"/>
        </w:numPr>
        <w:spacing w:before="120" w:beforeLines="50" w:after="120" w:afterLines="50" w:line="360" w:lineRule="auto"/>
        <w:ind w:left="0" w:firstLine="480" w:firstLineChars="200"/>
        <w:rPr>
          <w:sz w:val="24"/>
          <w:highlight w:val="none"/>
        </w:rPr>
      </w:pPr>
      <w:r>
        <w:rPr>
          <w:rFonts w:hint="eastAsia"/>
          <w:sz w:val="24"/>
          <w:highlight w:val="none"/>
        </w:rPr>
        <w:t>施工工期</w:t>
      </w:r>
    </w:p>
    <w:p>
      <w:pPr>
        <w:spacing w:before="120" w:beforeLines="50" w:after="120" w:afterLines="50" w:line="360" w:lineRule="auto"/>
        <w:ind w:left="425" w:right="425" w:firstLine="480" w:firstLineChars="200"/>
        <w:rPr>
          <w:rFonts w:ascii="宋体" w:hAnsi="宋体" w:cs="宋体"/>
          <w:bCs/>
          <w:kern w:val="0"/>
          <w:sz w:val="24"/>
          <w:highlight w:val="none"/>
        </w:rPr>
      </w:pPr>
      <w:r>
        <w:rPr>
          <w:rFonts w:hint="eastAsia" w:asciiTheme="minorEastAsia" w:hAnsiTheme="minorEastAsia" w:eastAsiaTheme="minorEastAsia" w:cstheme="minorEastAsia"/>
          <w:sz w:val="24"/>
          <w:szCs w:val="24"/>
          <w:highlight w:val="none"/>
        </w:rPr>
        <w:t>本项目总工期</w:t>
      </w:r>
      <w:r>
        <w:rPr>
          <w:rFonts w:hint="eastAsia" w:asciiTheme="minorEastAsia" w:hAnsiTheme="minorEastAsia" w:eastAsiaTheme="minorEastAsia" w:cstheme="minorEastAsia"/>
          <w:sz w:val="24"/>
          <w:szCs w:val="24"/>
          <w:highlight w:val="none"/>
          <w:lang w:val="en-US" w:eastAsia="zh-CN"/>
        </w:rPr>
        <w:t>为20天，</w:t>
      </w:r>
      <w:r>
        <w:rPr>
          <w:rFonts w:hint="eastAsia" w:asciiTheme="minorEastAsia" w:hAnsiTheme="minorEastAsia" w:eastAsiaTheme="minorEastAsia" w:cstheme="minorEastAsia"/>
          <w:b w:val="0"/>
          <w:bCs w:val="0"/>
          <w:sz w:val="24"/>
          <w:szCs w:val="24"/>
          <w:highlight w:val="none"/>
        </w:rPr>
        <w:t>自甲方发出开工指令的次日起算。</w:t>
      </w:r>
    </w:p>
    <w:p>
      <w:pPr>
        <w:numPr>
          <w:ilvl w:val="0"/>
          <w:numId w:val="5"/>
        </w:numPr>
        <w:spacing w:before="120" w:beforeLines="50" w:after="120" w:afterLines="50" w:line="360" w:lineRule="auto"/>
        <w:ind w:left="0" w:firstLine="480" w:firstLineChars="200"/>
        <w:rPr>
          <w:sz w:val="24"/>
          <w:highlight w:val="none"/>
        </w:rPr>
      </w:pPr>
      <w:r>
        <w:rPr>
          <w:rFonts w:hint="eastAsia"/>
          <w:sz w:val="24"/>
          <w:highlight w:val="none"/>
        </w:rPr>
        <w:t>工程验收标准及方式</w:t>
      </w:r>
    </w:p>
    <w:p>
      <w:pPr>
        <w:numPr>
          <w:ilvl w:val="0"/>
          <w:numId w:val="0"/>
        </w:numPr>
        <w:spacing w:before="120" w:beforeLines="50" w:after="120" w:afterLines="50" w:line="360" w:lineRule="auto"/>
        <w:ind w:firstLine="480" w:firstLineChars="200"/>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所有焊缝探伤合格，试压过程无泄露</w:t>
      </w:r>
      <w:r>
        <w:rPr>
          <w:rFonts w:hint="eastAsia" w:asciiTheme="minorEastAsia" w:hAnsiTheme="minorEastAsia" w:eastAsiaTheme="minorEastAsia" w:cstheme="minorEastAsia"/>
          <w:bCs/>
          <w:kern w:val="0"/>
          <w:sz w:val="24"/>
          <w:szCs w:val="24"/>
          <w:highlight w:val="none"/>
          <w:lang w:eastAsia="zh-CN"/>
        </w:rPr>
        <w:t>。</w:t>
      </w:r>
      <w:r>
        <w:rPr>
          <w:rFonts w:hint="eastAsia" w:asciiTheme="minorEastAsia" w:hAnsiTheme="minorEastAsia" w:eastAsiaTheme="minorEastAsia" w:cstheme="minorEastAsia"/>
          <w:bCs/>
          <w:kern w:val="0"/>
          <w:sz w:val="24"/>
          <w:szCs w:val="24"/>
          <w:highlight w:val="none"/>
        </w:rPr>
        <w:t>项目验收按国家和行业相关的其他质量验收标准要求执行。</w:t>
      </w:r>
    </w:p>
    <w:p>
      <w:pPr>
        <w:numPr>
          <w:ilvl w:val="0"/>
          <w:numId w:val="5"/>
        </w:numPr>
        <w:spacing w:before="120" w:beforeLines="50" w:after="120" w:afterLines="50" w:line="360" w:lineRule="auto"/>
        <w:ind w:left="0" w:firstLine="480" w:firstLineChars="200"/>
        <w:rPr>
          <w:sz w:val="24"/>
          <w:highlight w:val="none"/>
        </w:rPr>
      </w:pPr>
      <w:r>
        <w:rPr>
          <w:rFonts w:hint="eastAsia"/>
          <w:sz w:val="24"/>
          <w:highlight w:val="none"/>
        </w:rPr>
        <w:t>工程验收的方式：</w:t>
      </w:r>
    </w:p>
    <w:p>
      <w:pPr>
        <w:numPr>
          <w:ilvl w:val="0"/>
          <w:numId w:val="6"/>
        </w:numPr>
        <w:spacing w:before="120" w:beforeLines="50" w:after="120" w:afterLines="50" w:line="360" w:lineRule="auto"/>
        <w:ind w:left="0" w:firstLine="480" w:firstLineChars="200"/>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施工单位在完工后，须提前3天提交工程验收进度计划给采购人，以便采购人组织相关人员对项目进行验收。</w:t>
      </w:r>
    </w:p>
    <w:p>
      <w:pPr>
        <w:numPr>
          <w:ilvl w:val="0"/>
          <w:numId w:val="6"/>
        </w:numPr>
        <w:spacing w:before="120" w:beforeLines="50" w:after="120" w:afterLines="50" w:line="360" w:lineRule="auto"/>
        <w:ind w:left="0" w:firstLine="480" w:firstLineChars="200"/>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经采购人组织相关人员进行验收合格后，签发验收合格证明文件。</w:t>
      </w:r>
    </w:p>
    <w:p>
      <w:pPr>
        <w:numPr>
          <w:ilvl w:val="0"/>
          <w:numId w:val="6"/>
        </w:numPr>
        <w:spacing w:before="120" w:beforeLines="50" w:after="120" w:afterLines="50" w:line="360" w:lineRule="auto"/>
        <w:ind w:left="0" w:firstLine="480" w:firstLineChars="200"/>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sz w:val="24"/>
          <w:szCs w:val="24"/>
          <w:highlight w:val="none"/>
        </w:rPr>
        <w:t>施工单位必须将产品所有随机资料（包括但不限于设备及材料检验合格证书、3C认证证书等）提交业主，同时将与项目有关的竣工资料一式两份一起提交给</w:t>
      </w:r>
      <w:r>
        <w:rPr>
          <w:rFonts w:hint="eastAsia" w:asciiTheme="minorEastAsia" w:hAnsiTheme="minorEastAsia" w:eastAsiaTheme="minorEastAsia" w:cstheme="minorEastAsia"/>
          <w:sz w:val="24"/>
          <w:szCs w:val="24"/>
          <w:highlight w:val="none"/>
          <w:lang w:val="en-US" w:eastAsia="zh-CN"/>
        </w:rPr>
        <w:t>采购人</w:t>
      </w:r>
      <w:r>
        <w:rPr>
          <w:rFonts w:hint="eastAsia" w:asciiTheme="minorEastAsia" w:hAnsiTheme="minorEastAsia" w:eastAsiaTheme="minorEastAsia" w:cstheme="minorEastAsia"/>
          <w:bCs/>
          <w:kern w:val="0"/>
          <w:sz w:val="24"/>
          <w:szCs w:val="24"/>
          <w:highlight w:val="none"/>
        </w:rPr>
        <w:t>。</w:t>
      </w:r>
    </w:p>
    <w:p>
      <w:pPr>
        <w:numPr>
          <w:ilvl w:val="0"/>
          <w:numId w:val="6"/>
        </w:numPr>
        <w:spacing w:before="120" w:beforeLines="50" w:after="120" w:afterLines="50" w:line="360" w:lineRule="auto"/>
        <w:ind w:left="0" w:firstLine="480" w:firstLineChars="200"/>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来料验收、过程验收及竣工验收。</w:t>
      </w:r>
    </w:p>
    <w:p>
      <w:pPr>
        <w:numPr>
          <w:ilvl w:val="0"/>
          <w:numId w:val="6"/>
        </w:numPr>
        <w:spacing w:before="120" w:beforeLines="50" w:after="120" w:afterLines="50" w:line="360" w:lineRule="auto"/>
        <w:ind w:left="0" w:firstLine="480" w:firstLineChars="200"/>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color w:val="000000"/>
          <w:sz w:val="24"/>
          <w:szCs w:val="24"/>
          <w:highlight w:val="none"/>
        </w:rPr>
        <w:t>质保期为</w:t>
      </w:r>
      <w:r>
        <w:rPr>
          <w:rFonts w:hint="eastAsia" w:asciiTheme="minorEastAsia" w:hAnsiTheme="minorEastAsia" w:eastAsiaTheme="minorEastAsia" w:cstheme="minorEastAsia"/>
          <w:color w:val="000000"/>
          <w:sz w:val="24"/>
          <w:szCs w:val="24"/>
          <w:highlight w:val="none"/>
          <w:lang w:val="en-US" w:eastAsia="zh-CN"/>
        </w:rPr>
        <w:t>1</w:t>
      </w:r>
      <w:r>
        <w:rPr>
          <w:rFonts w:hint="eastAsia" w:asciiTheme="minorEastAsia" w:hAnsiTheme="minorEastAsia" w:eastAsiaTheme="minorEastAsia" w:cstheme="minorEastAsia"/>
          <w:color w:val="000000"/>
          <w:sz w:val="24"/>
          <w:szCs w:val="24"/>
          <w:highlight w:val="none"/>
        </w:rPr>
        <w:t>年,质保期自工程验收合格之日起计。</w:t>
      </w:r>
      <w:r>
        <w:rPr>
          <w:rFonts w:hint="eastAsia" w:asciiTheme="minorEastAsia" w:hAnsiTheme="minorEastAsia" w:eastAsiaTheme="minorEastAsia" w:cstheme="minorEastAsia"/>
          <w:color w:val="000000"/>
          <w:sz w:val="24"/>
          <w:szCs w:val="24"/>
          <w:highlight w:val="none"/>
          <w:lang w:val="en-US" w:eastAsia="zh-CN"/>
        </w:rPr>
        <w:t>。</w:t>
      </w:r>
    </w:p>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工程费用及支付方式</w:t>
      </w:r>
    </w:p>
    <w:p>
      <w:pPr>
        <w:numPr>
          <w:ilvl w:val="0"/>
          <w:numId w:val="7"/>
        </w:numPr>
        <w:spacing w:before="120" w:beforeLines="50" w:after="120" w:afterLines="50" w:line="360" w:lineRule="auto"/>
        <w:ind w:left="0" w:firstLine="480" w:firstLineChars="200"/>
        <w:rPr>
          <w:sz w:val="24"/>
          <w:highlight w:val="none"/>
        </w:rPr>
      </w:pPr>
      <w:r>
        <w:rPr>
          <w:rFonts w:hint="eastAsia"/>
          <w:sz w:val="24"/>
          <w:highlight w:val="none"/>
        </w:rPr>
        <w:t>本工程采用综合单价包干</w:t>
      </w:r>
      <w:r>
        <w:rPr>
          <w:sz w:val="24"/>
          <w:highlight w:val="none"/>
        </w:rPr>
        <w:t>，</w:t>
      </w:r>
      <w:r>
        <w:rPr>
          <w:rFonts w:hint="eastAsia"/>
          <w:sz w:val="24"/>
          <w:highlight w:val="none"/>
        </w:rPr>
        <w:t>包工、包料、包工期、包质量、包安全、包安全文明施工、包验收、包结算、包资料整理、包综合治理、</w:t>
      </w:r>
      <w:r>
        <w:rPr>
          <w:rFonts w:hint="eastAsia"/>
          <w:b/>
          <w:bCs/>
          <w:sz w:val="24"/>
          <w:highlight w:val="none"/>
          <w:lang w:val="en-US" w:eastAsia="zh-CN"/>
        </w:rPr>
        <w:t>包现场卫生清洁</w:t>
      </w:r>
      <w:r>
        <w:rPr>
          <w:rFonts w:hint="eastAsia"/>
          <w:sz w:val="24"/>
          <w:highlight w:val="none"/>
          <w:lang w:val="en-US" w:eastAsia="zh-CN"/>
        </w:rPr>
        <w:t>、</w:t>
      </w:r>
      <w:r>
        <w:rPr>
          <w:rFonts w:hint="eastAsia"/>
          <w:sz w:val="24"/>
          <w:highlight w:val="none"/>
        </w:rPr>
        <w:t>包风险、包利润和管理费等完成本项目的全部费用</w:t>
      </w:r>
      <w:r>
        <w:rPr>
          <w:sz w:val="24"/>
          <w:highlight w:val="none"/>
        </w:rPr>
        <w:t>。</w:t>
      </w:r>
    </w:p>
    <w:p>
      <w:pPr>
        <w:numPr>
          <w:ilvl w:val="0"/>
          <w:numId w:val="7"/>
        </w:numPr>
        <w:spacing w:before="120" w:beforeLines="50" w:after="120" w:afterLines="50" w:line="360" w:lineRule="auto"/>
        <w:ind w:left="0" w:firstLine="480" w:firstLineChars="200"/>
        <w:rPr>
          <w:sz w:val="24"/>
          <w:highlight w:val="none"/>
        </w:rPr>
      </w:pPr>
      <w:r>
        <w:rPr>
          <w:rFonts w:hint="eastAsia"/>
          <w:sz w:val="24"/>
          <w:highlight w:val="none"/>
        </w:rPr>
        <w:t>本项目的投标总价应</w:t>
      </w:r>
      <w:r>
        <w:rPr>
          <w:sz w:val="24"/>
          <w:highlight w:val="none"/>
        </w:rPr>
        <w:t>包含</w:t>
      </w:r>
      <w:r>
        <w:rPr>
          <w:rFonts w:hint="eastAsia"/>
          <w:sz w:val="24"/>
          <w:highlight w:val="none"/>
        </w:rPr>
        <w:t>投标人按施工现场现状及施工范围根据采购人要求</w:t>
      </w:r>
      <w:r>
        <w:rPr>
          <w:sz w:val="24"/>
          <w:highlight w:val="none"/>
        </w:rPr>
        <w:t>完成项</w:t>
      </w:r>
      <w:r>
        <w:rPr>
          <w:rFonts w:hint="eastAsia"/>
          <w:sz w:val="24"/>
          <w:highlight w:val="none"/>
        </w:rPr>
        <w:t>目约定全部</w:t>
      </w:r>
      <w:r>
        <w:rPr>
          <w:sz w:val="24"/>
          <w:highlight w:val="none"/>
        </w:rPr>
        <w:t>工作所需的</w:t>
      </w:r>
      <w:r>
        <w:rPr>
          <w:rFonts w:hint="eastAsia"/>
          <w:sz w:val="24"/>
          <w:highlight w:val="none"/>
        </w:rPr>
        <w:t>税费及相关措施费及合同实施过程中应预见和不可预见的费用等等。工程量清单和竞选范围内的报价如有漏计或漏项的，视为投标人单方面作出的让利，费用不另行增加。</w:t>
      </w:r>
    </w:p>
    <w:p>
      <w:pPr>
        <w:numPr>
          <w:ilvl w:val="0"/>
          <w:numId w:val="7"/>
        </w:numPr>
        <w:spacing w:before="120" w:beforeLines="50" w:after="120" w:afterLines="50" w:line="360" w:lineRule="auto"/>
        <w:ind w:left="0" w:firstLine="480" w:firstLineChars="200"/>
        <w:rPr>
          <w:sz w:val="24"/>
          <w:highlight w:val="none"/>
        </w:rPr>
      </w:pPr>
      <w:r>
        <w:rPr>
          <w:rFonts w:hint="eastAsia"/>
          <w:sz w:val="24"/>
          <w:highlight w:val="none"/>
        </w:rPr>
        <w:t>付款方式</w:t>
      </w:r>
    </w:p>
    <w:p>
      <w:pPr>
        <w:numPr>
          <w:ilvl w:val="0"/>
          <w:numId w:val="8"/>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在本合同履行期内，若国家税费调整，合同含税金额按国家规定税率作出相应调整，供方每次申请付款应按照合同内容开具相应税率的合法有效的增值税专用发票。</w:t>
      </w:r>
    </w:p>
    <w:p>
      <w:pPr>
        <w:numPr>
          <w:ilvl w:val="0"/>
          <w:numId w:val="8"/>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合同付款按施工进度支付，具体为：</w:t>
      </w:r>
    </w:p>
    <w:p>
      <w:pPr>
        <w:numPr>
          <w:ilvl w:val="0"/>
          <w:numId w:val="0"/>
        </w:numPr>
        <w:spacing w:before="120" w:beforeLines="50" w:after="120" w:afterLines="50" w:line="360" w:lineRule="auto"/>
        <w:ind w:firstLine="480" w:firstLineChars="200"/>
        <w:rPr>
          <w:rFonts w:ascii="宋体" w:hAnsi="宋体" w:cs="Arial"/>
          <w:color w:val="000000"/>
          <w:sz w:val="24"/>
        </w:rPr>
      </w:pPr>
      <w:r>
        <w:rPr>
          <w:rFonts w:hint="eastAsia" w:ascii="宋体" w:hAnsi="宋体" w:cs="Arial"/>
          <w:color w:val="000000"/>
          <w:sz w:val="24"/>
          <w:lang w:eastAsia="zh-CN"/>
        </w:rPr>
        <w:t>（</w:t>
      </w:r>
      <w:r>
        <w:rPr>
          <w:rFonts w:hint="eastAsia" w:ascii="宋体" w:hAnsi="宋体" w:cs="Arial"/>
          <w:color w:val="000000"/>
          <w:sz w:val="24"/>
          <w:lang w:val="en-US" w:eastAsia="zh-CN"/>
        </w:rPr>
        <w:t>1</w:t>
      </w:r>
      <w:r>
        <w:rPr>
          <w:rFonts w:hint="eastAsia" w:ascii="宋体" w:hAnsi="宋体" w:cs="Arial"/>
          <w:color w:val="000000"/>
          <w:sz w:val="24"/>
          <w:lang w:eastAsia="zh-CN"/>
        </w:rPr>
        <w:t>）</w:t>
      </w:r>
      <w:r>
        <w:rPr>
          <w:rFonts w:hint="eastAsia" w:ascii="宋体" w:hAnsi="宋体" w:cs="Arial"/>
          <w:color w:val="000000"/>
          <w:sz w:val="24"/>
        </w:rPr>
        <w:t>合同签订并进场后，甲方收到乙方请款资料后15个工作日内支付暂定合同总价</w:t>
      </w:r>
      <w:r>
        <w:rPr>
          <w:rFonts w:ascii="宋体" w:hAnsi="宋体" w:cs="Arial"/>
          <w:color w:val="000000"/>
          <w:sz w:val="24"/>
        </w:rPr>
        <w:t>2</w:t>
      </w:r>
      <w:r>
        <w:rPr>
          <w:rFonts w:hint="eastAsia" w:ascii="宋体" w:hAnsi="宋体" w:cs="Arial"/>
          <w:color w:val="000000"/>
          <w:sz w:val="24"/>
        </w:rPr>
        <w:t>0%的预付款。</w:t>
      </w:r>
    </w:p>
    <w:p>
      <w:pPr>
        <w:numPr>
          <w:ilvl w:val="0"/>
          <w:numId w:val="0"/>
        </w:numPr>
        <w:spacing w:before="120" w:beforeLines="50" w:after="120" w:afterLines="50" w:line="360" w:lineRule="auto"/>
        <w:ind w:firstLine="480" w:firstLineChars="200"/>
        <w:rPr>
          <w:rFonts w:ascii="宋体" w:hAnsi="宋体" w:cs="Arial"/>
          <w:color w:val="000000"/>
          <w:sz w:val="24"/>
        </w:rPr>
      </w:pPr>
      <w:r>
        <w:rPr>
          <w:rFonts w:hint="eastAsia" w:ascii="宋体" w:hAnsi="宋体" w:cs="Arial"/>
          <w:color w:val="000000"/>
          <w:sz w:val="24"/>
          <w:lang w:eastAsia="zh-CN"/>
        </w:rPr>
        <w:t>（</w:t>
      </w:r>
      <w:r>
        <w:rPr>
          <w:rFonts w:hint="eastAsia" w:ascii="宋体" w:hAnsi="宋体" w:cs="Arial"/>
          <w:color w:val="000000"/>
          <w:sz w:val="24"/>
          <w:lang w:val="en-US" w:eastAsia="zh-CN"/>
        </w:rPr>
        <w:t>2</w:t>
      </w:r>
      <w:r>
        <w:rPr>
          <w:rFonts w:hint="eastAsia" w:ascii="宋体" w:hAnsi="宋体" w:cs="Arial"/>
          <w:color w:val="000000"/>
          <w:sz w:val="24"/>
          <w:lang w:eastAsia="zh-CN"/>
        </w:rPr>
        <w:t>）</w:t>
      </w:r>
      <w:r>
        <w:rPr>
          <w:rFonts w:hint="eastAsia" w:ascii="宋体" w:hAnsi="宋体" w:cs="Arial"/>
          <w:color w:val="000000"/>
          <w:sz w:val="24"/>
        </w:rPr>
        <w:t>项目形象进度完成合同工程量80%，甲方收到乙方请款资料后15个工作日内支付至合同总价的6</w:t>
      </w:r>
      <w:r>
        <w:rPr>
          <w:rFonts w:ascii="宋体" w:hAnsi="宋体" w:cs="Arial"/>
          <w:color w:val="000000"/>
          <w:sz w:val="24"/>
        </w:rPr>
        <w:t>0</w:t>
      </w:r>
      <w:r>
        <w:rPr>
          <w:rFonts w:hint="eastAsia" w:ascii="宋体" w:hAnsi="宋体" w:cs="Arial"/>
          <w:color w:val="000000"/>
          <w:sz w:val="24"/>
        </w:rPr>
        <w:t>%。</w:t>
      </w:r>
    </w:p>
    <w:p>
      <w:pPr>
        <w:numPr>
          <w:ilvl w:val="0"/>
          <w:numId w:val="0"/>
        </w:numPr>
        <w:spacing w:before="120" w:beforeLines="50" w:after="120" w:afterLines="50" w:line="360" w:lineRule="auto"/>
        <w:ind w:firstLine="480" w:firstLineChars="200"/>
        <w:rPr>
          <w:rFonts w:ascii="宋体" w:hAnsi="宋体" w:cs="Arial"/>
          <w:color w:val="000000"/>
          <w:sz w:val="24"/>
        </w:rPr>
      </w:pPr>
      <w:r>
        <w:rPr>
          <w:rFonts w:hint="eastAsia" w:ascii="宋体" w:hAnsi="宋体" w:cs="Arial"/>
          <w:color w:val="000000"/>
          <w:sz w:val="24"/>
          <w:lang w:eastAsia="zh-CN"/>
        </w:rPr>
        <w:t>（</w:t>
      </w:r>
      <w:r>
        <w:rPr>
          <w:rFonts w:hint="eastAsia" w:ascii="宋体" w:hAnsi="宋体" w:cs="Arial"/>
          <w:color w:val="000000"/>
          <w:sz w:val="24"/>
          <w:lang w:val="en-US" w:eastAsia="zh-CN"/>
        </w:rPr>
        <w:t>3</w:t>
      </w:r>
      <w:r>
        <w:rPr>
          <w:rFonts w:hint="eastAsia" w:ascii="宋体" w:hAnsi="宋体" w:cs="Arial"/>
          <w:color w:val="000000"/>
          <w:sz w:val="24"/>
          <w:lang w:eastAsia="zh-CN"/>
        </w:rPr>
        <w:t>）</w:t>
      </w:r>
      <w:r>
        <w:rPr>
          <w:rFonts w:hint="eastAsia" w:ascii="宋体" w:hAnsi="宋体" w:cs="Arial"/>
          <w:color w:val="000000"/>
          <w:sz w:val="24"/>
        </w:rPr>
        <w:t>工程全部完工，甲方收到乙方请款资料后15个工作日内支付至合同总价的</w:t>
      </w:r>
      <w:r>
        <w:rPr>
          <w:rFonts w:ascii="宋体" w:hAnsi="宋体" w:cs="Arial"/>
          <w:color w:val="000000"/>
          <w:sz w:val="24"/>
        </w:rPr>
        <w:t>80</w:t>
      </w:r>
      <w:r>
        <w:rPr>
          <w:rFonts w:hint="eastAsia" w:ascii="宋体" w:hAnsi="宋体" w:cs="Arial"/>
          <w:color w:val="000000"/>
          <w:sz w:val="24"/>
        </w:rPr>
        <w:t>%。</w:t>
      </w:r>
    </w:p>
    <w:p>
      <w:pPr>
        <w:numPr>
          <w:ilvl w:val="0"/>
          <w:numId w:val="0"/>
        </w:numPr>
        <w:spacing w:before="120" w:beforeLines="50" w:after="120" w:afterLines="50" w:line="360" w:lineRule="auto"/>
        <w:ind w:firstLine="480" w:firstLineChars="200"/>
        <w:rPr>
          <w:rFonts w:ascii="宋体" w:hAnsi="宋体" w:cs="Arial"/>
          <w:color w:val="000000"/>
          <w:sz w:val="24"/>
        </w:rPr>
      </w:pPr>
      <w:r>
        <w:rPr>
          <w:rFonts w:hint="eastAsia" w:ascii="宋体" w:hAnsi="宋体" w:cs="Arial"/>
          <w:color w:val="000000"/>
          <w:sz w:val="24"/>
          <w:lang w:eastAsia="zh-CN"/>
        </w:rPr>
        <w:t>（</w:t>
      </w:r>
      <w:r>
        <w:rPr>
          <w:rFonts w:hint="eastAsia" w:ascii="宋体" w:hAnsi="宋体" w:cs="Arial"/>
          <w:color w:val="000000"/>
          <w:sz w:val="24"/>
          <w:lang w:val="en-US" w:eastAsia="zh-CN"/>
        </w:rPr>
        <w:t>4</w:t>
      </w:r>
      <w:r>
        <w:rPr>
          <w:rFonts w:hint="eastAsia" w:ascii="宋体" w:hAnsi="宋体" w:cs="Arial"/>
          <w:color w:val="000000"/>
          <w:sz w:val="24"/>
          <w:lang w:eastAsia="zh-CN"/>
        </w:rPr>
        <w:t>）</w:t>
      </w:r>
      <w:r>
        <w:rPr>
          <w:rFonts w:hint="eastAsia" w:ascii="宋体" w:hAnsi="宋体" w:cs="Arial"/>
          <w:color w:val="000000"/>
          <w:sz w:val="24"/>
        </w:rPr>
        <w:t>项目竣工验收合格并按甲方要求完成合同结算手续后，甲方收到乙方请款资料后15个工作日内支付工程款至合同结算总造价的95%。</w:t>
      </w:r>
    </w:p>
    <w:p>
      <w:pPr>
        <w:numPr>
          <w:ilvl w:val="0"/>
          <w:numId w:val="0"/>
        </w:numPr>
        <w:spacing w:before="120" w:beforeLines="50" w:after="120" w:afterLines="50" w:line="360" w:lineRule="auto"/>
        <w:ind w:firstLine="480" w:firstLineChars="200"/>
        <w:rPr>
          <w:rFonts w:ascii="宋体" w:hAnsi="宋体" w:cs="Arial"/>
          <w:color w:val="000000"/>
          <w:sz w:val="24"/>
        </w:rPr>
      </w:pPr>
      <w:r>
        <w:rPr>
          <w:rFonts w:hint="eastAsia" w:ascii="宋体" w:hAnsi="宋体" w:cs="Arial"/>
          <w:color w:val="000000"/>
          <w:sz w:val="24"/>
          <w:lang w:eastAsia="zh-CN"/>
        </w:rPr>
        <w:t>（</w:t>
      </w:r>
      <w:r>
        <w:rPr>
          <w:rFonts w:hint="eastAsia" w:ascii="宋体" w:hAnsi="宋体" w:cs="Arial"/>
          <w:color w:val="000000"/>
          <w:sz w:val="24"/>
          <w:lang w:val="en-US" w:eastAsia="zh-CN"/>
        </w:rPr>
        <w:t>5</w:t>
      </w:r>
      <w:r>
        <w:rPr>
          <w:rFonts w:hint="eastAsia" w:ascii="宋体" w:hAnsi="宋体" w:cs="Arial"/>
          <w:color w:val="000000"/>
          <w:sz w:val="24"/>
          <w:lang w:eastAsia="zh-CN"/>
        </w:rPr>
        <w:t>）</w:t>
      </w:r>
      <w:r>
        <w:rPr>
          <w:rFonts w:hint="eastAsia" w:ascii="宋体" w:hAnsi="宋体" w:cs="Arial"/>
          <w:color w:val="000000"/>
          <w:sz w:val="24"/>
        </w:rPr>
        <w:t>质保期期满且乙方质保期义务按要求履行完毕后，甲方收到乙方请款资料后15个工作日内付清余款（不计利息）。</w:t>
      </w:r>
    </w:p>
    <w:p>
      <w:pPr>
        <w:numPr>
          <w:ilvl w:val="0"/>
          <w:numId w:val="8"/>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每次付款前，乙方应开具符合国家税务规定的等额合格的增值税专用发票给甲方。乙方晚于付款期限提供的，甲方付款期限相应顺延。</w:t>
      </w:r>
    </w:p>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投标文件</w:t>
      </w:r>
    </w:p>
    <w:p>
      <w:pPr>
        <w:spacing w:before="120" w:beforeLines="50" w:after="120" w:afterLines="50" w:line="360" w:lineRule="auto"/>
        <w:ind w:firstLine="480" w:firstLineChars="200"/>
        <w:rPr>
          <w:sz w:val="24"/>
          <w:highlight w:val="none"/>
        </w:rPr>
      </w:pPr>
      <w:r>
        <w:rPr>
          <w:rFonts w:hint="eastAsia"/>
          <w:sz w:val="24"/>
          <w:highlight w:val="none"/>
        </w:rPr>
        <w:t>根据采购人要求的投标文件格式，进行密封报价（盖章）。投标文件应包含以下内容：</w:t>
      </w:r>
    </w:p>
    <w:p>
      <w:pPr>
        <w:numPr>
          <w:ilvl w:val="0"/>
          <w:numId w:val="9"/>
        </w:numPr>
        <w:spacing w:before="120" w:beforeLines="50" w:after="120" w:afterLines="50" w:line="360" w:lineRule="auto"/>
        <w:ind w:left="0" w:firstLine="480" w:firstLineChars="200"/>
        <w:rPr>
          <w:sz w:val="24"/>
          <w:highlight w:val="none"/>
        </w:rPr>
      </w:pPr>
      <w:r>
        <w:rPr>
          <w:rFonts w:hint="eastAsia"/>
          <w:sz w:val="24"/>
          <w:highlight w:val="none"/>
        </w:rPr>
        <w:t>商务部分（提供复印件，并加盖公章）</w:t>
      </w:r>
    </w:p>
    <w:p>
      <w:pPr>
        <w:numPr>
          <w:ilvl w:val="0"/>
          <w:numId w:val="10"/>
        </w:numPr>
        <w:spacing w:before="120" w:beforeLines="50" w:after="120" w:afterLines="50" w:line="360" w:lineRule="auto"/>
        <w:ind w:left="0" w:firstLine="480" w:firstLineChars="200"/>
        <w:rPr>
          <w:rFonts w:ascii="宋体" w:hAnsi="宋体" w:cs="Arial"/>
          <w:color w:val="000000"/>
          <w:sz w:val="24"/>
          <w:highlight w:val="none"/>
        </w:rPr>
      </w:pPr>
      <w:bookmarkStart w:id="3" w:name="_Hlk33472787"/>
      <w:r>
        <w:rPr>
          <w:rFonts w:hint="eastAsia" w:ascii="宋体" w:hAnsi="宋体" w:cs="Arial"/>
          <w:color w:val="000000"/>
          <w:sz w:val="24"/>
          <w:highlight w:val="none"/>
        </w:rPr>
        <w:t>有效的企业工商营业执照、企业法人组织机构代码证书、税务登记证书（或三证合一）；</w:t>
      </w:r>
    </w:p>
    <w:p>
      <w:pPr>
        <w:numPr>
          <w:ilvl w:val="0"/>
          <w:numId w:val="10"/>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供应商调查表（格式见附件2）</w:t>
      </w:r>
    </w:p>
    <w:p>
      <w:pPr>
        <w:numPr>
          <w:ilvl w:val="0"/>
          <w:numId w:val="10"/>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法定代表人证明书、法定代表人授权委托书原件（格式见附件3和附件4）；</w:t>
      </w:r>
    </w:p>
    <w:p>
      <w:pPr>
        <w:numPr>
          <w:ilvl w:val="0"/>
          <w:numId w:val="10"/>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有效的安全生产许可证及资质证书；</w:t>
      </w:r>
    </w:p>
    <w:p>
      <w:pPr>
        <w:numPr>
          <w:ilvl w:val="0"/>
          <w:numId w:val="10"/>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本工程拟派项目负责人简历表</w:t>
      </w:r>
      <w:r>
        <w:rPr>
          <w:rFonts w:ascii="宋体" w:hAnsi="宋体" w:cs="Arial"/>
          <w:color w:val="000000"/>
          <w:sz w:val="24"/>
          <w:highlight w:val="none"/>
        </w:rPr>
        <w:t>（包括姓名、部门和职务、</w:t>
      </w:r>
      <w:r>
        <w:rPr>
          <w:rFonts w:hint="eastAsia" w:ascii="宋体" w:hAnsi="宋体" w:cs="Arial"/>
          <w:color w:val="000000"/>
          <w:sz w:val="24"/>
          <w:highlight w:val="none"/>
        </w:rPr>
        <w:t>所学专业和</w:t>
      </w:r>
      <w:r>
        <w:rPr>
          <w:rFonts w:ascii="宋体" w:hAnsi="宋体" w:cs="Arial"/>
          <w:color w:val="000000"/>
          <w:sz w:val="24"/>
          <w:highlight w:val="none"/>
        </w:rPr>
        <w:t>毕业</w:t>
      </w:r>
      <w:r>
        <w:rPr>
          <w:rFonts w:hint="eastAsia" w:ascii="宋体" w:hAnsi="宋体" w:cs="Arial"/>
          <w:color w:val="000000"/>
          <w:sz w:val="24"/>
          <w:highlight w:val="none"/>
        </w:rPr>
        <w:t>院校名称及毕业</w:t>
      </w:r>
      <w:r>
        <w:rPr>
          <w:rFonts w:ascii="宋体" w:hAnsi="宋体" w:cs="Arial"/>
          <w:color w:val="000000"/>
          <w:sz w:val="24"/>
          <w:highlight w:val="none"/>
        </w:rPr>
        <w:t>时间、主要资历、经验及承担过的</w:t>
      </w:r>
      <w:r>
        <w:rPr>
          <w:rFonts w:hint="eastAsia" w:ascii="宋体" w:hAnsi="宋体" w:cs="Arial"/>
          <w:color w:val="000000"/>
          <w:sz w:val="24"/>
          <w:highlight w:val="none"/>
        </w:rPr>
        <w:t>类似</w:t>
      </w:r>
      <w:r>
        <w:rPr>
          <w:rFonts w:ascii="宋体" w:hAnsi="宋体" w:cs="Arial"/>
          <w:color w:val="000000"/>
          <w:sz w:val="24"/>
          <w:highlight w:val="none"/>
        </w:rPr>
        <w:t>项目</w:t>
      </w:r>
      <w:r>
        <w:rPr>
          <w:rFonts w:hint="eastAsia" w:ascii="宋体" w:hAnsi="宋体" w:cs="Arial"/>
          <w:color w:val="000000"/>
          <w:sz w:val="24"/>
          <w:highlight w:val="none"/>
        </w:rPr>
        <w:t>，</w:t>
      </w:r>
      <w:r>
        <w:rPr>
          <w:rFonts w:ascii="宋体" w:hAnsi="宋体" w:cs="Arial"/>
          <w:color w:val="000000"/>
          <w:sz w:val="24"/>
          <w:highlight w:val="none"/>
        </w:rPr>
        <w:t>获得认证资质证书</w:t>
      </w:r>
      <w:r>
        <w:rPr>
          <w:rFonts w:hint="eastAsia" w:ascii="宋体" w:hAnsi="宋体" w:cs="Arial"/>
          <w:color w:val="000000"/>
          <w:sz w:val="24"/>
          <w:highlight w:val="none"/>
        </w:rPr>
        <w:t>及复印件</w:t>
      </w:r>
      <w:r>
        <w:rPr>
          <w:rFonts w:ascii="宋体" w:hAnsi="宋体" w:cs="Arial"/>
          <w:color w:val="000000"/>
          <w:sz w:val="24"/>
          <w:highlight w:val="none"/>
        </w:rPr>
        <w:t>）</w:t>
      </w:r>
      <w:r>
        <w:rPr>
          <w:rFonts w:hint="eastAsia" w:ascii="宋体" w:hAnsi="宋体" w:cs="Arial"/>
          <w:color w:val="000000"/>
          <w:sz w:val="24"/>
          <w:highlight w:val="none"/>
        </w:rPr>
        <w:t>；</w:t>
      </w:r>
    </w:p>
    <w:p>
      <w:pPr>
        <w:numPr>
          <w:ilvl w:val="0"/>
          <w:numId w:val="10"/>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近3年内(20</w:t>
      </w:r>
      <w:r>
        <w:rPr>
          <w:rFonts w:hint="eastAsia" w:ascii="宋体" w:hAnsi="宋体" w:cs="Arial"/>
          <w:color w:val="000000"/>
          <w:sz w:val="24"/>
          <w:highlight w:val="none"/>
          <w:lang w:val="en-US" w:eastAsia="zh-CN"/>
        </w:rPr>
        <w:t>20</w:t>
      </w:r>
      <w:r>
        <w:rPr>
          <w:rFonts w:hint="eastAsia" w:ascii="宋体" w:hAnsi="宋体" w:cs="Arial"/>
          <w:color w:val="000000"/>
          <w:sz w:val="24"/>
          <w:highlight w:val="none"/>
        </w:rPr>
        <w:t>年1月1日至今) 完成过质量合格的类似项目业绩（需提供合同</w:t>
      </w:r>
      <w:r>
        <w:rPr>
          <w:rFonts w:hint="eastAsia" w:ascii="宋体" w:hAnsi="宋体" w:cs="Arial"/>
          <w:color w:val="000000"/>
          <w:sz w:val="24"/>
          <w:highlight w:val="none"/>
          <w:lang w:val="en-US" w:eastAsia="zh-CN"/>
        </w:rPr>
        <w:t>和验收报告</w:t>
      </w:r>
      <w:r>
        <w:rPr>
          <w:rFonts w:hint="eastAsia" w:ascii="宋体" w:hAnsi="宋体" w:cs="Arial"/>
          <w:color w:val="000000"/>
          <w:sz w:val="24"/>
          <w:highlight w:val="none"/>
        </w:rPr>
        <w:t>等相关证明材料复印件）；</w:t>
      </w:r>
    </w:p>
    <w:p>
      <w:pPr>
        <w:numPr>
          <w:ilvl w:val="0"/>
          <w:numId w:val="10"/>
        </w:numPr>
        <w:spacing w:before="120" w:beforeLines="50" w:after="120" w:afterLines="50" w:line="360" w:lineRule="auto"/>
        <w:ind w:left="0" w:firstLine="480" w:firstLineChars="200"/>
        <w:rPr>
          <w:sz w:val="28"/>
          <w:szCs w:val="28"/>
          <w:highlight w:val="none"/>
        </w:rPr>
      </w:pPr>
      <w:r>
        <w:rPr>
          <w:rFonts w:hint="eastAsia" w:ascii="宋体" w:hAnsi="宋体" w:cs="Arial"/>
          <w:color w:val="000000"/>
          <w:sz w:val="24"/>
          <w:highlight w:val="none"/>
        </w:rPr>
        <w:t>投标人认为有必要的其他材料复印件</w:t>
      </w:r>
      <w:bookmarkEnd w:id="3"/>
      <w:r>
        <w:rPr>
          <w:rFonts w:hint="eastAsia" w:ascii="宋体" w:hAnsi="宋体" w:cs="Arial"/>
          <w:color w:val="000000"/>
          <w:sz w:val="24"/>
          <w:highlight w:val="none"/>
        </w:rPr>
        <w:t>。</w:t>
      </w:r>
    </w:p>
    <w:p>
      <w:pPr>
        <w:numPr>
          <w:ilvl w:val="0"/>
          <w:numId w:val="9"/>
        </w:numPr>
        <w:spacing w:before="120" w:beforeLines="50" w:after="120" w:afterLines="50" w:line="360" w:lineRule="auto"/>
        <w:ind w:left="0" w:firstLine="480" w:firstLineChars="200"/>
        <w:rPr>
          <w:sz w:val="24"/>
          <w:highlight w:val="none"/>
        </w:rPr>
      </w:pPr>
      <w:r>
        <w:rPr>
          <w:rFonts w:hint="eastAsia"/>
          <w:sz w:val="24"/>
          <w:highlight w:val="none"/>
        </w:rPr>
        <w:t>技术部分（格式自定，加盖公章）</w:t>
      </w:r>
    </w:p>
    <w:p>
      <w:pPr>
        <w:spacing w:before="120" w:beforeLines="50" w:after="120" w:afterLines="50" w:line="360" w:lineRule="auto"/>
        <w:ind w:firstLine="480" w:firstLineChars="200"/>
        <w:rPr>
          <w:sz w:val="24"/>
          <w:highlight w:val="none"/>
        </w:rPr>
      </w:pPr>
      <w:r>
        <w:rPr>
          <w:rFonts w:hint="eastAsia"/>
          <w:sz w:val="24"/>
          <w:highlight w:val="none"/>
        </w:rPr>
        <w:t>施工方案：施工单位应充分了解现场条件，并针对本项目制定切实可行的施工方案，包括但不限于：</w:t>
      </w:r>
    </w:p>
    <w:p>
      <w:pPr>
        <w:numPr>
          <w:ilvl w:val="0"/>
          <w:numId w:val="11"/>
        </w:numPr>
        <w:spacing w:before="120" w:beforeLines="50" w:after="120" w:afterLines="50" w:line="360" w:lineRule="auto"/>
        <w:ind w:left="0" w:firstLine="480" w:firstLineChars="200"/>
        <w:rPr>
          <w:rFonts w:ascii="宋体" w:hAnsi="宋体" w:cs="Arial"/>
          <w:color w:val="000000"/>
          <w:sz w:val="24"/>
          <w:highlight w:val="none"/>
        </w:rPr>
      </w:pPr>
      <w:bookmarkStart w:id="4" w:name="_Hlk33472829"/>
      <w:r>
        <w:rPr>
          <w:rFonts w:hint="eastAsia" w:ascii="宋体" w:hAnsi="宋体" w:cs="Arial"/>
          <w:color w:val="000000"/>
          <w:sz w:val="24"/>
          <w:highlight w:val="none"/>
        </w:rPr>
        <w:t>总体实施方案；</w:t>
      </w:r>
    </w:p>
    <w:p>
      <w:pPr>
        <w:numPr>
          <w:ilvl w:val="0"/>
          <w:numId w:val="11"/>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实施进度计划和工期承诺书；</w:t>
      </w:r>
    </w:p>
    <w:p>
      <w:pPr>
        <w:numPr>
          <w:ilvl w:val="0"/>
          <w:numId w:val="11"/>
        </w:numPr>
        <w:spacing w:before="120" w:beforeLines="50" w:after="120" w:afterLines="50" w:line="360" w:lineRule="auto"/>
        <w:ind w:left="0" w:firstLine="480" w:firstLineChars="200"/>
        <w:rPr>
          <w:rFonts w:hint="eastAsia" w:ascii="宋体" w:hAnsi="宋体" w:cs="Arial"/>
          <w:color w:val="000000"/>
          <w:sz w:val="24"/>
          <w:highlight w:val="none"/>
        </w:rPr>
      </w:pPr>
      <w:r>
        <w:rPr>
          <w:rFonts w:hint="eastAsia" w:ascii="宋体" w:hAnsi="宋体" w:cs="Arial"/>
          <w:color w:val="000000"/>
          <w:sz w:val="24"/>
          <w:highlight w:val="none"/>
        </w:rPr>
        <w:t>确保实施进度的技术和组织措施</w:t>
      </w:r>
    </w:p>
    <w:p>
      <w:pPr>
        <w:numPr>
          <w:ilvl w:val="0"/>
          <w:numId w:val="11"/>
        </w:numPr>
        <w:spacing w:before="120" w:beforeLines="50" w:after="120" w:afterLines="50" w:line="360" w:lineRule="auto"/>
        <w:ind w:left="0" w:firstLine="480" w:firstLineChars="200"/>
        <w:rPr>
          <w:rFonts w:hint="eastAsia" w:ascii="宋体" w:hAnsi="宋体" w:cs="Arial"/>
          <w:color w:val="000000"/>
          <w:sz w:val="24"/>
          <w:highlight w:val="none"/>
        </w:rPr>
      </w:pPr>
      <w:r>
        <w:rPr>
          <w:rFonts w:hint="eastAsia" w:ascii="宋体" w:hAnsi="宋体" w:cs="Arial"/>
          <w:color w:val="000000"/>
          <w:sz w:val="24"/>
          <w:highlight w:val="none"/>
        </w:rPr>
        <w:t>确保安全文明施工的技术和组织措施；</w:t>
      </w:r>
    </w:p>
    <w:p>
      <w:pPr>
        <w:numPr>
          <w:ilvl w:val="0"/>
          <w:numId w:val="11"/>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投入的机械设备；</w:t>
      </w:r>
    </w:p>
    <w:p>
      <w:pPr>
        <w:numPr>
          <w:ilvl w:val="0"/>
          <w:numId w:val="11"/>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投标人认为其它需要说明的文字</w:t>
      </w:r>
      <w:bookmarkEnd w:id="4"/>
      <w:r>
        <w:rPr>
          <w:rFonts w:hint="eastAsia" w:ascii="宋体" w:hAnsi="宋体" w:cs="Arial"/>
          <w:color w:val="000000"/>
          <w:sz w:val="24"/>
          <w:highlight w:val="none"/>
        </w:rPr>
        <w:t>。</w:t>
      </w:r>
    </w:p>
    <w:p>
      <w:pPr>
        <w:numPr>
          <w:ilvl w:val="0"/>
          <w:numId w:val="9"/>
        </w:numPr>
        <w:spacing w:before="120" w:beforeLines="50" w:after="120" w:afterLines="50" w:line="360" w:lineRule="auto"/>
        <w:ind w:left="0" w:firstLine="480" w:firstLineChars="200"/>
        <w:rPr>
          <w:sz w:val="24"/>
          <w:highlight w:val="none"/>
        </w:rPr>
      </w:pPr>
      <w:r>
        <w:rPr>
          <w:rFonts w:hint="eastAsia"/>
          <w:sz w:val="24"/>
          <w:highlight w:val="none"/>
        </w:rPr>
        <w:t>价格文件（加盖公章）</w:t>
      </w:r>
    </w:p>
    <w:p>
      <w:pPr>
        <w:numPr>
          <w:ilvl w:val="0"/>
          <w:numId w:val="12"/>
        </w:numPr>
        <w:spacing w:before="120" w:beforeLines="50" w:after="120" w:afterLines="50" w:line="360" w:lineRule="auto"/>
        <w:ind w:left="0" w:firstLine="480" w:firstLineChars="200"/>
        <w:rPr>
          <w:rFonts w:ascii="宋体" w:hAnsi="宋体" w:cs="Arial"/>
          <w:color w:val="000000"/>
          <w:sz w:val="24"/>
          <w:highlight w:val="none"/>
        </w:rPr>
      </w:pPr>
      <w:bookmarkStart w:id="5" w:name="_Hlk33472852"/>
      <w:r>
        <w:rPr>
          <w:rFonts w:hint="eastAsia" w:ascii="宋体" w:hAnsi="宋体" w:cs="Arial"/>
          <w:color w:val="000000"/>
          <w:sz w:val="24"/>
          <w:highlight w:val="none"/>
        </w:rPr>
        <w:t>报价一览表（格式见附件1）</w:t>
      </w:r>
    </w:p>
    <w:p>
      <w:pPr>
        <w:numPr>
          <w:ilvl w:val="0"/>
          <w:numId w:val="12"/>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报价明细表：采用工程量清单计价，</w:t>
      </w:r>
      <w:r>
        <w:rPr>
          <w:rFonts w:hint="eastAsia" w:ascii="宋体" w:hAnsi="宋体" w:cs="Arial"/>
          <w:color w:val="000000"/>
          <w:sz w:val="24"/>
          <w:highlight w:val="none"/>
          <w:lang w:val="en-US" w:eastAsia="zh-CN"/>
        </w:rPr>
        <w:t>按批次报价，</w:t>
      </w:r>
      <w:r>
        <w:rPr>
          <w:rFonts w:hint="eastAsia" w:ascii="宋体" w:hAnsi="宋体" w:cs="Arial"/>
          <w:color w:val="000000"/>
          <w:sz w:val="24"/>
          <w:highlight w:val="none"/>
        </w:rPr>
        <w:t>按本竞选文件所附工程量清单和乙供主要材料清单报价，并以此作为结算依据，包括但不限于工程量清单和乙供主要材料清单各项目单价及综合总报价，并注明未含税总价、税率和含税总价</w:t>
      </w:r>
      <w:bookmarkEnd w:id="5"/>
      <w:r>
        <w:rPr>
          <w:rFonts w:hint="eastAsia" w:ascii="宋体" w:hAnsi="宋体" w:cs="Arial"/>
          <w:color w:val="000000"/>
          <w:sz w:val="24"/>
          <w:highlight w:val="none"/>
        </w:rPr>
        <w:t>。</w:t>
      </w:r>
    </w:p>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评标方法</w:t>
      </w:r>
    </w:p>
    <w:p>
      <w:pPr>
        <w:spacing w:before="120" w:beforeLines="50" w:after="120" w:afterLines="50" w:line="360" w:lineRule="auto"/>
        <w:ind w:firstLine="480" w:firstLineChars="200"/>
        <w:rPr>
          <w:sz w:val="24"/>
          <w:highlight w:val="none"/>
        </w:rPr>
      </w:pPr>
      <w:bookmarkStart w:id="6" w:name="_Hlk33472865"/>
      <w:r>
        <w:rPr>
          <w:rFonts w:hint="eastAsia"/>
          <w:sz w:val="24"/>
          <w:highlight w:val="none"/>
        </w:rPr>
        <w:t>本项目采用综合评估法，对投标人进行价格和信用评审，其中价格评审部分占</w:t>
      </w:r>
      <w:r>
        <w:rPr>
          <w:sz w:val="24"/>
          <w:highlight w:val="none"/>
        </w:rPr>
        <w:t>90%</w:t>
      </w:r>
      <w:r>
        <w:rPr>
          <w:rFonts w:hint="eastAsia"/>
          <w:sz w:val="24"/>
          <w:highlight w:val="none"/>
        </w:rPr>
        <w:t>，供应商诚信部分占</w:t>
      </w:r>
      <w:r>
        <w:rPr>
          <w:sz w:val="24"/>
          <w:highlight w:val="none"/>
        </w:rPr>
        <w:t>10%</w:t>
      </w:r>
      <w:r>
        <w:rPr>
          <w:rFonts w:hint="eastAsia"/>
          <w:sz w:val="24"/>
          <w:highlight w:val="none"/>
        </w:rPr>
        <w:t>，投标人</w:t>
      </w:r>
      <w:r>
        <w:rPr>
          <w:rFonts w:hint="eastAsia" w:ascii="宋体" w:hAnsi="宋体"/>
          <w:sz w:val="24"/>
          <w:highlight w:val="none"/>
        </w:rPr>
        <w:t>评审</w:t>
      </w:r>
      <w:r>
        <w:rPr>
          <w:rFonts w:hint="eastAsia"/>
          <w:sz w:val="24"/>
          <w:highlight w:val="none"/>
        </w:rPr>
        <w:t>得分</w:t>
      </w:r>
      <w:r>
        <w:rPr>
          <w:sz w:val="24"/>
          <w:highlight w:val="none"/>
        </w:rPr>
        <w:t>=</w:t>
      </w:r>
      <w:r>
        <w:rPr>
          <w:rFonts w:hint="eastAsia"/>
          <w:sz w:val="24"/>
          <w:highlight w:val="none"/>
        </w:rPr>
        <w:t>价格得分</w:t>
      </w:r>
      <w:r>
        <w:rPr>
          <w:sz w:val="24"/>
          <w:highlight w:val="none"/>
        </w:rPr>
        <w:t>+</w:t>
      </w:r>
      <w:r>
        <w:rPr>
          <w:rFonts w:hint="eastAsia"/>
          <w:sz w:val="24"/>
          <w:highlight w:val="none"/>
        </w:rPr>
        <w:t>诚信分。以经评审的最低投标报价作为评标基准价，当投标价等于评标基准价时价格分得满分，投标价每高于评标基准价</w:t>
      </w:r>
      <w:r>
        <w:rPr>
          <w:sz w:val="24"/>
          <w:highlight w:val="none"/>
        </w:rPr>
        <w:t>1%</w:t>
      </w:r>
      <w:r>
        <w:rPr>
          <w:rFonts w:hint="eastAsia"/>
          <w:sz w:val="24"/>
          <w:highlight w:val="none"/>
        </w:rPr>
        <w:t>扣</w:t>
      </w:r>
      <w:r>
        <w:rPr>
          <w:sz w:val="24"/>
          <w:highlight w:val="none"/>
        </w:rPr>
        <w:t>1</w:t>
      </w:r>
      <w:r>
        <w:rPr>
          <w:rFonts w:hint="eastAsia"/>
          <w:sz w:val="24"/>
          <w:highlight w:val="none"/>
        </w:rPr>
        <w:t>分，扣至</w:t>
      </w:r>
      <w:r>
        <w:rPr>
          <w:sz w:val="24"/>
          <w:highlight w:val="none"/>
        </w:rPr>
        <w:t>0</w:t>
      </w:r>
      <w:r>
        <w:rPr>
          <w:rFonts w:hint="eastAsia"/>
          <w:sz w:val="24"/>
          <w:highlight w:val="none"/>
        </w:rPr>
        <w:t>分为止。供应商诚信分以评标当天采购人供应商管理系统查到的分值直接计取（供应商诚信分原始分为</w:t>
      </w:r>
      <w:r>
        <w:rPr>
          <w:sz w:val="24"/>
          <w:highlight w:val="none"/>
        </w:rPr>
        <w:t>0</w:t>
      </w:r>
      <w:r>
        <w:rPr>
          <w:rFonts w:hint="eastAsia"/>
          <w:sz w:val="24"/>
          <w:highlight w:val="none"/>
        </w:rPr>
        <w:t>分），投标人不在供应商管理系统内的，诚信分按</w:t>
      </w:r>
      <w:r>
        <w:rPr>
          <w:sz w:val="24"/>
          <w:highlight w:val="none"/>
        </w:rPr>
        <w:t>0</w:t>
      </w:r>
      <w:r>
        <w:rPr>
          <w:rFonts w:hint="eastAsia"/>
          <w:sz w:val="24"/>
          <w:highlight w:val="none"/>
        </w:rPr>
        <w:t>分计算。供应商诚信分在采购人官方网站上定期公布。同时通过投标人资格审查（见附件</w:t>
      </w:r>
      <w:r>
        <w:rPr>
          <w:sz w:val="24"/>
          <w:highlight w:val="none"/>
        </w:rPr>
        <w:t>5</w:t>
      </w:r>
      <w:r>
        <w:rPr>
          <w:rFonts w:hint="eastAsia"/>
          <w:sz w:val="24"/>
          <w:highlight w:val="none"/>
        </w:rPr>
        <w:t>）和投标文件有效性审查（见附件</w:t>
      </w:r>
      <w:r>
        <w:rPr>
          <w:sz w:val="24"/>
          <w:highlight w:val="none"/>
        </w:rPr>
        <w:t>6</w:t>
      </w:r>
      <w:r>
        <w:rPr>
          <w:rFonts w:hint="eastAsia"/>
          <w:sz w:val="24"/>
          <w:highlight w:val="none"/>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bookmarkEnd w:id="6"/>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勘踏现场</w:t>
      </w:r>
    </w:p>
    <w:p>
      <w:pPr>
        <w:spacing w:before="120" w:beforeLines="50" w:after="120" w:afterLines="50" w:line="360" w:lineRule="auto"/>
        <w:ind w:firstLine="480" w:firstLineChars="200"/>
        <w:rPr>
          <w:sz w:val="24"/>
          <w:highlight w:val="none"/>
        </w:rPr>
      </w:pPr>
      <w:bookmarkStart w:id="7" w:name="_Hlk33472887"/>
      <w:r>
        <w:rPr>
          <w:rFonts w:hint="eastAsia"/>
          <w:sz w:val="24"/>
          <w:highlight w:val="none"/>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7"/>
      <w:r>
        <w:rPr>
          <w:rFonts w:hint="eastAsia"/>
          <w:sz w:val="24"/>
          <w:highlight w:val="none"/>
        </w:rPr>
        <w:t>。勘踏现场时间：</w:t>
      </w:r>
      <w:r>
        <w:rPr>
          <w:sz w:val="24"/>
          <w:highlight w:val="none"/>
        </w:rPr>
        <w:t>202</w:t>
      </w:r>
      <w:r>
        <w:rPr>
          <w:rFonts w:hint="eastAsia"/>
          <w:sz w:val="24"/>
          <w:highlight w:val="none"/>
          <w:lang w:val="en-US" w:eastAsia="zh-CN"/>
        </w:rPr>
        <w:t>3</w:t>
      </w:r>
      <w:r>
        <w:rPr>
          <w:rFonts w:hint="eastAsia"/>
          <w:color w:val="FF0000"/>
          <w:sz w:val="24"/>
          <w:highlight w:val="none"/>
        </w:rPr>
        <w:t>年</w:t>
      </w:r>
      <w:r>
        <w:rPr>
          <w:rFonts w:hint="eastAsia"/>
          <w:color w:val="FF0000"/>
          <w:sz w:val="24"/>
          <w:highlight w:val="none"/>
          <w:lang w:val="en-US" w:eastAsia="zh-CN"/>
        </w:rPr>
        <w:t>1</w:t>
      </w:r>
      <w:r>
        <w:rPr>
          <w:rFonts w:hint="eastAsia"/>
          <w:color w:val="FF0000"/>
          <w:sz w:val="24"/>
          <w:highlight w:val="none"/>
        </w:rPr>
        <w:t>月</w:t>
      </w:r>
      <w:r>
        <w:rPr>
          <w:rFonts w:hint="eastAsia"/>
          <w:color w:val="FF0000"/>
          <w:sz w:val="24"/>
          <w:highlight w:val="none"/>
          <w:lang w:val="en-US" w:eastAsia="zh-CN"/>
        </w:rPr>
        <w:t>13</w:t>
      </w:r>
      <w:r>
        <w:rPr>
          <w:rFonts w:hint="eastAsia"/>
          <w:color w:val="FF0000"/>
          <w:sz w:val="24"/>
          <w:highlight w:val="none"/>
        </w:rPr>
        <w:t>日</w:t>
      </w:r>
      <w:r>
        <w:rPr>
          <w:sz w:val="24"/>
          <w:highlight w:val="none"/>
        </w:rPr>
        <w:t>10</w:t>
      </w:r>
      <w:r>
        <w:rPr>
          <w:rFonts w:hint="eastAsia"/>
          <w:sz w:val="24"/>
          <w:highlight w:val="none"/>
        </w:rPr>
        <w:t>时</w:t>
      </w:r>
      <w:r>
        <w:rPr>
          <w:sz w:val="24"/>
          <w:highlight w:val="none"/>
        </w:rPr>
        <w:t>00</w:t>
      </w:r>
      <w:r>
        <w:rPr>
          <w:rFonts w:hint="eastAsia"/>
          <w:sz w:val="24"/>
          <w:highlight w:val="none"/>
        </w:rPr>
        <w:t>分，集中地点：广州市番禺区大学城明志街1号信息枢纽楼一楼西门。勘踏现场联系人生产部</w:t>
      </w:r>
      <w:r>
        <w:rPr>
          <w:rFonts w:hint="eastAsia"/>
          <w:sz w:val="24"/>
          <w:highlight w:val="none"/>
          <w:lang w:val="en-US" w:eastAsia="zh-CN"/>
        </w:rPr>
        <w:t>王</w:t>
      </w:r>
      <w:r>
        <w:rPr>
          <w:rFonts w:hint="eastAsia"/>
          <w:sz w:val="24"/>
          <w:highlight w:val="none"/>
        </w:rPr>
        <w:t>工，联系电话：</w:t>
      </w:r>
      <w:r>
        <w:rPr>
          <w:rFonts w:hint="eastAsia"/>
          <w:sz w:val="24"/>
          <w:highlight w:val="none"/>
          <w:lang w:val="en-US" w:eastAsia="zh-CN"/>
        </w:rPr>
        <w:t>020-39302031</w:t>
      </w:r>
      <w:r>
        <w:rPr>
          <w:rFonts w:hint="eastAsia"/>
          <w:sz w:val="24"/>
          <w:highlight w:val="none"/>
        </w:rPr>
        <w:t>。投标人未在规定时间勘踏现场的，采购人不再另行组织，由投标人自行前往勘踏。</w:t>
      </w:r>
    </w:p>
    <w:p>
      <w:pPr>
        <w:numPr>
          <w:ilvl w:val="0"/>
          <w:numId w:val="1"/>
        </w:numPr>
        <w:spacing w:before="120" w:beforeLines="50" w:after="120" w:afterLines="50" w:line="360" w:lineRule="auto"/>
        <w:ind w:left="0" w:firstLine="482" w:firstLineChars="200"/>
        <w:rPr>
          <w:rFonts w:ascii="宋体" w:hAnsi="宋体"/>
          <w:b/>
          <w:sz w:val="24"/>
          <w:highlight w:val="none"/>
        </w:rPr>
      </w:pPr>
      <w:bookmarkStart w:id="8" w:name="_Hlk33473031"/>
      <w:r>
        <w:rPr>
          <w:rFonts w:hint="eastAsia" w:ascii="宋体" w:hAnsi="宋体"/>
          <w:b/>
          <w:sz w:val="24"/>
          <w:highlight w:val="none"/>
        </w:rPr>
        <w:t>递交投标文件</w:t>
      </w:r>
    </w:p>
    <w:p>
      <w:pPr>
        <w:numPr>
          <w:ilvl w:val="0"/>
          <w:numId w:val="13"/>
        </w:numPr>
        <w:spacing w:before="120" w:beforeLines="50" w:after="120" w:afterLines="50" w:line="360" w:lineRule="auto"/>
        <w:ind w:left="0" w:firstLine="480" w:firstLineChars="200"/>
        <w:rPr>
          <w:sz w:val="24"/>
          <w:highlight w:val="none"/>
        </w:rPr>
      </w:pPr>
      <w:bookmarkStart w:id="9" w:name="_Hlk33472917"/>
      <w:bookmarkStart w:id="10" w:name="_Hlk33473061"/>
      <w:r>
        <w:rPr>
          <w:rFonts w:hint="eastAsia"/>
          <w:sz w:val="24"/>
          <w:highlight w:val="none"/>
        </w:rPr>
        <w:t>投标文件递交截止时间</w:t>
      </w:r>
      <w:r>
        <w:rPr>
          <w:rFonts w:hint="eastAsia"/>
          <w:color w:val="FF0000"/>
          <w:sz w:val="24"/>
          <w:highlight w:val="none"/>
        </w:rPr>
        <w:t>：</w:t>
      </w:r>
      <w:r>
        <w:rPr>
          <w:color w:val="FF0000"/>
          <w:sz w:val="24"/>
          <w:highlight w:val="none"/>
        </w:rPr>
        <w:t>202</w:t>
      </w:r>
      <w:r>
        <w:rPr>
          <w:rFonts w:hint="eastAsia"/>
          <w:color w:val="FF0000"/>
          <w:sz w:val="24"/>
          <w:highlight w:val="none"/>
          <w:lang w:val="en-US" w:eastAsia="zh-CN"/>
        </w:rPr>
        <w:t>3</w:t>
      </w:r>
      <w:r>
        <w:rPr>
          <w:color w:val="FF0000"/>
          <w:sz w:val="24"/>
          <w:highlight w:val="none"/>
        </w:rPr>
        <w:t xml:space="preserve"> </w:t>
      </w:r>
      <w:r>
        <w:rPr>
          <w:rFonts w:hint="eastAsia"/>
          <w:color w:val="FF0000"/>
          <w:sz w:val="24"/>
          <w:highlight w:val="none"/>
        </w:rPr>
        <w:t>年</w:t>
      </w:r>
      <w:r>
        <w:rPr>
          <w:rFonts w:hint="eastAsia"/>
          <w:color w:val="FF0000"/>
          <w:sz w:val="24"/>
          <w:highlight w:val="none"/>
          <w:lang w:val="en-US" w:eastAsia="zh-CN"/>
        </w:rPr>
        <w:t>1</w:t>
      </w:r>
      <w:r>
        <w:rPr>
          <w:rFonts w:hint="eastAsia"/>
          <w:color w:val="FF0000"/>
          <w:sz w:val="24"/>
          <w:highlight w:val="none"/>
        </w:rPr>
        <w:t>月</w:t>
      </w:r>
      <w:r>
        <w:rPr>
          <w:rFonts w:hint="eastAsia"/>
          <w:color w:val="FF0000"/>
          <w:sz w:val="24"/>
          <w:highlight w:val="none"/>
          <w:lang w:val="en-US" w:eastAsia="zh-CN"/>
        </w:rPr>
        <w:t>17</w:t>
      </w:r>
      <w:r>
        <w:rPr>
          <w:rFonts w:hint="eastAsia"/>
          <w:color w:val="FF0000"/>
          <w:sz w:val="24"/>
          <w:highlight w:val="none"/>
        </w:rPr>
        <w:t>日</w:t>
      </w:r>
      <w:r>
        <w:rPr>
          <w:rFonts w:hint="eastAsia"/>
          <w:sz w:val="24"/>
          <w:highlight w:val="none"/>
        </w:rPr>
        <w:t>北京时间15时</w:t>
      </w:r>
      <w:r>
        <w:rPr>
          <w:rFonts w:hint="eastAsia"/>
          <w:sz w:val="24"/>
          <w:highlight w:val="none"/>
          <w:lang w:val="en-US" w:eastAsia="zh-CN"/>
        </w:rPr>
        <w:t>30</w:t>
      </w:r>
      <w:r>
        <w:rPr>
          <w:rFonts w:hint="eastAsia"/>
          <w:sz w:val="24"/>
          <w:highlight w:val="none"/>
        </w:rPr>
        <w:t>分前。以密封的形式提供投标文件到：广州市番禺区大学城明志街1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Pr>
          <w:rFonts w:hint="eastAsia" w:ascii="宋体"/>
          <w:sz w:val="24"/>
          <w:highlight w:val="none"/>
          <w:lang w:eastAsia="zh-CN"/>
        </w:rPr>
        <w:t>广中医药科楼板换间设备拆除和广大教2旁冷冻水管漏水处理工程</w:t>
      </w:r>
      <w:r>
        <w:rPr>
          <w:rFonts w:hint="eastAsia"/>
          <w:sz w:val="24"/>
          <w:highlight w:val="none"/>
        </w:rPr>
        <w:t>”字样。投标人递交投标文件后，请联系采购人确认。</w:t>
      </w:r>
    </w:p>
    <w:p>
      <w:pPr>
        <w:numPr>
          <w:ilvl w:val="0"/>
          <w:numId w:val="13"/>
        </w:numPr>
        <w:spacing w:before="120" w:beforeLines="50" w:after="120" w:afterLines="50" w:line="360" w:lineRule="auto"/>
        <w:ind w:left="0" w:firstLine="480" w:firstLineChars="200"/>
        <w:rPr>
          <w:sz w:val="24"/>
          <w:highlight w:val="none"/>
        </w:rPr>
      </w:pPr>
      <w:r>
        <w:rPr>
          <w:sz w:val="24"/>
          <w:highlight w:val="none"/>
        </w:rPr>
        <w:t>投标文</w:t>
      </w:r>
      <w:r>
        <w:rPr>
          <w:rFonts w:hint="eastAsia"/>
          <w:sz w:val="24"/>
          <w:highlight w:val="none"/>
        </w:rPr>
        <w:t>件逾期递交、未送达指定地点的、或未按要求密封的，采购人有权不予受理</w:t>
      </w:r>
      <w:bookmarkEnd w:id="9"/>
      <w:r>
        <w:rPr>
          <w:sz w:val="24"/>
          <w:highlight w:val="none"/>
        </w:rPr>
        <w:t>。</w:t>
      </w:r>
    </w:p>
    <w:bookmarkEnd w:id="10"/>
    <w:p>
      <w:pPr>
        <w:numPr>
          <w:ilvl w:val="0"/>
          <w:numId w:val="1"/>
        </w:numPr>
        <w:spacing w:before="120" w:beforeLines="50" w:after="120" w:afterLines="50" w:line="360" w:lineRule="auto"/>
        <w:ind w:left="0" w:firstLine="482" w:firstLineChars="200"/>
        <w:rPr>
          <w:rFonts w:ascii="宋体" w:hAnsi="宋体"/>
          <w:b/>
          <w:sz w:val="24"/>
          <w:highlight w:val="none"/>
        </w:rPr>
      </w:pPr>
      <w:bookmarkStart w:id="11" w:name="_Hlk33473147"/>
      <w:bookmarkStart w:id="12" w:name="_Hlk33472987"/>
      <w:r>
        <w:rPr>
          <w:rFonts w:hint="eastAsia" w:ascii="宋体" w:hAnsi="宋体"/>
          <w:b/>
          <w:sz w:val="24"/>
          <w:highlight w:val="none"/>
        </w:rPr>
        <w:t>公开发布</w:t>
      </w:r>
    </w:p>
    <w:p>
      <w:pPr>
        <w:spacing w:before="120" w:beforeLines="50" w:after="120" w:afterLines="50" w:line="360" w:lineRule="auto"/>
        <w:ind w:firstLine="480" w:firstLineChars="200"/>
        <w:rPr>
          <w:sz w:val="24"/>
          <w:highlight w:val="none"/>
        </w:rPr>
      </w:pPr>
      <w:r>
        <w:rPr>
          <w:rFonts w:hint="eastAsia"/>
          <w:sz w:val="24"/>
          <w:highlight w:val="none"/>
        </w:rPr>
        <w:t>本竞选文件在</w:t>
      </w:r>
      <w:r>
        <w:rPr>
          <w:rFonts w:hint="eastAsia"/>
          <w:color w:val="auto"/>
          <w:sz w:val="24"/>
          <w:szCs w:val="24"/>
        </w:rPr>
        <w:t>广州国企阳光采购服务平台（http://ygcg.gzggzy.cn））</w:t>
      </w:r>
      <w:r>
        <w:rPr>
          <w:rFonts w:hint="eastAsia"/>
          <w:sz w:val="24"/>
          <w:highlight w:val="none"/>
        </w:rPr>
        <w:t>、广州</w:t>
      </w:r>
      <w:r>
        <w:rPr>
          <w:rFonts w:hint="eastAsia"/>
          <w:sz w:val="24"/>
          <w:highlight w:val="none"/>
          <w:lang w:val="en-US" w:eastAsia="zh-CN"/>
        </w:rPr>
        <w:t>城投综合能源</w:t>
      </w:r>
      <w:r>
        <w:rPr>
          <w:rFonts w:hint="eastAsia"/>
          <w:sz w:val="24"/>
          <w:highlight w:val="none"/>
        </w:rPr>
        <w:t>投资经营管理有限公司网站（网址：</w:t>
      </w:r>
      <w:r>
        <w:rPr>
          <w:sz w:val="24"/>
          <w:highlight w:val="none"/>
        </w:rPr>
        <w:t>https://www.gzuci.com/</w:t>
      </w:r>
      <w:r>
        <w:rPr>
          <w:rFonts w:hint="eastAsia"/>
          <w:sz w:val="24"/>
          <w:highlight w:val="none"/>
        </w:rPr>
        <w:t>）同时发布。本竞选文件在各媒体发布的文本如有不同之处，以在广州大学城投资经营管理有限公司网站发布的文本为准。</w:t>
      </w:r>
    </w:p>
    <w:bookmarkEnd w:id="11"/>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采购人地址和联系方式</w:t>
      </w:r>
    </w:p>
    <w:p>
      <w:pPr>
        <w:spacing w:before="120" w:beforeLines="50" w:after="120" w:afterLines="50" w:line="360" w:lineRule="auto"/>
        <w:ind w:firstLine="480" w:firstLineChars="200"/>
        <w:rPr>
          <w:rFonts w:hint="eastAsia" w:ascii="宋体" w:hAnsi="宋体"/>
          <w:sz w:val="24"/>
          <w:highlight w:val="none"/>
          <w:lang w:eastAsia="zh-CN"/>
        </w:rPr>
      </w:pPr>
      <w:r>
        <w:rPr>
          <w:rFonts w:hint="eastAsia" w:ascii="宋体" w:hAnsi="宋体"/>
          <w:sz w:val="24"/>
          <w:highlight w:val="none"/>
        </w:rPr>
        <w:t>采购单位：</w:t>
      </w:r>
      <w:r>
        <w:rPr>
          <w:rFonts w:hint="eastAsia" w:ascii="宋体" w:hAnsi="宋体"/>
          <w:sz w:val="24"/>
          <w:highlight w:val="none"/>
          <w:lang w:eastAsia="zh-CN"/>
        </w:rPr>
        <w:t>广州城投综合能源投资经营管理有限公司</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联系地址：广州市番禺区大学城明志街</w:t>
      </w:r>
      <w:r>
        <w:rPr>
          <w:rFonts w:ascii="宋体" w:hAnsi="宋体"/>
          <w:sz w:val="24"/>
          <w:highlight w:val="none"/>
        </w:rPr>
        <w:t>1</w:t>
      </w:r>
      <w:r>
        <w:rPr>
          <w:rFonts w:hint="eastAsia" w:ascii="宋体" w:hAnsi="宋体"/>
          <w:sz w:val="24"/>
          <w:highlight w:val="none"/>
        </w:rPr>
        <w:t>号信息枢纽楼9楼</w:t>
      </w:r>
    </w:p>
    <w:p>
      <w:pPr>
        <w:spacing w:before="120" w:beforeLines="50" w:after="120" w:afterLines="50"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联系人：</w:t>
      </w:r>
      <w:r>
        <w:rPr>
          <w:rFonts w:hint="eastAsia" w:ascii="宋体" w:hAnsi="宋体"/>
          <w:sz w:val="24"/>
          <w:highlight w:val="none"/>
          <w:lang w:val="en-US" w:eastAsia="zh-CN"/>
        </w:rPr>
        <w:t>詹工</w:t>
      </w:r>
    </w:p>
    <w:p>
      <w:pPr>
        <w:spacing w:before="120" w:beforeLines="50" w:after="120" w:afterLines="50" w:line="360" w:lineRule="auto"/>
        <w:ind w:firstLine="480" w:firstLineChars="200"/>
        <w:rPr>
          <w:rFonts w:hint="eastAsia" w:ascii="宋体" w:hAnsi="宋体" w:eastAsia="宋体"/>
          <w:sz w:val="24"/>
          <w:highlight w:val="none"/>
          <w:lang w:val="en-US" w:eastAsia="zh-CN"/>
        </w:rPr>
      </w:pPr>
      <w:r>
        <w:rPr>
          <w:rFonts w:hint="eastAsia" w:ascii="宋体" w:hAnsi="宋体"/>
          <w:sz w:val="24"/>
          <w:highlight w:val="none"/>
        </w:rPr>
        <w:t>联系电话：0</w:t>
      </w:r>
      <w:r>
        <w:rPr>
          <w:rFonts w:ascii="宋体" w:hAnsi="宋体"/>
          <w:sz w:val="24"/>
          <w:highlight w:val="none"/>
        </w:rPr>
        <w:t>20</w:t>
      </w:r>
      <w:r>
        <w:rPr>
          <w:rFonts w:hint="eastAsia" w:ascii="宋体" w:hAnsi="宋体"/>
          <w:sz w:val="24"/>
          <w:highlight w:val="none"/>
        </w:rPr>
        <w:t>-</w:t>
      </w:r>
      <w:r>
        <w:rPr>
          <w:rFonts w:ascii="宋体" w:hAnsi="宋体"/>
          <w:sz w:val="24"/>
          <w:highlight w:val="none"/>
        </w:rPr>
        <w:t>3930207</w:t>
      </w:r>
      <w:r>
        <w:rPr>
          <w:rFonts w:hint="eastAsia" w:ascii="宋体" w:hAnsi="宋体"/>
          <w:sz w:val="24"/>
          <w:highlight w:val="none"/>
          <w:lang w:val="en-US" w:eastAsia="zh-CN"/>
        </w:rPr>
        <w:t>8</w:t>
      </w:r>
    </w:p>
    <w:p>
      <w:pPr>
        <w:spacing w:before="120" w:beforeLines="50" w:after="120" w:afterLines="50" w:line="360" w:lineRule="auto"/>
        <w:ind w:firstLine="480" w:firstLineChars="200"/>
        <w:rPr>
          <w:rFonts w:ascii="宋体" w:hAnsi="宋体"/>
          <w:sz w:val="24"/>
          <w:highlight w:val="none"/>
        </w:rPr>
      </w:pPr>
      <w:bookmarkStart w:id="13" w:name="_Hlk33473223"/>
      <w:r>
        <w:rPr>
          <w:rFonts w:hint="eastAsia" w:ascii="宋体" w:hAnsi="宋体"/>
          <w:sz w:val="24"/>
          <w:highlight w:val="none"/>
        </w:rPr>
        <w:t>附件1：报价一览表</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附件2：供应商调查表</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附件3：法定代表人身份证明书</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附件4：法定代表人授权委托证明书</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附件5：投标人资格审查表</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附件6：投标文件有效性审查表</w:t>
      </w:r>
    </w:p>
    <w:p>
      <w:pPr>
        <w:pStyle w:val="7"/>
        <w:spacing w:before="120" w:beforeLines="50" w:after="120" w:afterLines="50" w:line="360" w:lineRule="auto"/>
        <w:ind w:left="0" w:leftChars="0" w:right="560"/>
        <w:jc w:val="right"/>
        <w:rPr>
          <w:rFonts w:hint="eastAsia"/>
          <w:highlight w:val="none"/>
          <w:lang w:eastAsia="zh-CN"/>
        </w:rPr>
      </w:pPr>
      <w:r>
        <w:rPr>
          <w:rFonts w:hint="eastAsia"/>
          <w:highlight w:val="none"/>
        </w:rPr>
        <w:t>采购人：</w:t>
      </w:r>
      <w:r>
        <w:rPr>
          <w:rFonts w:hint="eastAsia"/>
          <w:highlight w:val="none"/>
          <w:lang w:eastAsia="zh-CN"/>
        </w:rPr>
        <w:t>广州城投综合能源投资经营管理有限公司</w:t>
      </w:r>
    </w:p>
    <w:p>
      <w:pPr>
        <w:pStyle w:val="7"/>
        <w:spacing w:before="120" w:beforeLines="50" w:after="120" w:afterLines="50" w:line="360" w:lineRule="auto"/>
        <w:ind w:left="0" w:leftChars="0" w:right="560"/>
        <w:jc w:val="right"/>
        <w:rPr>
          <w:highlight w:val="none"/>
        </w:rPr>
      </w:pPr>
      <w:r>
        <w:rPr>
          <w:rFonts w:hint="eastAsia"/>
          <w:highlight w:val="none"/>
        </w:rPr>
        <w:t>202</w:t>
      </w:r>
      <w:r>
        <w:rPr>
          <w:rFonts w:hint="eastAsia"/>
          <w:highlight w:val="none"/>
          <w:lang w:val="en-US" w:eastAsia="zh-CN"/>
        </w:rPr>
        <w:t>3</w:t>
      </w:r>
      <w:r>
        <w:rPr>
          <w:rFonts w:hint="eastAsia"/>
          <w:highlight w:val="none"/>
        </w:rPr>
        <w:t>年</w:t>
      </w:r>
      <w:r>
        <w:rPr>
          <w:rFonts w:hint="eastAsia"/>
          <w:highlight w:val="none"/>
          <w:lang w:val="en-US" w:eastAsia="zh-CN"/>
        </w:rPr>
        <w:t>1</w:t>
      </w:r>
      <w:r>
        <w:rPr>
          <w:rFonts w:hint="eastAsia"/>
          <w:highlight w:val="none"/>
        </w:rPr>
        <w:t>月</w:t>
      </w:r>
      <w:r>
        <w:rPr>
          <w:rFonts w:hint="eastAsia"/>
          <w:highlight w:val="none"/>
          <w:lang w:val="en-US" w:eastAsia="zh-CN"/>
        </w:rPr>
        <w:t>11</w:t>
      </w:r>
      <w:bookmarkStart w:id="18" w:name="_GoBack"/>
      <w:bookmarkEnd w:id="18"/>
      <w:r>
        <w:rPr>
          <w:rFonts w:hint="eastAsia"/>
          <w:highlight w:val="none"/>
          <w:lang w:val="en-US" w:eastAsia="zh-CN"/>
        </w:rPr>
        <w:t xml:space="preserve"> </w:t>
      </w:r>
      <w:r>
        <w:rPr>
          <w:rFonts w:hint="eastAsia"/>
          <w:highlight w:val="none"/>
        </w:rPr>
        <w:t>日</w:t>
      </w:r>
      <w:bookmarkEnd w:id="8"/>
    </w:p>
    <w:bookmarkEnd w:id="12"/>
    <w:bookmarkEnd w:id="13"/>
    <w:p>
      <w:pPr>
        <w:spacing w:before="120" w:beforeLines="50" w:after="120" w:afterLines="50" w:line="360" w:lineRule="auto"/>
        <w:rPr>
          <w:rFonts w:hAnsi="宋体"/>
          <w:b/>
          <w:sz w:val="28"/>
          <w:szCs w:val="28"/>
          <w:highlight w:val="none"/>
        </w:rPr>
      </w:pPr>
      <w:r>
        <w:rPr>
          <w:sz w:val="24"/>
          <w:highlight w:val="none"/>
        </w:rPr>
        <w:br w:type="page"/>
      </w:r>
      <w:r>
        <w:rPr>
          <w:rFonts w:hint="eastAsia" w:ascii="宋体" w:hAnsi="宋体" w:cs="Arial"/>
          <w:color w:val="000000"/>
          <w:sz w:val="30"/>
          <w:szCs w:val="30"/>
          <w:highlight w:val="none"/>
        </w:rPr>
        <w:t>附件1</w:t>
      </w:r>
    </w:p>
    <w:p>
      <w:pPr>
        <w:pStyle w:val="10"/>
        <w:ind w:firstLine="0" w:firstLineChars="0"/>
        <w:jc w:val="center"/>
        <w:rPr>
          <w:rFonts w:hAnsi="宋体"/>
          <w:b/>
          <w:sz w:val="28"/>
          <w:szCs w:val="28"/>
          <w:highlight w:val="none"/>
        </w:rPr>
      </w:pPr>
      <w:r>
        <w:rPr>
          <w:rFonts w:hAnsi="宋体"/>
          <w:b/>
          <w:sz w:val="28"/>
          <w:szCs w:val="28"/>
          <w:highlight w:val="none"/>
        </w:rPr>
        <w:t>报价一览表</w:t>
      </w:r>
    </w:p>
    <w:p>
      <w:pPr>
        <w:pStyle w:val="10"/>
        <w:ind w:firstLine="0" w:firstLineChars="0"/>
        <w:jc w:val="center"/>
        <w:rPr>
          <w:rFonts w:hAnsi="宋体"/>
          <w:b/>
          <w:sz w:val="28"/>
          <w:szCs w:val="28"/>
          <w:highlight w:val="none"/>
        </w:rPr>
      </w:pPr>
    </w:p>
    <w:p>
      <w:pPr>
        <w:spacing w:line="360" w:lineRule="auto"/>
        <w:rPr>
          <w:rFonts w:hint="eastAsia" w:hAnsi="宋体" w:eastAsia="宋体"/>
          <w:sz w:val="24"/>
          <w:highlight w:val="none"/>
          <w:lang w:eastAsia="zh-CN"/>
        </w:rPr>
      </w:pPr>
      <w:r>
        <w:rPr>
          <w:rFonts w:hint="eastAsia" w:hAnsi="宋体"/>
          <w:sz w:val="24"/>
          <w:highlight w:val="none"/>
        </w:rPr>
        <w:t>项目名称：</w:t>
      </w:r>
      <w:r>
        <w:rPr>
          <w:rFonts w:hint="eastAsia" w:ascii="宋体"/>
          <w:sz w:val="24"/>
          <w:highlight w:val="none"/>
          <w:lang w:eastAsia="zh-CN"/>
        </w:rPr>
        <w:t>广中医药科楼板换间设备拆除和广大教2旁冷冻水管漏水处理工程</w:t>
      </w:r>
    </w:p>
    <w:tbl>
      <w:tblPr>
        <w:tblStyle w:val="23"/>
        <w:tblW w:w="87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44"/>
        <w:gridCol w:w="1663"/>
        <w:gridCol w:w="4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720" w:type="dxa"/>
            <w:vAlign w:val="center"/>
          </w:tcPr>
          <w:p>
            <w:pPr>
              <w:jc w:val="center"/>
              <w:rPr>
                <w:rFonts w:hAnsi="宋体"/>
                <w:bCs/>
                <w:sz w:val="24"/>
                <w:highlight w:val="none"/>
              </w:rPr>
            </w:pPr>
            <w:bookmarkStart w:id="14" w:name="_Hlk33473274"/>
            <w:r>
              <w:rPr>
                <w:rFonts w:hint="eastAsia" w:hAnsi="宋体"/>
                <w:bCs/>
                <w:sz w:val="24"/>
                <w:highlight w:val="none"/>
              </w:rPr>
              <w:t>序号</w:t>
            </w:r>
          </w:p>
        </w:tc>
        <w:tc>
          <w:tcPr>
            <w:tcW w:w="1844" w:type="dxa"/>
            <w:vAlign w:val="center"/>
          </w:tcPr>
          <w:p>
            <w:pPr>
              <w:jc w:val="center"/>
              <w:rPr>
                <w:rFonts w:hAnsi="宋体"/>
                <w:bCs/>
                <w:sz w:val="24"/>
                <w:highlight w:val="none"/>
              </w:rPr>
            </w:pPr>
            <w:r>
              <w:rPr>
                <w:rFonts w:hint="eastAsia" w:hAnsi="宋体"/>
                <w:bCs/>
                <w:sz w:val="24"/>
                <w:highlight w:val="none"/>
              </w:rPr>
              <w:t>项目名称</w:t>
            </w:r>
          </w:p>
        </w:tc>
        <w:tc>
          <w:tcPr>
            <w:tcW w:w="6166" w:type="dxa"/>
            <w:gridSpan w:val="2"/>
            <w:vAlign w:val="center"/>
          </w:tcPr>
          <w:p>
            <w:pPr>
              <w:rPr>
                <w:rFonts w:hAnsi="宋体"/>
                <w:bCs/>
                <w:sz w:val="24"/>
                <w:highlight w:val="none"/>
              </w:rPr>
            </w:pPr>
            <w:r>
              <w:rPr>
                <w:rFonts w:hint="eastAsia" w:hAnsi="宋体"/>
                <w:bCs/>
                <w:sz w:val="24"/>
                <w:highlight w:val="none"/>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highlight w:val="none"/>
              </w:rPr>
            </w:pPr>
            <w:r>
              <w:rPr>
                <w:rFonts w:hint="eastAsia" w:hAnsi="宋体"/>
                <w:sz w:val="24"/>
                <w:highlight w:val="none"/>
              </w:rPr>
              <w:t>1</w:t>
            </w:r>
          </w:p>
        </w:tc>
        <w:tc>
          <w:tcPr>
            <w:tcW w:w="1844" w:type="dxa"/>
            <w:vAlign w:val="center"/>
          </w:tcPr>
          <w:p>
            <w:pPr>
              <w:jc w:val="center"/>
              <w:rPr>
                <w:rFonts w:hAnsi="宋体"/>
                <w:sz w:val="24"/>
                <w:highlight w:val="none"/>
              </w:rPr>
            </w:pPr>
            <w:r>
              <w:rPr>
                <w:rFonts w:hint="eastAsia" w:hAnsi="宋体"/>
                <w:sz w:val="24"/>
                <w:highlight w:val="none"/>
              </w:rPr>
              <w:t>投标总价</w:t>
            </w:r>
          </w:p>
        </w:tc>
        <w:tc>
          <w:tcPr>
            <w:tcW w:w="6166" w:type="dxa"/>
            <w:gridSpan w:val="2"/>
            <w:vAlign w:val="center"/>
          </w:tcPr>
          <w:p>
            <w:pPr>
              <w:rPr>
                <w:rFonts w:hAnsi="宋体"/>
                <w:sz w:val="24"/>
                <w:highlight w:val="none"/>
              </w:rPr>
            </w:pPr>
            <w:r>
              <w:rPr>
                <w:rFonts w:hint="eastAsia" w:ascii="宋体" w:hAnsi="宋体"/>
                <w:sz w:val="24"/>
                <w:highlight w:val="none"/>
              </w:rPr>
              <w:t>大写</w:t>
            </w:r>
            <w:r>
              <w:rPr>
                <w:rFonts w:hint="eastAsia" w:hAnsi="宋体"/>
                <w:sz w:val="24"/>
                <w:highlight w:val="none"/>
              </w:rPr>
              <w:t>：</w:t>
            </w:r>
          </w:p>
          <w:p>
            <w:pPr>
              <w:rPr>
                <w:rFonts w:hAnsi="宋体"/>
                <w:sz w:val="24"/>
                <w:highlight w:val="none"/>
              </w:rPr>
            </w:pPr>
            <w:r>
              <w:rPr>
                <w:rFonts w:hint="eastAsia" w:hAnsi="宋体"/>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highlight w:val="none"/>
              </w:rPr>
            </w:pPr>
            <w:r>
              <w:rPr>
                <w:rFonts w:hint="eastAsia" w:hAnsi="宋体"/>
                <w:sz w:val="24"/>
                <w:highlight w:val="none"/>
              </w:rPr>
              <w:t>其中</w:t>
            </w:r>
          </w:p>
        </w:tc>
        <w:tc>
          <w:tcPr>
            <w:tcW w:w="1844" w:type="dxa"/>
            <w:vAlign w:val="center"/>
          </w:tcPr>
          <w:p>
            <w:pPr>
              <w:jc w:val="center"/>
              <w:rPr>
                <w:rFonts w:hAnsi="宋体"/>
                <w:sz w:val="24"/>
                <w:highlight w:val="none"/>
              </w:rPr>
            </w:pPr>
            <w:r>
              <w:rPr>
                <w:rFonts w:hint="eastAsia" w:hAnsi="宋体"/>
                <w:sz w:val="24"/>
                <w:highlight w:val="none"/>
              </w:rPr>
              <w:t>不含税总价</w:t>
            </w:r>
          </w:p>
        </w:tc>
        <w:tc>
          <w:tcPr>
            <w:tcW w:w="6166" w:type="dxa"/>
            <w:gridSpan w:val="2"/>
            <w:vAlign w:val="center"/>
          </w:tcPr>
          <w:p>
            <w:pPr>
              <w:rPr>
                <w:rFonts w:hAnsi="宋体"/>
                <w:sz w:val="24"/>
                <w:highlight w:val="none"/>
              </w:rPr>
            </w:pPr>
            <w:r>
              <w:rPr>
                <w:rFonts w:hint="eastAsia" w:ascii="宋体" w:hAnsi="宋体"/>
                <w:sz w:val="24"/>
                <w:highlight w:val="none"/>
              </w:rPr>
              <w:t>大写</w:t>
            </w:r>
            <w:r>
              <w:rPr>
                <w:rFonts w:hint="eastAsia" w:hAnsi="宋体"/>
                <w:sz w:val="24"/>
                <w:highlight w:val="none"/>
              </w:rPr>
              <w:t>：</w:t>
            </w:r>
          </w:p>
          <w:p>
            <w:pPr>
              <w:rPr>
                <w:rFonts w:ascii="宋体" w:hAnsi="宋体"/>
                <w:sz w:val="24"/>
                <w:highlight w:val="none"/>
              </w:rPr>
            </w:pPr>
            <w:r>
              <w:rPr>
                <w:rFonts w:hint="eastAsia" w:hAnsi="宋体"/>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highlight w:val="none"/>
              </w:rPr>
            </w:pPr>
            <w:r>
              <w:rPr>
                <w:rFonts w:hint="eastAsia" w:hAnsi="宋体"/>
                <w:sz w:val="24"/>
                <w:highlight w:val="none"/>
              </w:rPr>
              <w:t>2</w:t>
            </w:r>
          </w:p>
        </w:tc>
        <w:tc>
          <w:tcPr>
            <w:tcW w:w="1844" w:type="dxa"/>
            <w:vAlign w:val="center"/>
          </w:tcPr>
          <w:p>
            <w:pPr>
              <w:jc w:val="center"/>
              <w:rPr>
                <w:rFonts w:hAnsi="宋体"/>
                <w:sz w:val="24"/>
                <w:highlight w:val="none"/>
              </w:rPr>
            </w:pPr>
            <w:r>
              <w:rPr>
                <w:rFonts w:hint="eastAsia" w:hAnsi="宋体"/>
                <w:sz w:val="24"/>
                <w:highlight w:val="none"/>
              </w:rPr>
              <w:t>投标工期</w:t>
            </w:r>
          </w:p>
        </w:tc>
        <w:tc>
          <w:tcPr>
            <w:tcW w:w="6166" w:type="dxa"/>
            <w:gridSpan w:val="2"/>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highlight w:val="none"/>
              </w:rPr>
            </w:pPr>
            <w:r>
              <w:rPr>
                <w:rFonts w:hint="eastAsia" w:hAnsi="宋体"/>
                <w:sz w:val="24"/>
                <w:highlight w:val="none"/>
              </w:rPr>
              <w:t>3</w:t>
            </w:r>
          </w:p>
        </w:tc>
        <w:tc>
          <w:tcPr>
            <w:tcW w:w="1844" w:type="dxa"/>
            <w:vAlign w:val="center"/>
          </w:tcPr>
          <w:p>
            <w:pPr>
              <w:jc w:val="center"/>
              <w:rPr>
                <w:rFonts w:hAnsi="宋体"/>
                <w:sz w:val="24"/>
                <w:highlight w:val="none"/>
              </w:rPr>
            </w:pPr>
            <w:r>
              <w:rPr>
                <w:rFonts w:hint="eastAsia" w:hAnsi="宋体"/>
                <w:sz w:val="24"/>
                <w:highlight w:val="none"/>
              </w:rPr>
              <w:t>工程质量标准</w:t>
            </w:r>
          </w:p>
        </w:tc>
        <w:tc>
          <w:tcPr>
            <w:tcW w:w="6166" w:type="dxa"/>
            <w:gridSpan w:val="2"/>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highlight w:val="none"/>
              </w:rPr>
            </w:pPr>
            <w:r>
              <w:rPr>
                <w:rFonts w:hint="eastAsia" w:hAnsi="宋体"/>
                <w:sz w:val="24"/>
                <w:highlight w:val="none"/>
              </w:rPr>
              <w:t>4</w:t>
            </w:r>
          </w:p>
        </w:tc>
        <w:tc>
          <w:tcPr>
            <w:tcW w:w="1844" w:type="dxa"/>
            <w:vAlign w:val="center"/>
          </w:tcPr>
          <w:p>
            <w:pPr>
              <w:jc w:val="center"/>
              <w:rPr>
                <w:rFonts w:hAnsi="宋体"/>
                <w:sz w:val="24"/>
                <w:highlight w:val="none"/>
              </w:rPr>
            </w:pPr>
            <w:r>
              <w:rPr>
                <w:rFonts w:hint="eastAsia" w:hAnsi="宋体"/>
                <w:sz w:val="24"/>
                <w:highlight w:val="none"/>
              </w:rPr>
              <w:t>保修期限</w:t>
            </w:r>
          </w:p>
        </w:tc>
        <w:tc>
          <w:tcPr>
            <w:tcW w:w="6166" w:type="dxa"/>
            <w:gridSpan w:val="2"/>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restart"/>
            <w:vAlign w:val="center"/>
          </w:tcPr>
          <w:p>
            <w:pPr>
              <w:jc w:val="center"/>
              <w:rPr>
                <w:rFonts w:hAnsi="宋体"/>
                <w:sz w:val="24"/>
                <w:highlight w:val="none"/>
              </w:rPr>
            </w:pPr>
            <w:r>
              <w:rPr>
                <w:rFonts w:hint="eastAsia" w:hAnsi="宋体"/>
                <w:sz w:val="24"/>
                <w:highlight w:val="none"/>
              </w:rPr>
              <w:t>5</w:t>
            </w:r>
          </w:p>
        </w:tc>
        <w:tc>
          <w:tcPr>
            <w:tcW w:w="1844" w:type="dxa"/>
            <w:vMerge w:val="restart"/>
            <w:vAlign w:val="center"/>
          </w:tcPr>
          <w:p>
            <w:pPr>
              <w:jc w:val="center"/>
              <w:rPr>
                <w:rFonts w:hAnsi="宋体"/>
                <w:sz w:val="24"/>
                <w:highlight w:val="none"/>
              </w:rPr>
            </w:pPr>
            <w:r>
              <w:rPr>
                <w:rFonts w:hint="eastAsia" w:hAnsi="宋体"/>
                <w:sz w:val="24"/>
                <w:highlight w:val="none"/>
              </w:rPr>
              <w:t>拟委派的项目负责人</w:t>
            </w:r>
          </w:p>
        </w:tc>
        <w:tc>
          <w:tcPr>
            <w:tcW w:w="1663" w:type="dxa"/>
            <w:vAlign w:val="center"/>
          </w:tcPr>
          <w:p>
            <w:pPr>
              <w:rPr>
                <w:rFonts w:hAnsi="宋体"/>
                <w:sz w:val="24"/>
                <w:highlight w:val="none"/>
              </w:rPr>
            </w:pPr>
            <w:r>
              <w:rPr>
                <w:rFonts w:hint="eastAsia" w:hAnsi="宋体"/>
                <w:sz w:val="24"/>
                <w:highlight w:val="none"/>
              </w:rPr>
              <w:t>姓名</w:t>
            </w:r>
          </w:p>
        </w:tc>
        <w:tc>
          <w:tcPr>
            <w:tcW w:w="4503" w:type="dxa"/>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continue"/>
            <w:vAlign w:val="center"/>
          </w:tcPr>
          <w:p>
            <w:pPr>
              <w:rPr>
                <w:rFonts w:hAnsi="宋体"/>
                <w:sz w:val="24"/>
                <w:highlight w:val="none"/>
              </w:rPr>
            </w:pPr>
          </w:p>
        </w:tc>
        <w:tc>
          <w:tcPr>
            <w:tcW w:w="1844" w:type="dxa"/>
            <w:vMerge w:val="continue"/>
            <w:vAlign w:val="center"/>
          </w:tcPr>
          <w:p>
            <w:pPr>
              <w:rPr>
                <w:rFonts w:hAnsi="宋体"/>
                <w:sz w:val="24"/>
                <w:highlight w:val="none"/>
              </w:rPr>
            </w:pPr>
          </w:p>
        </w:tc>
        <w:tc>
          <w:tcPr>
            <w:tcW w:w="1663" w:type="dxa"/>
            <w:vAlign w:val="center"/>
          </w:tcPr>
          <w:p>
            <w:pPr>
              <w:rPr>
                <w:rFonts w:hAnsi="宋体"/>
                <w:sz w:val="24"/>
                <w:highlight w:val="none"/>
              </w:rPr>
            </w:pPr>
            <w:r>
              <w:rPr>
                <w:rFonts w:hint="eastAsia" w:hAnsi="宋体"/>
                <w:sz w:val="24"/>
                <w:highlight w:val="none"/>
              </w:rPr>
              <w:t>技术职称</w:t>
            </w:r>
          </w:p>
        </w:tc>
        <w:tc>
          <w:tcPr>
            <w:tcW w:w="4503" w:type="dxa"/>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continue"/>
            <w:vAlign w:val="center"/>
          </w:tcPr>
          <w:p>
            <w:pPr>
              <w:rPr>
                <w:rFonts w:hAnsi="宋体"/>
                <w:sz w:val="24"/>
                <w:highlight w:val="none"/>
              </w:rPr>
            </w:pPr>
          </w:p>
        </w:tc>
        <w:tc>
          <w:tcPr>
            <w:tcW w:w="1844" w:type="dxa"/>
            <w:vMerge w:val="continue"/>
            <w:vAlign w:val="center"/>
          </w:tcPr>
          <w:p>
            <w:pPr>
              <w:rPr>
                <w:rFonts w:hAnsi="宋体"/>
                <w:sz w:val="24"/>
                <w:highlight w:val="none"/>
              </w:rPr>
            </w:pPr>
          </w:p>
        </w:tc>
        <w:tc>
          <w:tcPr>
            <w:tcW w:w="1663" w:type="dxa"/>
            <w:vAlign w:val="center"/>
          </w:tcPr>
          <w:p>
            <w:pPr>
              <w:rPr>
                <w:rFonts w:hAnsi="宋体"/>
                <w:sz w:val="24"/>
                <w:highlight w:val="none"/>
              </w:rPr>
            </w:pPr>
            <w:r>
              <w:rPr>
                <w:rFonts w:hint="eastAsia" w:hAnsi="宋体"/>
                <w:sz w:val="24"/>
                <w:highlight w:val="none"/>
              </w:rPr>
              <w:t>联系电话</w:t>
            </w:r>
          </w:p>
        </w:tc>
        <w:tc>
          <w:tcPr>
            <w:tcW w:w="4503" w:type="dxa"/>
            <w:vAlign w:val="center"/>
          </w:tcPr>
          <w:p>
            <w:pPr>
              <w:rPr>
                <w:rFonts w:hAnsi="宋体"/>
                <w:sz w:val="24"/>
                <w:highlight w:val="none"/>
              </w:rPr>
            </w:pPr>
          </w:p>
        </w:tc>
      </w:tr>
      <w:bookmarkEnd w:id="14"/>
    </w:tbl>
    <w:p>
      <w:pPr>
        <w:rPr>
          <w:rFonts w:hAnsi="宋体"/>
          <w:highlight w:val="none"/>
        </w:rPr>
      </w:pPr>
    </w:p>
    <w:p>
      <w:pPr>
        <w:spacing w:before="120" w:beforeLines="50" w:after="120" w:afterLines="50" w:line="360" w:lineRule="auto"/>
        <w:rPr>
          <w:rFonts w:hAnsi="宋体"/>
          <w:sz w:val="22"/>
          <w:szCs w:val="28"/>
          <w:highlight w:val="none"/>
        </w:rPr>
      </w:pPr>
      <w:r>
        <w:rPr>
          <w:rFonts w:hint="eastAsia" w:hAnsi="宋体"/>
          <w:sz w:val="22"/>
          <w:szCs w:val="28"/>
          <w:highlight w:val="none"/>
        </w:rPr>
        <w:t>注：（1）投标总价为人民币报价。</w:t>
      </w:r>
    </w:p>
    <w:p>
      <w:pPr>
        <w:tabs>
          <w:tab w:val="left" w:pos="8364"/>
        </w:tabs>
        <w:spacing w:before="120" w:beforeLines="50" w:after="120" w:afterLines="50" w:line="360" w:lineRule="auto"/>
        <w:ind w:firstLine="440" w:firstLineChars="200"/>
        <w:rPr>
          <w:rFonts w:hAnsi="宋体"/>
          <w:sz w:val="22"/>
          <w:szCs w:val="28"/>
          <w:highlight w:val="none"/>
        </w:rPr>
      </w:pPr>
      <w:r>
        <w:rPr>
          <w:rFonts w:hint="eastAsia" w:hAnsi="宋体"/>
          <w:sz w:val="22"/>
          <w:szCs w:val="28"/>
          <w:highlight w:val="none"/>
        </w:rPr>
        <w:t>（2）投标总价是所有需采购人支付的本次项目采购的金额总数，应包括竞选文件要求的全部内容，投标人完成本项目（如果中标）所必须的</w:t>
      </w:r>
      <w:r>
        <w:rPr>
          <w:rFonts w:hint="eastAsia" w:hAnsi="宋体"/>
          <w:bCs/>
          <w:sz w:val="22"/>
          <w:szCs w:val="28"/>
          <w:highlight w:val="none"/>
        </w:rPr>
        <w:t>所有成本费用和投标人应承担的一切税费</w:t>
      </w:r>
      <w:r>
        <w:rPr>
          <w:rFonts w:hint="eastAsia" w:hAnsi="宋体"/>
          <w:sz w:val="22"/>
          <w:szCs w:val="28"/>
          <w:highlight w:val="none"/>
        </w:rPr>
        <w:t>，包括但不限于全部人工费、材料、设备、工具、机具、安装运输、规费、措施费、合理利润、管理费、税费等及清理现场的费用、合同实施过程中应预见和不可预见的费用等等。</w:t>
      </w:r>
    </w:p>
    <w:p>
      <w:pPr>
        <w:tabs>
          <w:tab w:val="left" w:pos="8364"/>
        </w:tabs>
        <w:spacing w:before="120" w:beforeLines="50" w:after="120" w:afterLines="50" w:line="360" w:lineRule="auto"/>
        <w:rPr>
          <w:rFonts w:hAnsi="宋体"/>
          <w:sz w:val="22"/>
          <w:szCs w:val="28"/>
          <w:highlight w:val="none"/>
        </w:rPr>
      </w:pPr>
      <w:r>
        <w:rPr>
          <w:rFonts w:hint="eastAsia" w:hAnsi="宋体"/>
          <w:sz w:val="22"/>
          <w:szCs w:val="28"/>
          <w:highlight w:val="none"/>
        </w:rPr>
        <w:t>（3）若用小写表示的金额和用大写表示的金额不一致，以大写表示的金额为准。</w:t>
      </w:r>
    </w:p>
    <w:p>
      <w:pPr>
        <w:spacing w:before="120" w:beforeLines="50" w:after="120" w:afterLines="50" w:line="360" w:lineRule="auto"/>
        <w:rPr>
          <w:rFonts w:hAnsi="宋体"/>
          <w:szCs w:val="21"/>
          <w:highlight w:val="none"/>
        </w:rPr>
      </w:pPr>
      <w:r>
        <w:rPr>
          <w:rFonts w:hint="eastAsia" w:hAnsi="宋体"/>
          <w:szCs w:val="21"/>
          <w:highlight w:val="none"/>
        </w:rPr>
        <w:t>投标人名称（盖章）：</w:t>
      </w:r>
    </w:p>
    <w:p>
      <w:pPr>
        <w:spacing w:before="120" w:beforeLines="50" w:after="120" w:afterLines="50" w:line="360" w:lineRule="auto"/>
        <w:rPr>
          <w:rFonts w:hAnsi="宋体"/>
          <w:szCs w:val="21"/>
          <w:highlight w:val="none"/>
        </w:rPr>
      </w:pPr>
    </w:p>
    <w:p>
      <w:pPr>
        <w:spacing w:before="120" w:beforeLines="50" w:after="120" w:afterLines="50" w:line="360" w:lineRule="auto"/>
        <w:jc w:val="center"/>
        <w:rPr>
          <w:rFonts w:ascii="仿宋" w:hAnsi="仿宋" w:eastAsia="仿宋" w:cs="仿宋"/>
          <w:szCs w:val="21"/>
          <w:highlight w:val="none"/>
        </w:rPr>
      </w:pPr>
      <w:r>
        <w:rPr>
          <w:rFonts w:hint="eastAsia" w:hAnsi="宋体"/>
          <w:szCs w:val="21"/>
          <w:highlight w:val="none"/>
        </w:rPr>
        <w:t xml:space="preserve">日期： </w:t>
      </w:r>
      <w:r>
        <w:rPr>
          <w:rFonts w:hAnsi="宋体"/>
          <w:szCs w:val="21"/>
          <w:highlight w:val="none"/>
        </w:rPr>
        <w:t xml:space="preserve">    </w:t>
      </w:r>
      <w:r>
        <w:rPr>
          <w:rFonts w:hint="eastAsia" w:hAnsi="宋体"/>
          <w:szCs w:val="21"/>
          <w:highlight w:val="none"/>
        </w:rPr>
        <w:t xml:space="preserve">年 </w:t>
      </w:r>
      <w:r>
        <w:rPr>
          <w:rFonts w:hAnsi="宋体"/>
          <w:szCs w:val="21"/>
          <w:highlight w:val="none"/>
        </w:rPr>
        <w:t xml:space="preserve"> </w:t>
      </w:r>
      <w:r>
        <w:rPr>
          <w:rFonts w:hint="eastAsia" w:hAnsi="宋体"/>
          <w:szCs w:val="21"/>
          <w:highlight w:val="none"/>
        </w:rPr>
        <w:t xml:space="preserve">月 </w:t>
      </w:r>
      <w:r>
        <w:rPr>
          <w:rFonts w:hAnsi="宋体"/>
          <w:szCs w:val="21"/>
          <w:highlight w:val="none"/>
        </w:rPr>
        <w:t xml:space="preserve"> </w:t>
      </w:r>
      <w:r>
        <w:rPr>
          <w:rFonts w:hint="eastAsia" w:hAnsi="宋体"/>
          <w:szCs w:val="21"/>
          <w:highlight w:val="none"/>
        </w:rPr>
        <w:t>日</w:t>
      </w:r>
      <w:r>
        <w:rPr>
          <w:rFonts w:ascii="仿宋" w:hAnsi="仿宋" w:eastAsia="仿宋" w:cs="仿宋"/>
          <w:szCs w:val="21"/>
          <w:highlight w:val="none"/>
        </w:rPr>
        <w:br w:type="page"/>
      </w:r>
      <w:r>
        <w:rPr>
          <w:rFonts w:ascii="仿宋" w:hAnsi="仿宋" w:eastAsia="仿宋" w:cs="仿宋"/>
          <w:szCs w:val="21"/>
          <w:highlight w:val="none"/>
        </w:rPr>
        <w:t xml:space="preserve"> </w:t>
      </w:r>
    </w:p>
    <w:p>
      <w:pPr>
        <w:spacing w:before="120" w:beforeLines="50" w:after="120" w:afterLines="50" w:line="360" w:lineRule="auto"/>
        <w:rPr>
          <w:rFonts w:ascii="仿宋" w:hAnsi="仿宋" w:eastAsia="仿宋" w:cs="仿宋"/>
          <w:szCs w:val="21"/>
          <w:highlight w:val="none"/>
        </w:rPr>
      </w:pPr>
      <w:r>
        <w:rPr>
          <w:rFonts w:hint="eastAsia" w:ascii="宋体" w:hAnsi="宋体" w:cs="Arial"/>
          <w:color w:val="000000"/>
          <w:sz w:val="30"/>
          <w:szCs w:val="30"/>
          <w:highlight w:val="none"/>
        </w:rPr>
        <w:t>附件2</w:t>
      </w:r>
    </w:p>
    <w:tbl>
      <w:tblPr>
        <w:tblStyle w:val="23"/>
        <w:tblW w:w="9356" w:type="dxa"/>
        <w:tblInd w:w="-34" w:type="dxa"/>
        <w:tblLayout w:type="fixed"/>
        <w:tblCellMar>
          <w:top w:w="0" w:type="dxa"/>
          <w:left w:w="108" w:type="dxa"/>
          <w:bottom w:w="0" w:type="dxa"/>
          <w:right w:w="108" w:type="dxa"/>
        </w:tblCellMar>
      </w:tblPr>
      <w:tblGrid>
        <w:gridCol w:w="981"/>
        <w:gridCol w:w="91"/>
        <w:gridCol w:w="346"/>
        <w:gridCol w:w="189"/>
        <w:gridCol w:w="1585"/>
        <w:gridCol w:w="1060"/>
        <w:gridCol w:w="740"/>
        <w:gridCol w:w="1180"/>
        <w:gridCol w:w="440"/>
        <w:gridCol w:w="236"/>
        <w:gridCol w:w="723"/>
        <w:gridCol w:w="1785"/>
      </w:tblGrid>
      <w:tr>
        <w:tblPrEx>
          <w:tblLayout w:type="fixed"/>
          <w:tblCellMar>
            <w:top w:w="0" w:type="dxa"/>
            <w:left w:w="108" w:type="dxa"/>
            <w:bottom w:w="0" w:type="dxa"/>
            <w:right w:w="108" w:type="dxa"/>
          </w:tblCellMar>
        </w:tblPrEx>
        <w:trPr>
          <w:trHeight w:val="444" w:hRule="atLeast"/>
        </w:trPr>
        <w:tc>
          <w:tcPr>
            <w:tcW w:w="9356" w:type="dxa"/>
            <w:gridSpan w:val="12"/>
            <w:tcBorders>
              <w:top w:val="nil"/>
              <w:left w:val="nil"/>
              <w:bottom w:val="nil"/>
              <w:right w:val="nil"/>
            </w:tcBorders>
            <w:shd w:val="clear" w:color="auto" w:fill="auto"/>
            <w:vAlign w:val="center"/>
          </w:tcPr>
          <w:p>
            <w:pPr>
              <w:widowControl/>
              <w:ind w:firstLine="3080" w:firstLineChars="700"/>
              <w:rPr>
                <w:rFonts w:ascii="黑体" w:hAnsi="黑体" w:eastAsia="黑体" w:cs="宋体"/>
                <w:kern w:val="0"/>
                <w:sz w:val="44"/>
                <w:szCs w:val="44"/>
                <w:highlight w:val="none"/>
              </w:rPr>
            </w:pPr>
            <w:bookmarkStart w:id="15" w:name="_Hlk33473319"/>
            <w:r>
              <w:rPr>
                <w:rFonts w:hint="eastAsia" w:ascii="黑体" w:hAnsi="黑体" w:eastAsia="黑体" w:cs="宋体"/>
                <w:kern w:val="0"/>
                <w:sz w:val="44"/>
                <w:szCs w:val="44"/>
                <w:highlight w:val="none"/>
              </w:rPr>
              <w:t>供应商调查表</w:t>
            </w: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single" w:color="auto" w:sz="8" w:space="0"/>
              <w:right w:val="nil"/>
            </w:tcBorders>
            <w:shd w:val="clear" w:color="auto" w:fill="auto"/>
            <w:vAlign w:val="center"/>
          </w:tcPr>
          <w:p>
            <w:pPr>
              <w:widowControl/>
              <w:ind w:firstLine="200"/>
              <w:rPr>
                <w:rFonts w:hint="eastAsia" w:ascii="宋体" w:hAnsi="宋体" w:eastAsia="宋体" w:cs="宋体"/>
                <w:kern w:val="0"/>
                <w:sz w:val="28"/>
                <w:szCs w:val="28"/>
                <w:highlight w:val="none"/>
                <w:lang w:eastAsia="zh-CN"/>
              </w:rPr>
            </w:pPr>
            <w:r>
              <w:rPr>
                <w:rFonts w:hint="eastAsia" w:ascii="宋体" w:hAnsi="宋体" w:cs="宋体"/>
                <w:kern w:val="0"/>
                <w:sz w:val="28"/>
                <w:szCs w:val="28"/>
                <w:highlight w:val="none"/>
              </w:rPr>
              <w:t>项目名称：</w:t>
            </w:r>
            <w:r>
              <w:rPr>
                <w:rFonts w:hint="eastAsia" w:ascii="宋体"/>
                <w:sz w:val="24"/>
                <w:highlight w:val="none"/>
                <w:lang w:eastAsia="zh-CN"/>
              </w:rPr>
              <w:t>广中医药科楼板换间设备拆除和广大教2旁冷冻水管漏水处理工程</w:t>
            </w: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xml:space="preserve">供应商名称 </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法人代表</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详细地址</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邮    编</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876"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成立日期</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营业执照号码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发证机构</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固定电话号码</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传真号码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注册资金</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公司类型</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机构性质</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项目联系人</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联系电话</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经营范围</w:t>
            </w:r>
          </w:p>
        </w:tc>
        <w:tc>
          <w:tcPr>
            <w:tcW w:w="7749"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highlight w:val="none"/>
              </w:rPr>
            </w:pPr>
          </w:p>
          <w:p>
            <w:pPr>
              <w:widowControl/>
              <w:rPr>
                <w:rFonts w:ascii="宋体" w:hAnsi="宋体" w:cs="宋体"/>
                <w:b/>
                <w:bCs/>
                <w:kern w:val="0"/>
                <w:sz w:val="24"/>
                <w:highlight w:val="none"/>
              </w:rPr>
            </w:pPr>
          </w:p>
          <w:p>
            <w:pPr>
              <w:widowControl/>
              <w:rPr>
                <w:rFonts w:ascii="宋体" w:hAnsi="宋体" w:cs="宋体"/>
                <w:b/>
                <w:bCs/>
                <w:kern w:val="0"/>
                <w:sz w:val="24"/>
                <w:highlight w:val="none"/>
              </w:rPr>
            </w:pPr>
          </w:p>
          <w:p>
            <w:pPr>
              <w:widowControl/>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序号</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资质证书（认证项目）名称</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发证机关</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主要服务行业</w:t>
            </w:r>
          </w:p>
        </w:tc>
        <w:tc>
          <w:tcPr>
            <w:tcW w:w="264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主要客户</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356" w:type="dxa"/>
            <w:gridSpan w:val="1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近三年类似业绩</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序号</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服务单位</w:t>
            </w: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项目内容</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highlight w:val="none"/>
              </w:rPr>
            </w:pPr>
          </w:p>
        </w:tc>
      </w:tr>
      <w:tr>
        <w:tblPrEx>
          <w:tblLayout w:type="fixed"/>
          <w:tblCellMar>
            <w:top w:w="0" w:type="dxa"/>
            <w:left w:w="108" w:type="dxa"/>
            <w:bottom w:w="0" w:type="dxa"/>
            <w:right w:w="108" w:type="dxa"/>
          </w:tblCellMar>
        </w:tblPrEx>
        <w:trPr>
          <w:trHeight w:val="399" w:hRule="atLeast"/>
        </w:trPr>
        <w:tc>
          <w:tcPr>
            <w:tcW w:w="1072"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535"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15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106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7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118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4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236"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723"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17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nil"/>
              <w:right w:val="nil"/>
            </w:tcBorders>
            <w:shd w:val="clear" w:color="auto" w:fill="auto"/>
            <w:vAlign w:val="center"/>
          </w:tcPr>
          <w:p>
            <w:pPr>
              <w:spacing w:line="400" w:lineRule="exact"/>
              <w:ind w:firstLine="200"/>
              <w:rPr>
                <w:sz w:val="28"/>
                <w:szCs w:val="28"/>
                <w:highlight w:val="none"/>
              </w:rPr>
            </w:pPr>
          </w:p>
          <w:p>
            <w:pPr>
              <w:spacing w:line="400" w:lineRule="exact"/>
              <w:rPr>
                <w:sz w:val="28"/>
                <w:szCs w:val="28"/>
                <w:highlight w:val="none"/>
              </w:rPr>
            </w:pPr>
            <w:r>
              <w:rPr>
                <w:rFonts w:hint="eastAsia"/>
                <w:sz w:val="28"/>
                <w:szCs w:val="28"/>
                <w:highlight w:val="none"/>
              </w:rPr>
              <w:t>报名单位（盖章）：</w:t>
            </w:r>
          </w:p>
        </w:tc>
      </w:tr>
    </w:tbl>
    <w:p>
      <w:pPr>
        <w:spacing w:line="400" w:lineRule="exact"/>
        <w:ind w:left="560" w:hanging="560" w:hangingChars="200"/>
        <w:rPr>
          <w:sz w:val="28"/>
          <w:szCs w:val="28"/>
          <w:highlight w:val="none"/>
        </w:rPr>
      </w:pPr>
    </w:p>
    <w:p>
      <w:pPr>
        <w:spacing w:line="400" w:lineRule="exact"/>
        <w:ind w:left="560" w:hanging="560" w:hangingChars="200"/>
        <w:rPr>
          <w:sz w:val="28"/>
          <w:szCs w:val="28"/>
          <w:highlight w:val="none"/>
        </w:rPr>
      </w:pPr>
      <w:r>
        <w:rPr>
          <w:rFonts w:hint="eastAsia"/>
          <w:sz w:val="28"/>
          <w:szCs w:val="28"/>
          <w:highlight w:val="none"/>
        </w:rPr>
        <w:t>日期：202</w:t>
      </w:r>
      <w:r>
        <w:rPr>
          <w:rFonts w:hint="eastAsia"/>
          <w:sz w:val="28"/>
          <w:szCs w:val="28"/>
          <w:highlight w:val="none"/>
          <w:lang w:val="en-US" w:eastAsia="zh-CN"/>
        </w:rPr>
        <w:t>3</w:t>
      </w:r>
      <w:r>
        <w:rPr>
          <w:rFonts w:hint="eastAsia"/>
          <w:sz w:val="28"/>
          <w:szCs w:val="28"/>
          <w:highlight w:val="none"/>
        </w:rPr>
        <w:t xml:space="preserve">年 </w:t>
      </w:r>
      <w:r>
        <w:rPr>
          <w:sz w:val="28"/>
          <w:szCs w:val="28"/>
          <w:highlight w:val="none"/>
        </w:rPr>
        <w:t xml:space="preserve">  </w:t>
      </w:r>
      <w:r>
        <w:rPr>
          <w:rFonts w:hint="eastAsia"/>
          <w:sz w:val="28"/>
          <w:szCs w:val="28"/>
          <w:highlight w:val="none"/>
        </w:rPr>
        <w:t xml:space="preserve">月 </w:t>
      </w:r>
      <w:r>
        <w:rPr>
          <w:sz w:val="28"/>
          <w:szCs w:val="28"/>
          <w:highlight w:val="none"/>
        </w:rPr>
        <w:t xml:space="preserve"> </w:t>
      </w:r>
      <w:r>
        <w:rPr>
          <w:rFonts w:hint="eastAsia"/>
          <w:sz w:val="28"/>
          <w:szCs w:val="28"/>
          <w:highlight w:val="none"/>
        </w:rPr>
        <w:t>日</w:t>
      </w:r>
    </w:p>
    <w:bookmarkEnd w:id="15"/>
    <w:p>
      <w:pPr>
        <w:spacing w:line="400" w:lineRule="exact"/>
        <w:ind w:left="560" w:hanging="560" w:hangingChars="200"/>
        <w:rPr>
          <w:rFonts w:ascii="宋体" w:hAnsi="宋体"/>
          <w:bCs/>
          <w:sz w:val="30"/>
          <w:szCs w:val="30"/>
          <w:highlight w:val="none"/>
        </w:rPr>
      </w:pPr>
      <w:r>
        <w:rPr>
          <w:sz w:val="28"/>
          <w:szCs w:val="28"/>
          <w:highlight w:val="none"/>
        </w:rPr>
        <w:br w:type="page"/>
      </w:r>
      <w:r>
        <w:rPr>
          <w:rFonts w:hint="eastAsia" w:ascii="宋体" w:hAnsi="宋体"/>
          <w:bCs/>
          <w:sz w:val="30"/>
          <w:szCs w:val="30"/>
          <w:highlight w:val="none"/>
        </w:rPr>
        <w:t>附件3</w:t>
      </w:r>
    </w:p>
    <w:p>
      <w:pPr>
        <w:spacing w:line="500" w:lineRule="exact"/>
        <w:jc w:val="center"/>
        <w:rPr>
          <w:rFonts w:eastAsia="黑体"/>
          <w:b/>
          <w:bCs/>
          <w:sz w:val="36"/>
          <w:highlight w:val="none"/>
        </w:rPr>
      </w:pPr>
      <w:r>
        <w:rPr>
          <w:rFonts w:hint="eastAsia" w:eastAsia="黑体"/>
          <w:b/>
          <w:bCs/>
          <w:sz w:val="36"/>
          <w:highlight w:val="none"/>
        </w:rPr>
        <w:t>法定代表人身份证明书</w:t>
      </w:r>
    </w:p>
    <w:p>
      <w:pPr>
        <w:spacing w:line="500" w:lineRule="exact"/>
        <w:rPr>
          <w:b/>
          <w:bCs/>
          <w:szCs w:val="21"/>
          <w:highlight w:val="none"/>
        </w:rPr>
      </w:pPr>
    </w:p>
    <w:p>
      <w:pPr>
        <w:spacing w:line="500" w:lineRule="exact"/>
        <w:ind w:firstLine="1120" w:firstLineChars="400"/>
        <w:rPr>
          <w:rFonts w:ascii="宋体" w:hAnsi="宋体" w:cs="宋体"/>
          <w:sz w:val="28"/>
          <w:highlight w:val="none"/>
        </w:rPr>
      </w:pPr>
      <w:bookmarkStart w:id="16" w:name="_Hlk33473365"/>
      <w:r>
        <w:rPr>
          <w:rFonts w:hint="eastAsia" w:ascii="宋体" w:hAnsi="宋体" w:cs="宋体"/>
          <w:sz w:val="28"/>
          <w:highlight w:val="none"/>
        </w:rPr>
        <w:t>在我单位任</w:t>
      </w:r>
      <w:r>
        <w:rPr>
          <w:rFonts w:hint="eastAsia" w:ascii="宋体" w:hAnsi="宋体" w:cs="宋体"/>
          <w:sz w:val="28"/>
          <w:highlight w:val="none"/>
          <w:u w:val="single"/>
        </w:rPr>
        <w:t xml:space="preserve"> </w:t>
      </w:r>
      <w:r>
        <w:rPr>
          <w:rFonts w:ascii="宋体" w:hAnsi="宋体" w:cs="宋体"/>
          <w:sz w:val="28"/>
          <w:highlight w:val="none"/>
          <w:u w:val="single"/>
        </w:rPr>
        <w:t xml:space="preserve">    </w:t>
      </w:r>
      <w:r>
        <w:rPr>
          <w:rFonts w:hint="eastAsia" w:ascii="宋体" w:hAnsi="宋体" w:cs="宋体"/>
          <w:sz w:val="28"/>
          <w:highlight w:val="none"/>
        </w:rPr>
        <w:t>职务，是我单位法定代表人，身份证号为</w:t>
      </w:r>
      <w:r>
        <w:rPr>
          <w:rFonts w:hint="eastAsia" w:ascii="宋体" w:hAnsi="宋体" w:cs="宋体"/>
          <w:sz w:val="28"/>
          <w:highlight w:val="none"/>
          <w:u w:val="single"/>
        </w:rPr>
        <w:t xml:space="preserve"> </w:t>
      </w:r>
      <w:r>
        <w:rPr>
          <w:rFonts w:ascii="宋体" w:hAnsi="宋体" w:cs="宋体"/>
          <w:sz w:val="28"/>
          <w:highlight w:val="none"/>
          <w:u w:val="single"/>
        </w:rPr>
        <w:t xml:space="preserve">     </w:t>
      </w:r>
      <w:r>
        <w:rPr>
          <w:rFonts w:hint="eastAsia" w:ascii="宋体" w:hAnsi="宋体" w:cs="宋体"/>
          <w:sz w:val="28"/>
          <w:highlight w:val="none"/>
        </w:rPr>
        <w:t>，特此证明。</w:t>
      </w:r>
    </w:p>
    <w:p>
      <w:pPr>
        <w:spacing w:line="500" w:lineRule="exact"/>
        <w:ind w:firstLine="627" w:firstLineChars="224"/>
        <w:rPr>
          <w:rFonts w:ascii="宋体" w:hAnsi="宋体" w:cs="宋体"/>
          <w:sz w:val="28"/>
          <w:highlight w:val="none"/>
        </w:rPr>
      </w:pPr>
    </w:p>
    <w:p>
      <w:pPr>
        <w:spacing w:line="500" w:lineRule="exact"/>
        <w:jc w:val="left"/>
        <w:rPr>
          <w:rFonts w:ascii="宋体" w:hAnsi="宋体" w:cs="宋体"/>
          <w:sz w:val="28"/>
          <w:highlight w:val="none"/>
        </w:rPr>
      </w:pPr>
      <w:r>
        <w:rPr>
          <w:rFonts w:hint="eastAsia" w:ascii="宋体" w:hAnsi="宋体" w:cs="宋体"/>
          <w:sz w:val="28"/>
          <w:highlight w:val="none"/>
        </w:rPr>
        <w:t>（单位盖章）</w:t>
      </w:r>
    </w:p>
    <w:p>
      <w:pPr>
        <w:spacing w:line="500" w:lineRule="exact"/>
        <w:ind w:firstLine="627" w:firstLineChars="224"/>
        <w:rPr>
          <w:rFonts w:hAnsi="宋体" w:cs="宋体"/>
          <w:sz w:val="28"/>
          <w:szCs w:val="28"/>
          <w:highlight w:val="none"/>
        </w:rPr>
      </w:pPr>
    </w:p>
    <w:p>
      <w:pPr>
        <w:spacing w:line="500" w:lineRule="exact"/>
        <w:rPr>
          <w:rFonts w:ascii="宋体" w:hAnsi="宋体" w:cs="宋体"/>
          <w:sz w:val="28"/>
          <w:highlight w:val="none"/>
        </w:rPr>
      </w:pPr>
      <w:r>
        <w:rPr>
          <w:rFonts w:hint="eastAsia" w:hAnsi="宋体" w:cs="宋体"/>
          <w:sz w:val="28"/>
          <w:szCs w:val="28"/>
          <w:highlight w:val="none"/>
        </w:rPr>
        <w:t>日期：202</w:t>
      </w:r>
      <w:r>
        <w:rPr>
          <w:rFonts w:hint="eastAsia" w:hAnsi="宋体" w:cs="宋体"/>
          <w:sz w:val="28"/>
          <w:szCs w:val="28"/>
          <w:highlight w:val="none"/>
          <w:lang w:val="en-US" w:eastAsia="zh-CN"/>
        </w:rPr>
        <w:t>3</w:t>
      </w:r>
      <w:r>
        <w:rPr>
          <w:rFonts w:hint="eastAsia" w:hAnsi="宋体" w:cs="宋体"/>
          <w:sz w:val="28"/>
          <w:szCs w:val="28"/>
          <w:highlight w:val="none"/>
        </w:rPr>
        <w:t xml:space="preserve">年 </w:t>
      </w:r>
      <w:r>
        <w:rPr>
          <w:rFonts w:hAnsi="宋体" w:cs="宋体"/>
          <w:sz w:val="28"/>
          <w:szCs w:val="28"/>
          <w:highlight w:val="none"/>
        </w:rPr>
        <w:t xml:space="preserve">  </w:t>
      </w:r>
      <w:r>
        <w:rPr>
          <w:rFonts w:hint="eastAsia" w:hAnsi="宋体" w:cs="宋体"/>
          <w:sz w:val="28"/>
          <w:szCs w:val="28"/>
          <w:highlight w:val="none"/>
        </w:rPr>
        <w:t xml:space="preserve">月 </w:t>
      </w:r>
      <w:r>
        <w:rPr>
          <w:rFonts w:hAnsi="宋体" w:cs="宋体"/>
          <w:sz w:val="28"/>
          <w:szCs w:val="28"/>
          <w:highlight w:val="none"/>
        </w:rPr>
        <w:t xml:space="preserve"> </w:t>
      </w:r>
      <w:r>
        <w:rPr>
          <w:rFonts w:hint="eastAsia" w:hAnsi="宋体" w:cs="宋体"/>
          <w:sz w:val="28"/>
          <w:szCs w:val="28"/>
          <w:highlight w:val="none"/>
        </w:rPr>
        <w:t>日</w:t>
      </w:r>
    </w:p>
    <w:p>
      <w:pPr>
        <w:spacing w:line="500" w:lineRule="exact"/>
        <w:rPr>
          <w:rFonts w:ascii="宋体" w:hAnsi="宋体" w:cs="宋体"/>
          <w:sz w:val="28"/>
          <w:highlight w:val="none"/>
        </w:rPr>
      </w:pPr>
      <w:r>
        <w:rPr>
          <w:rFonts w:hint="eastAsia" w:ascii="宋体" w:hAnsi="宋体" w:cs="宋体"/>
          <w:sz w:val="28"/>
          <w:highlight w:val="none"/>
        </w:rPr>
        <w:t xml:space="preserve">单位通信地址：                                </w:t>
      </w:r>
    </w:p>
    <w:p>
      <w:pPr>
        <w:spacing w:line="500" w:lineRule="exact"/>
        <w:rPr>
          <w:rFonts w:ascii="宋体" w:hAnsi="宋体" w:cs="宋体"/>
          <w:sz w:val="28"/>
          <w:highlight w:val="none"/>
        </w:rPr>
      </w:pPr>
    </w:p>
    <w:p>
      <w:pPr>
        <w:spacing w:line="500" w:lineRule="exact"/>
        <w:rPr>
          <w:rFonts w:ascii="宋体" w:hAnsi="宋体" w:cs="宋体"/>
          <w:sz w:val="28"/>
          <w:highlight w:val="none"/>
        </w:rPr>
      </w:pPr>
      <w:r>
        <w:rPr>
          <w:rFonts w:hint="eastAsia" w:ascii="宋体" w:hAnsi="宋体" w:cs="宋体"/>
          <w:sz w:val="28"/>
          <w:highlight w:val="none"/>
        </w:rPr>
        <w:t xml:space="preserve">邮政编码：                 单位联系电话：   </w:t>
      </w:r>
    </w:p>
    <w:p>
      <w:pPr>
        <w:rPr>
          <w:highlight w:val="none"/>
        </w:rPr>
      </w:pPr>
    </w:p>
    <w:p>
      <w:pPr>
        <w:spacing w:line="360" w:lineRule="auto"/>
        <w:rPr>
          <w:rFonts w:ascii="宋体" w:hAnsi="宋体" w:cs="Arial"/>
          <w:color w:val="000000"/>
          <w:sz w:val="28"/>
          <w:szCs w:val="28"/>
          <w:highlight w:val="none"/>
        </w:rPr>
      </w:pPr>
      <w:r>
        <w:rPr>
          <w:rFonts w:hint="eastAsia" w:ascii="宋体" w:hAnsi="宋体" w:cs="Arial"/>
          <w:color w:val="000000"/>
          <w:sz w:val="28"/>
          <w:szCs w:val="28"/>
          <w:highlight w:val="none"/>
        </w:rPr>
        <w:t>附：法人代表身份证正反面或其他身份证明材料复印件</w:t>
      </w:r>
    </w:p>
    <w:bookmarkEnd w:id="16"/>
    <w:p>
      <w:pPr>
        <w:spacing w:line="360" w:lineRule="auto"/>
        <w:rPr>
          <w:rFonts w:ascii="宋体" w:hAnsi="宋体" w:cs="Arial"/>
          <w:color w:val="000000"/>
          <w:sz w:val="28"/>
          <w:szCs w:val="28"/>
          <w:highlight w:val="none"/>
        </w:rPr>
      </w:pPr>
    </w:p>
    <w:p>
      <w:pPr>
        <w:spacing w:line="360" w:lineRule="auto"/>
        <w:rPr>
          <w:rFonts w:ascii="宋体" w:hAnsi="宋体" w:cs="Arial"/>
          <w:color w:val="000000"/>
          <w:sz w:val="30"/>
          <w:szCs w:val="30"/>
          <w:highlight w:val="none"/>
        </w:rPr>
      </w:pPr>
      <w:r>
        <w:rPr>
          <w:rFonts w:hint="eastAsia" w:ascii="宋体" w:hAnsi="宋体" w:cs="Arial"/>
          <w:color w:val="000000"/>
          <w:sz w:val="28"/>
          <w:szCs w:val="28"/>
          <w:highlight w:val="none"/>
        </w:rPr>
        <w:br w:type="page"/>
      </w:r>
      <w:r>
        <w:rPr>
          <w:rFonts w:hint="eastAsia" w:ascii="宋体" w:hAnsi="宋体" w:cs="黑体"/>
          <w:color w:val="000000"/>
          <w:sz w:val="30"/>
          <w:szCs w:val="30"/>
          <w:highlight w:val="none"/>
        </w:rPr>
        <w:t>附件4</w:t>
      </w:r>
    </w:p>
    <w:p>
      <w:pPr>
        <w:spacing w:line="500" w:lineRule="exact"/>
        <w:ind w:firstLine="2168" w:firstLineChars="600"/>
        <w:rPr>
          <w:rFonts w:eastAsia="黑体"/>
          <w:b/>
          <w:bCs/>
          <w:sz w:val="36"/>
          <w:highlight w:val="none"/>
        </w:rPr>
      </w:pPr>
      <w:r>
        <w:rPr>
          <w:rFonts w:hint="eastAsia" w:eastAsia="黑体"/>
          <w:b/>
          <w:bCs/>
          <w:sz w:val="36"/>
          <w:highlight w:val="none"/>
        </w:rPr>
        <w:t>法定代表人授权委托证明书</w:t>
      </w:r>
    </w:p>
    <w:p>
      <w:pPr>
        <w:pStyle w:val="26"/>
        <w:spacing w:line="360" w:lineRule="auto"/>
        <w:ind w:firstLine="424" w:firstLineChars="177"/>
        <w:rPr>
          <w:rFonts w:hAnsi="宋体"/>
          <w:bCs/>
          <w:sz w:val="24"/>
          <w:szCs w:val="24"/>
          <w:highlight w:val="none"/>
        </w:rPr>
      </w:pPr>
    </w:p>
    <w:p>
      <w:pPr>
        <w:pStyle w:val="26"/>
        <w:spacing w:line="360" w:lineRule="auto"/>
        <w:ind w:firstLine="480" w:firstLineChars="200"/>
        <w:rPr>
          <w:rFonts w:hAnsi="宋体"/>
          <w:sz w:val="24"/>
          <w:szCs w:val="24"/>
          <w:highlight w:val="none"/>
        </w:rPr>
      </w:pPr>
      <w:r>
        <w:rPr>
          <w:rFonts w:hint="eastAsia" w:hAnsi="宋体"/>
          <w:bCs/>
          <w:sz w:val="24"/>
          <w:szCs w:val="24"/>
          <w:highlight w:val="none"/>
        </w:rPr>
        <w:t>兹授权（委托代理人姓名）为我方委托代理人，其权限是：</w:t>
      </w:r>
      <w:r>
        <w:rPr>
          <w:rFonts w:hint="eastAsia" w:hAnsi="宋体"/>
          <w:sz w:val="24"/>
          <w:szCs w:val="24"/>
          <w:highlight w:val="none"/>
        </w:rPr>
        <w:t>办理                       （采购单位名称）组织的“                （项目名称）”的投标和合同执行，以我方的名义处理一切与之有关的事宜。</w:t>
      </w:r>
    </w:p>
    <w:p>
      <w:pPr>
        <w:pStyle w:val="26"/>
        <w:spacing w:line="360" w:lineRule="auto"/>
        <w:ind w:firstLine="480" w:firstLineChars="200"/>
        <w:rPr>
          <w:rFonts w:hAnsi="宋体"/>
          <w:bCs/>
          <w:sz w:val="24"/>
          <w:szCs w:val="24"/>
          <w:highlight w:val="none"/>
        </w:rPr>
      </w:pPr>
      <w:r>
        <w:rPr>
          <w:rFonts w:hint="eastAsia" w:hAnsi="宋体"/>
          <w:sz w:val="24"/>
          <w:szCs w:val="24"/>
          <w:highlight w:val="none"/>
          <w:lang w:val="en-GB"/>
        </w:rPr>
        <w:t>本</w:t>
      </w:r>
      <w:r>
        <w:rPr>
          <w:rFonts w:hint="eastAsia" w:hAnsi="宋体"/>
          <w:sz w:val="24"/>
          <w:szCs w:val="24"/>
          <w:highlight w:val="none"/>
        </w:rPr>
        <w:t>授权书</w:t>
      </w:r>
      <w:r>
        <w:rPr>
          <w:rFonts w:hint="eastAsia" w:hAnsi="宋体"/>
          <w:sz w:val="24"/>
          <w:szCs w:val="24"/>
          <w:highlight w:val="none"/>
          <w:lang w:val="en-GB"/>
        </w:rPr>
        <w:t>自</w:t>
      </w:r>
      <w:r>
        <w:rPr>
          <w:rFonts w:hint="eastAsia" w:hAnsi="宋体"/>
          <w:sz w:val="24"/>
          <w:szCs w:val="24"/>
          <w:highlight w:val="none"/>
        </w:rPr>
        <w:t>年月日</w:t>
      </w:r>
      <w:r>
        <w:rPr>
          <w:rFonts w:hint="eastAsia" w:hAnsi="宋体"/>
          <w:sz w:val="24"/>
          <w:szCs w:val="24"/>
          <w:highlight w:val="none"/>
          <w:lang w:val="en-GB"/>
        </w:rPr>
        <w:t>签章之日起生效，特此声明。</w:t>
      </w:r>
    </w:p>
    <w:p>
      <w:pPr>
        <w:pStyle w:val="26"/>
        <w:spacing w:line="360" w:lineRule="auto"/>
        <w:ind w:firstLine="480" w:firstLineChars="200"/>
        <w:rPr>
          <w:rFonts w:hAnsi="宋体"/>
          <w:sz w:val="24"/>
          <w:szCs w:val="24"/>
          <w:highlight w:val="none"/>
          <w:u w:val="single"/>
        </w:rPr>
      </w:pPr>
      <w:r>
        <w:rPr>
          <w:rFonts w:hint="eastAsia" w:hAnsi="宋体"/>
          <w:sz w:val="24"/>
          <w:szCs w:val="24"/>
          <w:highlight w:val="none"/>
        </w:rPr>
        <w:t>附：代理人性别：   年龄：   职务：</w:t>
      </w:r>
    </w:p>
    <w:p>
      <w:pPr>
        <w:pStyle w:val="26"/>
        <w:spacing w:line="360" w:lineRule="auto"/>
        <w:ind w:firstLine="480" w:firstLineChars="200"/>
        <w:rPr>
          <w:rFonts w:hAnsi="宋体"/>
          <w:sz w:val="24"/>
          <w:szCs w:val="24"/>
          <w:highlight w:val="none"/>
          <w:u w:val="single"/>
        </w:rPr>
      </w:pPr>
      <w:r>
        <w:rPr>
          <w:rFonts w:hint="eastAsia" w:hAnsi="宋体"/>
          <w:sz w:val="24"/>
          <w:szCs w:val="24"/>
          <w:highlight w:val="none"/>
        </w:rPr>
        <w:t>　　身份证号码：</w:t>
      </w:r>
    </w:p>
    <w:p>
      <w:pPr>
        <w:pStyle w:val="26"/>
        <w:spacing w:line="360" w:lineRule="auto"/>
        <w:ind w:firstLine="480" w:firstLineChars="200"/>
        <w:rPr>
          <w:rFonts w:hAnsi="宋体"/>
          <w:sz w:val="24"/>
          <w:szCs w:val="24"/>
          <w:highlight w:val="none"/>
          <w:u w:val="single"/>
        </w:rPr>
      </w:pPr>
      <w:r>
        <w:rPr>
          <w:rFonts w:hint="eastAsia" w:hAnsi="宋体"/>
          <w:sz w:val="24"/>
          <w:szCs w:val="24"/>
          <w:highlight w:val="none"/>
        </w:rPr>
        <w:t>　　（营业执照等）注册号码：</w:t>
      </w:r>
    </w:p>
    <w:p>
      <w:pPr>
        <w:pStyle w:val="26"/>
        <w:spacing w:line="360" w:lineRule="auto"/>
        <w:ind w:firstLine="480" w:firstLineChars="200"/>
        <w:rPr>
          <w:rFonts w:hAnsi="宋体"/>
          <w:sz w:val="24"/>
          <w:szCs w:val="24"/>
          <w:highlight w:val="none"/>
          <w:u w:val="single"/>
        </w:rPr>
      </w:pPr>
      <w:r>
        <w:rPr>
          <w:rFonts w:hint="eastAsia" w:hAnsi="宋体"/>
          <w:sz w:val="24"/>
          <w:szCs w:val="24"/>
          <w:highlight w:val="none"/>
        </w:rPr>
        <w:t>　　企业类型：</w:t>
      </w:r>
    </w:p>
    <w:p>
      <w:pPr>
        <w:pStyle w:val="26"/>
        <w:spacing w:line="360" w:lineRule="auto"/>
        <w:ind w:firstLine="480" w:firstLineChars="200"/>
        <w:rPr>
          <w:rFonts w:hAnsi="宋体"/>
          <w:sz w:val="24"/>
          <w:szCs w:val="24"/>
          <w:highlight w:val="none"/>
          <w:u w:val="single"/>
        </w:rPr>
      </w:pPr>
      <w:r>
        <w:rPr>
          <w:rFonts w:hint="eastAsia" w:hAnsi="宋体"/>
          <w:sz w:val="24"/>
          <w:szCs w:val="24"/>
          <w:highlight w:val="none"/>
        </w:rPr>
        <w:t>　　经营范围：</w:t>
      </w:r>
    </w:p>
    <w:p>
      <w:pPr>
        <w:pStyle w:val="26"/>
        <w:spacing w:line="360" w:lineRule="auto"/>
        <w:rPr>
          <w:rFonts w:hAnsi="宋体"/>
          <w:sz w:val="24"/>
          <w:szCs w:val="24"/>
          <w:highlight w:val="none"/>
        </w:rPr>
      </w:pPr>
      <w:r>
        <w:rPr>
          <w:rFonts w:hint="eastAsia" w:hAnsi="宋体"/>
          <w:sz w:val="24"/>
          <w:szCs w:val="24"/>
          <w:highlight w:val="none"/>
        </w:rPr>
        <w:t>附：被授权人有效身份证正反面或其他身份证明材料复印　　　　　　　</w:t>
      </w:r>
    </w:p>
    <w:p>
      <w:pPr>
        <w:pStyle w:val="25"/>
        <w:spacing w:line="360" w:lineRule="auto"/>
        <w:jc w:val="both"/>
        <w:rPr>
          <w:rFonts w:hAnsi="宋体"/>
          <w:sz w:val="24"/>
          <w:szCs w:val="24"/>
          <w:highlight w:val="none"/>
        </w:rPr>
      </w:pPr>
    </w:p>
    <w:p>
      <w:pPr>
        <w:pStyle w:val="25"/>
        <w:spacing w:line="360" w:lineRule="auto"/>
        <w:jc w:val="both"/>
        <w:rPr>
          <w:rFonts w:hAnsi="宋体" w:eastAsia="宋体" w:cs="宋体"/>
          <w:sz w:val="28"/>
          <w:highlight w:val="none"/>
        </w:rPr>
      </w:pPr>
    </w:p>
    <w:p>
      <w:pPr>
        <w:pStyle w:val="25"/>
        <w:spacing w:line="360" w:lineRule="auto"/>
        <w:jc w:val="both"/>
        <w:rPr>
          <w:rFonts w:hAnsi="宋体" w:eastAsia="宋体" w:cs="宋体"/>
          <w:sz w:val="28"/>
          <w:highlight w:val="none"/>
        </w:rPr>
      </w:pPr>
    </w:p>
    <w:p>
      <w:pPr>
        <w:pStyle w:val="25"/>
        <w:spacing w:line="360" w:lineRule="auto"/>
        <w:jc w:val="both"/>
        <w:rPr>
          <w:rFonts w:hAnsi="宋体" w:eastAsia="宋体" w:cs="宋体"/>
          <w:sz w:val="28"/>
          <w:highlight w:val="none"/>
        </w:rPr>
      </w:pPr>
    </w:p>
    <w:p>
      <w:pPr>
        <w:pStyle w:val="25"/>
        <w:spacing w:line="360" w:lineRule="auto"/>
        <w:jc w:val="both"/>
        <w:rPr>
          <w:rFonts w:hAnsi="宋体" w:eastAsia="宋体" w:cs="宋体"/>
          <w:sz w:val="28"/>
          <w:highlight w:val="none"/>
        </w:rPr>
      </w:pPr>
    </w:p>
    <w:p>
      <w:pPr>
        <w:pStyle w:val="25"/>
        <w:spacing w:line="360" w:lineRule="auto"/>
        <w:jc w:val="both"/>
        <w:rPr>
          <w:rFonts w:hAnsi="宋体" w:eastAsia="宋体" w:cs="宋体"/>
          <w:sz w:val="28"/>
          <w:highlight w:val="none"/>
        </w:rPr>
      </w:pPr>
    </w:p>
    <w:p>
      <w:pPr>
        <w:pStyle w:val="25"/>
        <w:spacing w:line="360" w:lineRule="auto"/>
        <w:jc w:val="both"/>
        <w:rPr>
          <w:rFonts w:hAnsi="宋体" w:eastAsia="宋体" w:cs="宋体"/>
          <w:sz w:val="24"/>
          <w:szCs w:val="24"/>
          <w:highlight w:val="none"/>
        </w:rPr>
      </w:pPr>
      <w:r>
        <w:rPr>
          <w:rFonts w:hint="eastAsia" w:hAnsi="宋体" w:eastAsia="宋体" w:cs="宋体"/>
          <w:sz w:val="24"/>
          <w:szCs w:val="24"/>
          <w:highlight w:val="none"/>
        </w:rPr>
        <w:t>（单位盖章）：</w:t>
      </w:r>
    </w:p>
    <w:p>
      <w:pPr>
        <w:pStyle w:val="25"/>
        <w:spacing w:line="360" w:lineRule="auto"/>
        <w:jc w:val="both"/>
        <w:rPr>
          <w:rFonts w:hAnsi="宋体" w:eastAsia="宋体" w:cs="宋体"/>
          <w:sz w:val="24"/>
          <w:szCs w:val="24"/>
          <w:highlight w:val="none"/>
        </w:rPr>
      </w:pPr>
    </w:p>
    <w:p>
      <w:pPr>
        <w:pStyle w:val="25"/>
        <w:spacing w:line="360" w:lineRule="auto"/>
        <w:jc w:val="both"/>
        <w:rPr>
          <w:rFonts w:hAnsi="宋体" w:eastAsia="宋体" w:cs="宋体"/>
          <w:sz w:val="24"/>
          <w:szCs w:val="24"/>
          <w:highlight w:val="none"/>
        </w:rPr>
      </w:pPr>
      <w:bookmarkStart w:id="17" w:name="_Hlk33473384"/>
      <w:r>
        <w:rPr>
          <w:rFonts w:hint="eastAsia" w:hAnsi="宋体" w:eastAsia="宋体" w:cs="宋体"/>
          <w:sz w:val="24"/>
          <w:szCs w:val="24"/>
          <w:highlight w:val="none"/>
        </w:rPr>
        <w:t>法定代表人（签字或盖章）：</w:t>
      </w:r>
    </w:p>
    <w:p>
      <w:pPr>
        <w:pStyle w:val="25"/>
        <w:spacing w:line="360" w:lineRule="auto"/>
        <w:jc w:val="both"/>
        <w:rPr>
          <w:rFonts w:hAnsi="宋体" w:eastAsia="宋体" w:cs="宋体"/>
          <w:sz w:val="24"/>
          <w:szCs w:val="24"/>
          <w:highlight w:val="none"/>
        </w:rPr>
      </w:pPr>
      <w:r>
        <w:rPr>
          <w:rFonts w:hint="eastAsia" w:hAnsi="宋体" w:eastAsia="宋体" w:cs="宋体"/>
          <w:sz w:val="24"/>
          <w:szCs w:val="24"/>
          <w:highlight w:val="none"/>
        </w:rPr>
        <w:t>被授权人（签字或盖章）：</w:t>
      </w:r>
    </w:p>
    <w:p>
      <w:pPr>
        <w:pStyle w:val="25"/>
        <w:spacing w:line="360" w:lineRule="auto"/>
        <w:jc w:val="both"/>
        <w:rPr>
          <w:rFonts w:hAnsi="宋体" w:eastAsia="宋体" w:cs="宋体"/>
          <w:sz w:val="24"/>
          <w:szCs w:val="24"/>
          <w:highlight w:val="none"/>
        </w:rPr>
      </w:pPr>
      <w:r>
        <w:rPr>
          <w:rFonts w:hint="eastAsia" w:hAnsi="宋体" w:eastAsia="宋体" w:cs="宋体"/>
          <w:sz w:val="24"/>
          <w:szCs w:val="24"/>
          <w:highlight w:val="none"/>
        </w:rPr>
        <w:t>日期： 202</w:t>
      </w:r>
      <w:r>
        <w:rPr>
          <w:rFonts w:hint="eastAsia" w:hAnsi="宋体" w:eastAsia="宋体" w:cs="宋体"/>
          <w:sz w:val="24"/>
          <w:szCs w:val="24"/>
          <w:highlight w:val="none"/>
          <w:lang w:val="en-US" w:eastAsia="zh-CN"/>
        </w:rPr>
        <w:t>3</w:t>
      </w:r>
      <w:r>
        <w:rPr>
          <w:rFonts w:hint="eastAsia" w:hAnsi="宋体" w:eastAsia="宋体" w:cs="宋体"/>
          <w:sz w:val="24"/>
          <w:szCs w:val="24"/>
          <w:highlight w:val="none"/>
        </w:rPr>
        <w:t>年   月  日</w:t>
      </w:r>
    </w:p>
    <w:p>
      <w:pPr>
        <w:rPr>
          <w:sz w:val="24"/>
          <w:highlight w:val="none"/>
        </w:rPr>
      </w:pPr>
      <w:r>
        <w:rPr>
          <w:rFonts w:hint="eastAsia" w:hAnsi="宋体" w:cs="宋体"/>
          <w:sz w:val="24"/>
          <w:highlight w:val="none"/>
          <w:lang w:val="zh-CN"/>
        </w:rPr>
        <w:t>说明：法定代表人亲自办理投标事宜的，无需提交本证明书。</w:t>
      </w:r>
    </w:p>
    <w:bookmarkEnd w:id="17"/>
    <w:p>
      <w:pPr>
        <w:spacing w:line="360" w:lineRule="auto"/>
        <w:rPr>
          <w:sz w:val="28"/>
          <w:szCs w:val="28"/>
          <w:highlight w:val="none"/>
        </w:rPr>
      </w:pPr>
    </w:p>
    <w:p>
      <w:pPr>
        <w:rPr>
          <w:rFonts w:ascii="仿宋" w:hAnsi="仿宋" w:eastAsia="仿宋" w:cs="仿宋"/>
          <w:szCs w:val="21"/>
          <w:highlight w:val="none"/>
        </w:rPr>
      </w:pPr>
      <w:r>
        <w:rPr>
          <w:rFonts w:ascii="仿宋" w:hAnsi="仿宋" w:eastAsia="仿宋" w:cs="仿宋"/>
          <w:szCs w:val="21"/>
          <w:highlight w:val="none"/>
        </w:rPr>
        <w:br w:type="page"/>
      </w:r>
    </w:p>
    <w:p>
      <w:pPr>
        <w:rPr>
          <w:rFonts w:hAnsi="宋体"/>
          <w:sz w:val="30"/>
          <w:szCs w:val="30"/>
          <w:highlight w:val="none"/>
        </w:rPr>
      </w:pPr>
      <w:r>
        <w:rPr>
          <w:rFonts w:hint="eastAsia" w:ascii="宋体" w:hAnsi="宋体" w:cs="Arial"/>
          <w:color w:val="000000"/>
          <w:sz w:val="30"/>
          <w:szCs w:val="30"/>
          <w:highlight w:val="none"/>
        </w:rPr>
        <w:t>附件5</w:t>
      </w:r>
    </w:p>
    <w:p>
      <w:pPr>
        <w:ind w:firstLine="2891" w:firstLineChars="800"/>
        <w:rPr>
          <w:rFonts w:ascii="宋体" w:hAnsi="宋体" w:cs="宋体"/>
          <w:b/>
          <w:bCs/>
          <w:sz w:val="36"/>
          <w:szCs w:val="36"/>
          <w:highlight w:val="none"/>
        </w:rPr>
      </w:pPr>
      <w:r>
        <w:rPr>
          <w:rFonts w:hint="eastAsia" w:ascii="宋体" w:hAnsi="宋体" w:cs="宋体"/>
          <w:b/>
          <w:bCs/>
          <w:sz w:val="36"/>
          <w:szCs w:val="36"/>
          <w:highlight w:val="none"/>
        </w:rPr>
        <w:t>投标人资格审查表</w:t>
      </w:r>
    </w:p>
    <w:p>
      <w:pPr>
        <w:ind w:firstLine="2891" w:firstLineChars="800"/>
        <w:rPr>
          <w:rFonts w:ascii="宋体" w:hAnsi="宋体" w:cs="宋体"/>
          <w:b/>
          <w:bCs/>
          <w:sz w:val="36"/>
          <w:szCs w:val="36"/>
          <w:highlight w:val="none"/>
        </w:rPr>
      </w:pPr>
    </w:p>
    <w:p>
      <w:pPr>
        <w:spacing w:line="360" w:lineRule="auto"/>
        <w:rPr>
          <w:rFonts w:hint="eastAsia" w:ascii="宋体" w:hAnsi="宋体" w:eastAsia="宋体"/>
          <w:bCs/>
          <w:szCs w:val="21"/>
          <w:highlight w:val="none"/>
          <w:lang w:eastAsia="zh-CN"/>
        </w:rPr>
      </w:pPr>
      <w:r>
        <w:rPr>
          <w:rFonts w:hint="eastAsia" w:ascii="宋体" w:hAnsi="宋体"/>
          <w:bCs/>
          <w:szCs w:val="21"/>
          <w:highlight w:val="none"/>
        </w:rPr>
        <w:t>项目名称：</w:t>
      </w:r>
      <w:r>
        <w:rPr>
          <w:rFonts w:hint="eastAsia" w:ascii="宋体"/>
          <w:sz w:val="24"/>
          <w:highlight w:val="none"/>
          <w:lang w:eastAsia="zh-CN"/>
        </w:rPr>
        <w:t>广中医药科楼板换间设备拆除和广大教2旁冷冻水管漏水处理工程</w:t>
      </w:r>
    </w:p>
    <w:tbl>
      <w:tblPr>
        <w:tblStyle w:val="23"/>
        <w:tblW w:w="844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6862"/>
        <w:gridCol w:w="9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863" w:hRule="atLeast"/>
          <w:jc w:val="center"/>
        </w:trPr>
        <w:tc>
          <w:tcPr>
            <w:tcW w:w="648" w:type="dxa"/>
            <w:vAlign w:val="center"/>
          </w:tcPr>
          <w:p>
            <w:pPr>
              <w:rPr>
                <w:rFonts w:ascii="宋体" w:hAnsi="宋体"/>
                <w:b/>
                <w:szCs w:val="21"/>
                <w:highlight w:val="none"/>
              </w:rPr>
            </w:pPr>
            <w:r>
              <w:rPr>
                <w:rFonts w:hint="eastAsia" w:ascii="宋体" w:hAnsi="宋体" w:cs="宋体"/>
                <w:b/>
                <w:bCs/>
                <w:szCs w:val="21"/>
                <w:highlight w:val="none"/>
              </w:rPr>
              <w:t>序号</w:t>
            </w:r>
          </w:p>
        </w:tc>
        <w:tc>
          <w:tcPr>
            <w:tcW w:w="6862" w:type="dxa"/>
            <w:vAlign w:val="center"/>
          </w:tcPr>
          <w:p>
            <w:pPr>
              <w:ind w:firstLine="422"/>
              <w:jc w:val="center"/>
              <w:rPr>
                <w:rFonts w:ascii="宋体" w:hAnsi="宋体"/>
                <w:b/>
                <w:sz w:val="22"/>
                <w:szCs w:val="21"/>
                <w:highlight w:val="none"/>
              </w:rPr>
            </w:pPr>
            <w:r>
              <w:rPr>
                <w:rFonts w:hint="eastAsia" w:ascii="宋体" w:hAnsi="宋体" w:cs="宋体"/>
                <w:b/>
                <w:bCs/>
                <w:szCs w:val="21"/>
                <w:highlight w:val="none"/>
              </w:rPr>
              <w:t>评审内容</w:t>
            </w:r>
          </w:p>
        </w:tc>
        <w:tc>
          <w:tcPr>
            <w:tcW w:w="934" w:type="dxa"/>
            <w:vAlign w:val="center"/>
          </w:tcPr>
          <w:p>
            <w:pPr>
              <w:rPr>
                <w:rFonts w:ascii="宋体" w:hAnsi="宋体"/>
                <w:b/>
                <w:szCs w:val="21"/>
                <w:highlight w:val="none"/>
              </w:rPr>
            </w:pPr>
            <w:r>
              <w:rPr>
                <w:rFonts w:hint="eastAsia" w:ascii="宋体" w:hAnsi="宋体" w:cs="宋体"/>
                <w:b/>
                <w:bCs/>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shd w:val="clear" w:color="auto" w:fill="auto"/>
            <w:vAlign w:val="center"/>
          </w:tcPr>
          <w:p>
            <w:pPr>
              <w:rPr>
                <w:rFonts w:ascii="宋体" w:hAnsi="宋体"/>
                <w:bCs/>
                <w:szCs w:val="21"/>
                <w:highlight w:val="none"/>
              </w:rPr>
            </w:pPr>
            <w:r>
              <w:rPr>
                <w:rFonts w:hint="eastAsia" w:ascii="宋体" w:hAnsi="宋体" w:cs="宋体"/>
                <w:szCs w:val="21"/>
                <w:highlight w:val="none"/>
              </w:rPr>
              <w:t>1</w:t>
            </w:r>
          </w:p>
        </w:tc>
        <w:tc>
          <w:tcPr>
            <w:tcW w:w="6862" w:type="dxa"/>
            <w:shd w:val="clear" w:color="auto" w:fill="auto"/>
            <w:vAlign w:val="center"/>
          </w:tcPr>
          <w:p>
            <w:pPr>
              <w:rPr>
                <w:rFonts w:ascii="宋体" w:hAnsi="宋体"/>
                <w:szCs w:val="21"/>
                <w:highlight w:val="none"/>
              </w:rPr>
            </w:pPr>
            <w:r>
              <w:rPr>
                <w:rFonts w:hint="eastAsia" w:ascii="宋体" w:hAnsi="宋体"/>
                <w:szCs w:val="21"/>
                <w:highlight w:val="none"/>
              </w:rPr>
              <w:t>具备有效的工商营业执照、企业法人组织机构代码证书、税务登记证书（或三证合一）（复印件盖章）</w:t>
            </w:r>
          </w:p>
        </w:tc>
        <w:tc>
          <w:tcPr>
            <w:tcW w:w="934"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shd w:val="clear" w:color="auto" w:fill="auto"/>
            <w:vAlign w:val="center"/>
          </w:tcPr>
          <w:p>
            <w:pPr>
              <w:rPr>
                <w:rFonts w:ascii="宋体" w:hAnsi="宋体" w:cs="宋体"/>
                <w:szCs w:val="21"/>
                <w:highlight w:val="none"/>
              </w:rPr>
            </w:pPr>
            <w:r>
              <w:rPr>
                <w:rFonts w:ascii="宋体" w:hAnsi="宋体" w:cs="宋体"/>
                <w:szCs w:val="21"/>
                <w:highlight w:val="none"/>
              </w:rPr>
              <w:t>2</w:t>
            </w:r>
          </w:p>
        </w:tc>
        <w:tc>
          <w:tcPr>
            <w:tcW w:w="6862" w:type="dxa"/>
            <w:shd w:val="clear" w:color="auto" w:fill="auto"/>
            <w:vAlign w:val="center"/>
          </w:tcPr>
          <w:p>
            <w:pPr>
              <w:rPr>
                <w:rFonts w:ascii="宋体" w:hAnsi="宋体" w:cs="宋体"/>
                <w:szCs w:val="21"/>
                <w:highlight w:val="none"/>
              </w:rPr>
            </w:pPr>
            <w:r>
              <w:rPr>
                <w:rFonts w:hint="eastAsia" w:ascii="宋体" w:hAnsi="宋体" w:cs="宋体"/>
                <w:szCs w:val="21"/>
                <w:highlight w:val="none"/>
              </w:rPr>
              <w:t>法定代表人证明书原件或法定代表人授权委托书原件</w:t>
            </w:r>
          </w:p>
        </w:tc>
        <w:tc>
          <w:tcPr>
            <w:tcW w:w="934" w:type="dxa"/>
            <w:vAlign w:val="center"/>
          </w:tcPr>
          <w:p>
            <w:pP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7" w:hRule="atLeast"/>
          <w:jc w:val="center"/>
        </w:trPr>
        <w:tc>
          <w:tcPr>
            <w:tcW w:w="648" w:type="dxa"/>
            <w:shd w:val="clear" w:color="auto" w:fill="auto"/>
            <w:vAlign w:val="center"/>
          </w:tcPr>
          <w:p>
            <w:pPr>
              <w:rPr>
                <w:rFonts w:ascii="宋体" w:hAnsi="宋体" w:cs="宋体"/>
                <w:szCs w:val="21"/>
                <w:highlight w:val="none"/>
              </w:rPr>
            </w:pPr>
            <w:r>
              <w:rPr>
                <w:rFonts w:hint="eastAsia" w:ascii="宋体" w:hAnsi="宋体" w:cs="宋体"/>
                <w:szCs w:val="21"/>
                <w:highlight w:val="none"/>
              </w:rPr>
              <w:t>3</w:t>
            </w:r>
          </w:p>
        </w:tc>
        <w:tc>
          <w:tcPr>
            <w:tcW w:w="6862" w:type="dxa"/>
            <w:shd w:val="clear" w:color="auto" w:fill="auto"/>
            <w:vAlign w:val="center"/>
          </w:tcPr>
          <w:p>
            <w:pPr>
              <w:tabs>
                <w:tab w:val="left" w:pos="0"/>
              </w:tabs>
              <w:rPr>
                <w:rFonts w:ascii="宋体" w:hAnsi="宋体" w:cs="宋体"/>
                <w:szCs w:val="21"/>
                <w:highlight w:val="none"/>
              </w:rPr>
            </w:pPr>
            <w:r>
              <w:rPr>
                <w:rFonts w:hint="eastAsia" w:ascii="宋体" w:hAnsi="宋体" w:cs="宋体"/>
                <w:bCs/>
                <w:szCs w:val="21"/>
                <w:highlight w:val="none"/>
              </w:rPr>
              <w:t>具</w:t>
            </w:r>
            <w:r>
              <w:rPr>
                <w:rFonts w:hint="eastAsia" w:ascii="宋体" w:hAnsi="宋体" w:cs="宋体"/>
                <w:bCs/>
                <w:szCs w:val="21"/>
                <w:highlight w:val="none"/>
                <w:lang w:val="en-US" w:eastAsia="zh-CN"/>
              </w:rPr>
              <w:t>有机电</w:t>
            </w:r>
            <w:r>
              <w:rPr>
                <w:rFonts w:hint="eastAsia" w:ascii="宋体" w:hAnsi="宋体" w:cs="宋体"/>
                <w:bCs/>
                <w:szCs w:val="21"/>
                <w:highlight w:val="none"/>
              </w:rPr>
              <w:t>工程施工总承包叁级及以上资质</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或具有建筑</w:t>
            </w:r>
            <w:r>
              <w:rPr>
                <w:rFonts w:hint="eastAsia" w:ascii="宋体" w:hAnsi="宋体" w:cs="宋体"/>
                <w:bCs/>
                <w:szCs w:val="21"/>
                <w:highlight w:val="none"/>
              </w:rPr>
              <w:t>机电安装工程专业承包三级</w:t>
            </w:r>
            <w:r>
              <w:rPr>
                <w:rFonts w:hint="eastAsia" w:ascii="宋体" w:hAnsi="宋体" w:cs="宋体"/>
                <w:bCs/>
                <w:szCs w:val="21"/>
                <w:highlight w:val="none"/>
                <w:lang w:val="en-US" w:eastAsia="zh-CN"/>
              </w:rPr>
              <w:t>及</w:t>
            </w:r>
            <w:r>
              <w:rPr>
                <w:rFonts w:hint="eastAsia" w:ascii="宋体" w:hAnsi="宋体" w:cs="宋体"/>
                <w:bCs/>
                <w:szCs w:val="21"/>
                <w:highlight w:val="none"/>
              </w:rPr>
              <w:t>以上资质</w:t>
            </w:r>
          </w:p>
        </w:tc>
        <w:tc>
          <w:tcPr>
            <w:tcW w:w="934" w:type="dxa"/>
            <w:vAlign w:val="center"/>
          </w:tcPr>
          <w:p>
            <w:pP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szCs w:val="21"/>
                <w:highlight w:val="none"/>
              </w:rPr>
            </w:pPr>
            <w:r>
              <w:rPr>
                <w:rFonts w:hint="eastAsia" w:ascii="宋体" w:hAnsi="宋体"/>
                <w:bCs/>
                <w:szCs w:val="21"/>
                <w:highlight w:val="none"/>
              </w:rPr>
              <w:t>4</w:t>
            </w:r>
          </w:p>
        </w:tc>
        <w:tc>
          <w:tcPr>
            <w:tcW w:w="6862" w:type="dxa"/>
            <w:vAlign w:val="center"/>
          </w:tcPr>
          <w:p>
            <w:pPr>
              <w:rPr>
                <w:rFonts w:ascii="宋体" w:hAnsi="宋体" w:cs="宋体"/>
                <w:bCs/>
                <w:szCs w:val="21"/>
                <w:highlight w:val="none"/>
              </w:rPr>
            </w:pPr>
            <w:r>
              <w:rPr>
                <w:rFonts w:hint="eastAsia" w:ascii="宋体" w:hAnsi="宋体" w:cs="宋体"/>
                <w:bCs/>
                <w:szCs w:val="21"/>
                <w:highlight w:val="none"/>
              </w:rPr>
              <w:t>有效的</w:t>
            </w:r>
            <w:r>
              <w:rPr>
                <w:rFonts w:ascii="宋体" w:hAnsi="宋体" w:cs="宋体"/>
                <w:bCs/>
                <w:szCs w:val="21"/>
                <w:highlight w:val="none"/>
              </w:rPr>
              <w:t>安全生产许可证</w:t>
            </w:r>
            <w:r>
              <w:rPr>
                <w:rFonts w:hint="eastAsia" w:ascii="宋体" w:hAnsi="宋体" w:cs="宋体"/>
                <w:bCs/>
                <w:szCs w:val="21"/>
                <w:highlight w:val="none"/>
              </w:rPr>
              <w:t>（复印件盖章）</w:t>
            </w:r>
          </w:p>
        </w:tc>
        <w:tc>
          <w:tcPr>
            <w:tcW w:w="934"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szCs w:val="21"/>
                <w:highlight w:val="none"/>
              </w:rPr>
            </w:pPr>
            <w:r>
              <w:rPr>
                <w:rFonts w:hint="eastAsia" w:ascii="宋体" w:hAnsi="宋体"/>
                <w:bCs/>
                <w:szCs w:val="21"/>
                <w:highlight w:val="none"/>
              </w:rPr>
              <w:t>5</w:t>
            </w:r>
          </w:p>
        </w:tc>
        <w:tc>
          <w:tcPr>
            <w:tcW w:w="6862" w:type="dxa"/>
            <w:vAlign w:val="center"/>
          </w:tcPr>
          <w:p>
            <w:pPr>
              <w:rPr>
                <w:rFonts w:ascii="宋体" w:hAnsi="宋体" w:cs="宋体"/>
                <w:szCs w:val="21"/>
                <w:highlight w:val="none"/>
              </w:rPr>
            </w:pPr>
            <w:r>
              <w:rPr>
                <w:rFonts w:hint="eastAsia" w:ascii="宋体" w:hAnsi="宋体" w:cs="宋体"/>
                <w:szCs w:val="21"/>
                <w:highlight w:val="none"/>
              </w:rPr>
              <w:t>近3年内(20</w:t>
            </w:r>
            <w:r>
              <w:rPr>
                <w:rFonts w:hint="eastAsia" w:ascii="宋体" w:hAnsi="宋体" w:cs="宋体"/>
                <w:szCs w:val="21"/>
                <w:highlight w:val="none"/>
                <w:lang w:val="en-US" w:eastAsia="zh-CN"/>
              </w:rPr>
              <w:t>20</w:t>
            </w:r>
            <w:r>
              <w:rPr>
                <w:rFonts w:hint="eastAsia" w:ascii="宋体" w:hAnsi="宋体" w:cs="宋体"/>
                <w:szCs w:val="21"/>
                <w:highlight w:val="none"/>
              </w:rPr>
              <w:t>年1月1日至今) 完成过质量合格的类似项目施工业绩（需提供合同</w:t>
            </w:r>
            <w:r>
              <w:rPr>
                <w:rFonts w:hint="eastAsia" w:ascii="宋体" w:hAnsi="宋体" w:cs="宋体"/>
                <w:szCs w:val="21"/>
                <w:highlight w:val="none"/>
                <w:lang w:val="en-US" w:eastAsia="zh-CN"/>
              </w:rPr>
              <w:t>和验收报告</w:t>
            </w:r>
            <w:r>
              <w:rPr>
                <w:rFonts w:hint="eastAsia" w:ascii="宋体" w:hAnsi="宋体" w:cs="宋体"/>
                <w:szCs w:val="21"/>
                <w:highlight w:val="none"/>
              </w:rPr>
              <w:t>等相关证明材料复印件）</w:t>
            </w:r>
          </w:p>
        </w:tc>
        <w:tc>
          <w:tcPr>
            <w:tcW w:w="934"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szCs w:val="21"/>
                <w:highlight w:val="none"/>
              </w:rPr>
            </w:pPr>
          </w:p>
        </w:tc>
        <w:tc>
          <w:tcPr>
            <w:tcW w:w="6862" w:type="dxa"/>
            <w:vAlign w:val="center"/>
          </w:tcPr>
          <w:p>
            <w:pPr>
              <w:rPr>
                <w:rFonts w:ascii="宋体" w:hAnsi="宋体" w:cs="宋体"/>
                <w:bCs/>
                <w:szCs w:val="21"/>
                <w:highlight w:val="none"/>
              </w:rPr>
            </w:pPr>
            <w:r>
              <w:rPr>
                <w:rFonts w:hint="eastAsia" w:ascii="宋体" w:hAnsi="宋体" w:cs="宋体"/>
                <w:b/>
                <w:bCs/>
                <w:szCs w:val="21"/>
                <w:highlight w:val="none"/>
              </w:rPr>
              <w:t>评审结论（</w:t>
            </w:r>
            <w:r>
              <w:rPr>
                <w:rFonts w:hint="eastAsia" w:ascii="宋体" w:hAnsi="宋体"/>
                <w:szCs w:val="21"/>
                <w:highlight w:val="none"/>
              </w:rPr>
              <w:t>通过/不通过</w:t>
            </w:r>
            <w:r>
              <w:rPr>
                <w:rFonts w:hint="eastAsia" w:ascii="宋体" w:hAnsi="宋体" w:cs="宋体"/>
                <w:b/>
                <w:bCs/>
                <w:szCs w:val="21"/>
                <w:highlight w:val="none"/>
              </w:rPr>
              <w:t>）</w:t>
            </w:r>
          </w:p>
        </w:tc>
        <w:tc>
          <w:tcPr>
            <w:tcW w:w="934" w:type="dxa"/>
            <w:vAlign w:val="center"/>
          </w:tcPr>
          <w:p>
            <w:pPr>
              <w:spacing w:line="360" w:lineRule="auto"/>
              <w:rPr>
                <w:rFonts w:ascii="宋体" w:hAnsi="宋体"/>
                <w:b/>
                <w:szCs w:val="21"/>
                <w:highlight w:val="none"/>
              </w:rPr>
            </w:pPr>
          </w:p>
        </w:tc>
      </w:tr>
    </w:tbl>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注：</w:t>
      </w:r>
    </w:p>
    <w:p>
      <w:pPr>
        <w:numPr>
          <w:ilvl w:val="0"/>
          <w:numId w:val="14"/>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投标人分栏中填写“√”表示该项符合竞选文件要求，“×”表示该项不符合竞选文件要求，“○”表示无该项内容；</w:t>
      </w:r>
    </w:p>
    <w:p>
      <w:pPr>
        <w:numPr>
          <w:ilvl w:val="0"/>
          <w:numId w:val="14"/>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经评标委员会审核后，出现一个“×”的结论为“不通过”，即按废标处理。</w:t>
      </w:r>
    </w:p>
    <w:p>
      <w:pPr>
        <w:numPr>
          <w:ilvl w:val="0"/>
          <w:numId w:val="14"/>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表中全部条件满足为“通过”，同意进入下一阶段评审。</w:t>
      </w:r>
    </w:p>
    <w:p>
      <w:pPr>
        <w:numPr>
          <w:ilvl w:val="0"/>
          <w:numId w:val="14"/>
        </w:numPr>
        <w:adjustRightInd w:val="0"/>
        <w:snapToGrid w:val="0"/>
        <w:spacing w:before="120" w:beforeLines="50" w:after="120" w:afterLines="50" w:line="360" w:lineRule="auto"/>
        <w:ind w:firstLine="480" w:firstLineChars="200"/>
        <w:rPr>
          <w:rFonts w:ascii="宋体" w:hAnsi="宋体"/>
          <w:sz w:val="24"/>
          <w:highlight w:val="none"/>
        </w:rPr>
      </w:pPr>
      <w:r>
        <w:rPr>
          <w:rFonts w:hint="eastAsia"/>
          <w:sz w:val="24"/>
          <w:highlight w:val="none"/>
        </w:rPr>
        <w:t>如对本表中某种情形的</w:t>
      </w:r>
      <w:r>
        <w:rPr>
          <w:rFonts w:hint="eastAsia" w:ascii="宋体" w:hAnsi="宋体"/>
          <w:sz w:val="24"/>
          <w:highlight w:val="none"/>
        </w:rPr>
        <w:t>评委意见不一致时，</w:t>
      </w:r>
      <w:r>
        <w:rPr>
          <w:rFonts w:hint="eastAsia"/>
          <w:sz w:val="24"/>
          <w:highlight w:val="none"/>
        </w:rPr>
        <w:t>以评标委员会过半数成员的意见作为评标委员会对该情形的认定结论。</w:t>
      </w:r>
    </w:p>
    <w:p>
      <w:pPr>
        <w:spacing w:before="120" w:beforeLines="50" w:after="120" w:afterLines="50" w:line="360" w:lineRule="auto"/>
        <w:ind w:firstLine="480" w:firstLineChars="200"/>
        <w:rPr>
          <w:rFonts w:ascii="宋体" w:hAnsi="宋体"/>
          <w:bCs/>
          <w:sz w:val="24"/>
          <w:highlight w:val="none"/>
        </w:rPr>
      </w:pPr>
      <w:r>
        <w:rPr>
          <w:rFonts w:hint="eastAsia" w:ascii="宋体" w:hAnsi="宋体"/>
          <w:bCs/>
          <w:sz w:val="24"/>
          <w:highlight w:val="none"/>
        </w:rPr>
        <w:t xml:space="preserve">评委签名：    </w:t>
      </w:r>
    </w:p>
    <w:p>
      <w:pPr>
        <w:spacing w:before="120" w:beforeLines="50" w:after="120" w:afterLines="50" w:line="360" w:lineRule="auto"/>
        <w:ind w:firstLine="480" w:firstLineChars="200"/>
        <w:rPr>
          <w:rFonts w:ascii="宋体" w:hAnsi="宋体"/>
          <w:sz w:val="24"/>
          <w:highlight w:val="none"/>
        </w:rPr>
      </w:pPr>
      <w:r>
        <w:rPr>
          <w:rFonts w:hint="eastAsia" w:ascii="宋体" w:hAnsi="宋体"/>
          <w:bCs/>
          <w:sz w:val="24"/>
          <w:highlight w:val="none"/>
        </w:rPr>
        <w:t>日 期：</w:t>
      </w:r>
      <w:r>
        <w:rPr>
          <w:rFonts w:hint="eastAsia" w:ascii="宋体" w:hAnsi="宋体"/>
          <w:sz w:val="24"/>
          <w:highlight w:val="none"/>
        </w:rPr>
        <w:t xml:space="preserve">    年   月   日</w:t>
      </w:r>
    </w:p>
    <w:p>
      <w:pPr>
        <w:rPr>
          <w:rFonts w:ascii="仿宋" w:hAnsi="仿宋" w:eastAsia="仿宋" w:cs="仿宋"/>
          <w:szCs w:val="21"/>
          <w:highlight w:val="none"/>
        </w:rPr>
      </w:pPr>
      <w:r>
        <w:rPr>
          <w:rFonts w:ascii="仿宋" w:hAnsi="仿宋" w:eastAsia="仿宋" w:cs="仿宋"/>
          <w:szCs w:val="21"/>
          <w:highlight w:val="none"/>
        </w:rPr>
        <w:br w:type="page"/>
      </w:r>
    </w:p>
    <w:p>
      <w:pPr>
        <w:spacing w:line="400" w:lineRule="exact"/>
        <w:rPr>
          <w:rFonts w:hAnsi="宋体"/>
          <w:szCs w:val="21"/>
          <w:highlight w:val="none"/>
        </w:rPr>
      </w:pPr>
      <w:r>
        <w:rPr>
          <w:rFonts w:hint="eastAsia" w:ascii="宋体" w:hAnsi="宋体" w:cs="Arial"/>
          <w:color w:val="000000"/>
          <w:sz w:val="30"/>
          <w:szCs w:val="30"/>
          <w:highlight w:val="none"/>
        </w:rPr>
        <w:t>附件6</w:t>
      </w:r>
    </w:p>
    <w:p>
      <w:pPr>
        <w:jc w:val="center"/>
        <w:rPr>
          <w:rFonts w:ascii="宋体" w:hAnsi="宋体" w:cs="宋体"/>
          <w:b/>
          <w:bCs/>
          <w:sz w:val="24"/>
          <w:highlight w:val="none"/>
        </w:rPr>
      </w:pPr>
      <w:r>
        <w:rPr>
          <w:rFonts w:hint="eastAsia" w:ascii="宋体" w:hAnsi="宋体" w:cs="宋体"/>
          <w:b/>
          <w:bCs/>
          <w:sz w:val="36"/>
          <w:szCs w:val="36"/>
          <w:highlight w:val="none"/>
        </w:rPr>
        <w:t>投标文件有效性审查表</w:t>
      </w:r>
    </w:p>
    <w:p>
      <w:pPr>
        <w:rPr>
          <w:rFonts w:ascii="宋体" w:hAnsi="宋体"/>
          <w:bCs/>
          <w:szCs w:val="21"/>
          <w:highlight w:val="none"/>
        </w:rPr>
      </w:pPr>
    </w:p>
    <w:p>
      <w:pPr>
        <w:spacing w:line="360" w:lineRule="auto"/>
        <w:rPr>
          <w:rFonts w:hint="eastAsia" w:ascii="宋体" w:hAnsi="宋体" w:eastAsia="宋体"/>
          <w:bCs/>
          <w:szCs w:val="21"/>
          <w:highlight w:val="none"/>
          <w:lang w:eastAsia="zh-CN"/>
        </w:rPr>
      </w:pPr>
      <w:r>
        <w:rPr>
          <w:rFonts w:hint="eastAsia" w:ascii="宋体" w:hAnsi="宋体"/>
          <w:bCs/>
          <w:szCs w:val="21"/>
          <w:highlight w:val="none"/>
        </w:rPr>
        <w:t>项目名称：</w:t>
      </w:r>
      <w:r>
        <w:rPr>
          <w:rFonts w:hint="eastAsia" w:ascii="宋体"/>
          <w:sz w:val="24"/>
          <w:highlight w:val="none"/>
          <w:lang w:eastAsia="zh-CN"/>
        </w:rPr>
        <w:t>广中医药科楼板换间设备拆除和广大教2旁冷冻水管漏水处理工程</w:t>
      </w:r>
    </w:p>
    <w:tbl>
      <w:tblPr>
        <w:tblStyle w:val="23"/>
        <w:tblW w:w="829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1"/>
        <w:gridCol w:w="6410"/>
        <w:gridCol w:w="12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vAlign w:val="center"/>
          </w:tcPr>
          <w:p>
            <w:pPr>
              <w:jc w:val="center"/>
              <w:rPr>
                <w:rFonts w:ascii="宋体" w:hAnsi="宋体"/>
                <w:b/>
                <w:szCs w:val="21"/>
                <w:highlight w:val="none"/>
              </w:rPr>
            </w:pPr>
            <w:r>
              <w:rPr>
                <w:rFonts w:hint="eastAsia" w:ascii="宋体" w:hAnsi="宋体" w:cs="宋体"/>
                <w:b/>
                <w:bCs/>
                <w:szCs w:val="21"/>
                <w:highlight w:val="none"/>
              </w:rPr>
              <w:t>序号</w:t>
            </w:r>
          </w:p>
        </w:tc>
        <w:tc>
          <w:tcPr>
            <w:tcW w:w="6410" w:type="dxa"/>
            <w:vAlign w:val="center"/>
          </w:tcPr>
          <w:p>
            <w:pPr>
              <w:jc w:val="center"/>
              <w:rPr>
                <w:rFonts w:ascii="宋体" w:hAnsi="宋体"/>
                <w:b/>
                <w:szCs w:val="21"/>
                <w:highlight w:val="none"/>
              </w:rPr>
            </w:pPr>
            <w:r>
              <w:rPr>
                <w:rFonts w:hint="eastAsia" w:ascii="宋体" w:hAnsi="宋体" w:cs="宋体"/>
                <w:b/>
                <w:bCs/>
                <w:szCs w:val="21"/>
                <w:highlight w:val="none"/>
              </w:rPr>
              <w:t>评审内容</w:t>
            </w:r>
          </w:p>
        </w:tc>
        <w:tc>
          <w:tcPr>
            <w:tcW w:w="1218" w:type="dxa"/>
            <w:vAlign w:val="center"/>
          </w:tcPr>
          <w:p>
            <w:pPr>
              <w:rPr>
                <w:rFonts w:ascii="宋体" w:hAnsi="宋体"/>
                <w:b/>
                <w:szCs w:val="21"/>
                <w:highlight w:val="none"/>
              </w:rPr>
            </w:pPr>
            <w:r>
              <w:rPr>
                <w:rFonts w:hint="eastAsia" w:ascii="宋体" w:hAnsi="宋体" w:cs="宋体"/>
                <w:b/>
                <w:bCs/>
                <w:szCs w:val="21"/>
                <w:highlight w:val="none"/>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1</w:t>
            </w:r>
          </w:p>
        </w:tc>
        <w:tc>
          <w:tcPr>
            <w:tcW w:w="6410" w:type="dxa"/>
            <w:shd w:val="clear" w:color="auto" w:fill="auto"/>
            <w:vAlign w:val="center"/>
          </w:tcPr>
          <w:p>
            <w:pPr>
              <w:rPr>
                <w:rFonts w:ascii="宋体" w:hAnsi="宋体"/>
                <w:szCs w:val="21"/>
                <w:highlight w:val="none"/>
              </w:rPr>
            </w:pPr>
            <w:r>
              <w:rPr>
                <w:rFonts w:hint="eastAsia" w:ascii="宋体" w:hAnsi="宋体"/>
                <w:szCs w:val="21"/>
                <w:highlight w:val="none"/>
              </w:rPr>
              <w:t>投标文件未按竞选文件的规定密封、盖章和签署；</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2</w:t>
            </w:r>
          </w:p>
        </w:tc>
        <w:tc>
          <w:tcPr>
            <w:tcW w:w="6410" w:type="dxa"/>
            <w:shd w:val="clear" w:color="auto" w:fill="auto"/>
            <w:vAlign w:val="center"/>
          </w:tcPr>
          <w:p>
            <w:pPr>
              <w:rPr>
                <w:rFonts w:ascii="宋体" w:hAnsi="宋体"/>
                <w:szCs w:val="21"/>
                <w:highlight w:val="none"/>
              </w:rPr>
            </w:pPr>
            <w:r>
              <w:rPr>
                <w:rFonts w:hint="eastAsia" w:ascii="宋体" w:hAnsi="宋体"/>
                <w:szCs w:val="21"/>
                <w:highlight w:val="none"/>
              </w:rPr>
              <w:t>投标文件未按竞选文件规定的格式填写，内容不全或关键字迹模糊、无法辩认；</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3</w:t>
            </w:r>
          </w:p>
        </w:tc>
        <w:tc>
          <w:tcPr>
            <w:tcW w:w="6410" w:type="dxa"/>
            <w:shd w:val="clear" w:color="auto" w:fill="auto"/>
            <w:vAlign w:val="center"/>
          </w:tcPr>
          <w:p>
            <w:pPr>
              <w:rPr>
                <w:rFonts w:ascii="宋体" w:hAnsi="宋体"/>
                <w:szCs w:val="21"/>
                <w:highlight w:val="none"/>
              </w:rPr>
            </w:pPr>
            <w:r>
              <w:rPr>
                <w:rFonts w:hint="eastAsia" w:ascii="宋体" w:hAnsi="宋体" w:cs="宋体"/>
                <w:szCs w:val="21"/>
                <w:highlight w:val="none"/>
              </w:rPr>
              <w:t>对同一竞选项目出现两个或以上的投标报价，且没声明哪个有效；</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4</w:t>
            </w:r>
          </w:p>
        </w:tc>
        <w:tc>
          <w:tcPr>
            <w:tcW w:w="6410" w:type="dxa"/>
            <w:shd w:val="clear" w:color="auto" w:fill="auto"/>
            <w:vAlign w:val="center"/>
          </w:tcPr>
          <w:p>
            <w:pPr>
              <w:rPr>
                <w:rFonts w:ascii="宋体" w:hAnsi="宋体"/>
                <w:szCs w:val="21"/>
                <w:highlight w:val="none"/>
              </w:rPr>
            </w:pPr>
            <w:r>
              <w:rPr>
                <w:rFonts w:hint="eastAsia" w:ascii="宋体" w:hAnsi="宋体" w:cs="宋体"/>
                <w:szCs w:val="21"/>
                <w:highlight w:val="none"/>
              </w:rPr>
              <w:t>投标总报价低于企业自身成本；</w:t>
            </w:r>
          </w:p>
        </w:tc>
        <w:tc>
          <w:tcPr>
            <w:tcW w:w="1218" w:type="dxa"/>
            <w:vAlign w:val="center"/>
          </w:tcPr>
          <w:p>
            <w:pPr>
              <w:tabs>
                <w:tab w:val="left" w:pos="553"/>
              </w:tabs>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5</w:t>
            </w:r>
          </w:p>
        </w:tc>
        <w:tc>
          <w:tcPr>
            <w:tcW w:w="6410" w:type="dxa"/>
            <w:shd w:val="clear" w:color="auto" w:fill="auto"/>
            <w:vAlign w:val="center"/>
          </w:tcPr>
          <w:p>
            <w:pPr>
              <w:rPr>
                <w:rFonts w:ascii="宋体" w:hAnsi="宋体"/>
                <w:szCs w:val="21"/>
                <w:highlight w:val="none"/>
              </w:rPr>
            </w:pPr>
            <w:r>
              <w:rPr>
                <w:rFonts w:hint="eastAsia" w:ascii="宋体" w:hAnsi="宋体" w:cs="宋体"/>
                <w:szCs w:val="21"/>
                <w:highlight w:val="none"/>
              </w:rPr>
              <w:t>投标报价超过</w:t>
            </w:r>
            <w:r>
              <w:rPr>
                <w:rFonts w:hint="eastAsia" w:ascii="宋体" w:hAnsi="宋体"/>
                <w:szCs w:val="21"/>
                <w:highlight w:val="none"/>
              </w:rPr>
              <w:t>采购限价</w:t>
            </w:r>
            <w:r>
              <w:rPr>
                <w:rFonts w:hint="eastAsia" w:ascii="宋体" w:hAnsi="宋体" w:cs="宋体"/>
                <w:szCs w:val="21"/>
                <w:highlight w:val="none"/>
              </w:rPr>
              <w:t>；</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6</w:t>
            </w:r>
          </w:p>
        </w:tc>
        <w:tc>
          <w:tcPr>
            <w:tcW w:w="6410" w:type="dxa"/>
            <w:shd w:val="clear" w:color="auto" w:fill="auto"/>
            <w:vAlign w:val="center"/>
          </w:tcPr>
          <w:p>
            <w:pPr>
              <w:rPr>
                <w:szCs w:val="21"/>
                <w:highlight w:val="none"/>
              </w:rPr>
            </w:pPr>
            <w:r>
              <w:rPr>
                <w:rFonts w:hint="eastAsia" w:ascii="宋体" w:hAnsi="宋体" w:cs="宋体"/>
                <w:szCs w:val="21"/>
                <w:highlight w:val="none"/>
              </w:rPr>
              <w:t>工期不满足竞选文件要求的；</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7</w:t>
            </w:r>
          </w:p>
        </w:tc>
        <w:tc>
          <w:tcPr>
            <w:tcW w:w="6410" w:type="dxa"/>
            <w:shd w:val="clear" w:color="auto" w:fill="auto"/>
            <w:vAlign w:val="center"/>
          </w:tcPr>
          <w:p>
            <w:pPr>
              <w:numPr>
                <w:ilvl w:val="0"/>
                <w:numId w:val="0"/>
              </w:numPr>
              <w:spacing w:before="120" w:beforeLines="50" w:after="120" w:afterLines="50" w:line="360" w:lineRule="auto"/>
              <w:rPr>
                <w:szCs w:val="21"/>
                <w:highlight w:val="none"/>
              </w:rPr>
            </w:pPr>
            <w:r>
              <w:rPr>
                <w:rFonts w:hint="eastAsia" w:ascii="宋体" w:hAnsi="宋体" w:cs="宋体"/>
                <w:szCs w:val="21"/>
                <w:highlight w:val="none"/>
              </w:rPr>
              <w:t>施工方案或施工组织设计未响应竞选文件中已明确必须要作实质性响应的内容；</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8</w:t>
            </w:r>
          </w:p>
        </w:tc>
        <w:tc>
          <w:tcPr>
            <w:tcW w:w="6410" w:type="dxa"/>
            <w:shd w:val="clear" w:color="auto" w:fill="auto"/>
            <w:vAlign w:val="center"/>
          </w:tcPr>
          <w:p>
            <w:pPr>
              <w:rPr>
                <w:szCs w:val="21"/>
                <w:highlight w:val="none"/>
              </w:rPr>
            </w:pPr>
            <w:r>
              <w:rPr>
                <w:rFonts w:hint="eastAsia" w:ascii="宋体" w:hAnsi="宋体" w:cs="宋体"/>
                <w:szCs w:val="21"/>
                <w:highlight w:val="none"/>
              </w:rPr>
              <w:t>投标文件附有采购人不能接受的条件；</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9</w:t>
            </w:r>
          </w:p>
        </w:tc>
        <w:tc>
          <w:tcPr>
            <w:tcW w:w="6410" w:type="dxa"/>
            <w:shd w:val="clear" w:color="auto" w:fill="auto"/>
            <w:vAlign w:val="center"/>
          </w:tcPr>
          <w:p>
            <w:pPr>
              <w:rPr>
                <w:szCs w:val="21"/>
                <w:highlight w:val="none"/>
              </w:rPr>
            </w:pPr>
            <w:r>
              <w:rPr>
                <w:rFonts w:hint="eastAsia" w:ascii="宋体" w:hAnsi="宋体" w:cs="宋体"/>
                <w:szCs w:val="21"/>
                <w:highlight w:val="none"/>
              </w:rPr>
              <w:t>不符合竞选文件中规定的其他实质性要求。</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vAlign w:val="center"/>
          </w:tcPr>
          <w:p>
            <w:pPr>
              <w:jc w:val="center"/>
              <w:rPr>
                <w:rFonts w:ascii="宋体" w:hAnsi="宋体"/>
                <w:bCs/>
                <w:szCs w:val="21"/>
                <w:highlight w:val="none"/>
              </w:rPr>
            </w:pPr>
          </w:p>
        </w:tc>
        <w:tc>
          <w:tcPr>
            <w:tcW w:w="6410" w:type="dxa"/>
            <w:vAlign w:val="center"/>
          </w:tcPr>
          <w:p>
            <w:pPr>
              <w:rPr>
                <w:rFonts w:ascii="宋体" w:hAnsi="宋体"/>
                <w:szCs w:val="21"/>
                <w:highlight w:val="none"/>
              </w:rPr>
            </w:pPr>
            <w:r>
              <w:rPr>
                <w:rFonts w:hint="eastAsia" w:ascii="宋体" w:hAnsi="宋体" w:cs="宋体"/>
                <w:b/>
                <w:bCs/>
                <w:szCs w:val="21"/>
                <w:highlight w:val="none"/>
              </w:rPr>
              <w:t>评审结论（</w:t>
            </w:r>
            <w:r>
              <w:rPr>
                <w:rFonts w:hint="eastAsia" w:ascii="宋体" w:hAnsi="宋体"/>
                <w:szCs w:val="21"/>
                <w:highlight w:val="none"/>
              </w:rPr>
              <w:t>通过/不通过</w:t>
            </w:r>
            <w:r>
              <w:rPr>
                <w:rFonts w:hint="eastAsia" w:ascii="宋体" w:hAnsi="宋体" w:cs="宋体"/>
                <w:b/>
                <w:bCs/>
                <w:szCs w:val="21"/>
                <w:highlight w:val="none"/>
              </w:rPr>
              <w:t>）</w:t>
            </w:r>
          </w:p>
        </w:tc>
        <w:tc>
          <w:tcPr>
            <w:tcW w:w="1218" w:type="dxa"/>
            <w:vAlign w:val="center"/>
          </w:tcPr>
          <w:p>
            <w:pPr>
              <w:spacing w:line="360" w:lineRule="auto"/>
              <w:rPr>
                <w:rFonts w:ascii="宋体" w:hAnsi="宋体"/>
                <w:b/>
                <w:szCs w:val="21"/>
                <w:highlight w:val="none"/>
              </w:rPr>
            </w:pPr>
          </w:p>
        </w:tc>
      </w:tr>
    </w:tbl>
    <w:p>
      <w:pPr>
        <w:spacing w:before="120" w:beforeLines="50" w:after="120" w:afterLines="50" w:line="400" w:lineRule="exact"/>
        <w:ind w:firstLine="480" w:firstLineChars="200"/>
        <w:rPr>
          <w:rFonts w:ascii="宋体" w:hAnsi="宋体"/>
          <w:sz w:val="24"/>
          <w:highlight w:val="none"/>
        </w:rPr>
      </w:pPr>
      <w:r>
        <w:rPr>
          <w:rFonts w:hint="eastAsia" w:ascii="宋体" w:hAnsi="宋体"/>
          <w:sz w:val="24"/>
          <w:highlight w:val="none"/>
        </w:rPr>
        <w:t>注：</w:t>
      </w:r>
    </w:p>
    <w:p>
      <w:pPr>
        <w:numPr>
          <w:ilvl w:val="0"/>
          <w:numId w:val="15"/>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投标人分栏中填写“√”表示该项符合竞选文件要求，“×”表示该项不符合竞选文件要求，“○”表示无该项内容；</w:t>
      </w:r>
    </w:p>
    <w:p>
      <w:pPr>
        <w:numPr>
          <w:ilvl w:val="0"/>
          <w:numId w:val="15"/>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经评标委员会审核后，出现一个“×”的结论为“不通过”，即按废标处理。</w:t>
      </w:r>
    </w:p>
    <w:p>
      <w:pPr>
        <w:numPr>
          <w:ilvl w:val="0"/>
          <w:numId w:val="15"/>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表中全部条件满足为“通过”，同意进入下一阶段评审。</w:t>
      </w:r>
    </w:p>
    <w:p>
      <w:pPr>
        <w:numPr>
          <w:ilvl w:val="0"/>
          <w:numId w:val="15"/>
        </w:numPr>
        <w:adjustRightInd w:val="0"/>
        <w:snapToGrid w:val="0"/>
        <w:spacing w:before="120" w:beforeLines="50" w:after="120" w:afterLines="50" w:line="360" w:lineRule="auto"/>
        <w:ind w:firstLine="480" w:firstLineChars="200"/>
        <w:rPr>
          <w:rFonts w:ascii="宋体" w:hAnsi="宋体"/>
          <w:sz w:val="24"/>
          <w:highlight w:val="none"/>
        </w:rPr>
      </w:pPr>
      <w:r>
        <w:rPr>
          <w:rFonts w:hint="eastAsia"/>
          <w:sz w:val="24"/>
          <w:highlight w:val="none"/>
        </w:rPr>
        <w:t>如对本表中某种情形的</w:t>
      </w:r>
      <w:r>
        <w:rPr>
          <w:rFonts w:hint="eastAsia" w:ascii="宋体" w:hAnsi="宋体"/>
          <w:sz w:val="24"/>
          <w:highlight w:val="none"/>
        </w:rPr>
        <w:t>评委意见不一致时，</w:t>
      </w:r>
      <w:r>
        <w:rPr>
          <w:rFonts w:hint="eastAsia"/>
          <w:sz w:val="24"/>
          <w:highlight w:val="none"/>
        </w:rPr>
        <w:t>以评标委员会过半数成员的意见作为评标委员会对该情形的认定结论。</w:t>
      </w:r>
    </w:p>
    <w:p>
      <w:pPr>
        <w:spacing w:before="120" w:beforeLines="50" w:after="120" w:afterLines="50" w:line="360" w:lineRule="auto"/>
        <w:ind w:firstLine="480" w:firstLineChars="200"/>
        <w:rPr>
          <w:rFonts w:ascii="宋体" w:hAnsi="宋体"/>
          <w:bCs/>
          <w:sz w:val="24"/>
          <w:highlight w:val="none"/>
        </w:rPr>
      </w:pPr>
      <w:r>
        <w:rPr>
          <w:rFonts w:hint="eastAsia" w:ascii="宋体" w:hAnsi="宋体"/>
          <w:bCs/>
          <w:sz w:val="24"/>
          <w:highlight w:val="none"/>
        </w:rPr>
        <w:t xml:space="preserve">评委签名：                                                                                </w:t>
      </w:r>
    </w:p>
    <w:p>
      <w:pPr>
        <w:spacing w:before="120" w:beforeLines="50" w:after="120" w:afterLines="50" w:line="360" w:lineRule="auto"/>
        <w:ind w:firstLine="480" w:firstLineChars="200"/>
        <w:rPr>
          <w:rFonts w:ascii="宋体" w:hAnsi="宋体"/>
          <w:sz w:val="24"/>
          <w:highlight w:val="none"/>
        </w:rPr>
      </w:pPr>
      <w:r>
        <w:rPr>
          <w:rFonts w:hint="eastAsia" w:ascii="宋体" w:hAnsi="宋体"/>
          <w:bCs/>
          <w:sz w:val="24"/>
          <w:highlight w:val="none"/>
        </w:rPr>
        <w:t>日 期：</w:t>
      </w:r>
      <w:r>
        <w:rPr>
          <w:rFonts w:hint="eastAsia" w:ascii="宋体" w:hAnsi="宋体"/>
          <w:sz w:val="24"/>
          <w:highlight w:val="none"/>
        </w:rPr>
        <w:t xml:space="preserve">    年   月   日</w:t>
      </w:r>
    </w:p>
    <w:p>
      <w:pPr>
        <w:spacing w:line="360" w:lineRule="auto"/>
        <w:rPr>
          <w:rFonts w:ascii="宋体" w:hAnsi="宋体" w:cs="宋体"/>
          <w:color w:val="000000"/>
          <w:szCs w:val="21"/>
          <w:highlight w:val="none"/>
        </w:rPr>
      </w:pPr>
    </w:p>
    <w:sectPr>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606409"/>
    <w:multiLevelType w:val="singleLevel"/>
    <w:tmpl w:val="8F606409"/>
    <w:lvl w:ilvl="0" w:tentative="0">
      <w:start w:val="1"/>
      <w:numFmt w:val="chineseCounting"/>
      <w:suff w:val="nothing"/>
      <w:lvlText w:val="（%1）"/>
      <w:lvlJc w:val="left"/>
      <w:rPr>
        <w:rFonts w:hint="eastAsia"/>
      </w:rPr>
    </w:lvl>
  </w:abstractNum>
  <w:abstractNum w:abstractNumId="1">
    <w:nsid w:val="01676834"/>
    <w:multiLevelType w:val="multilevel"/>
    <w:tmpl w:val="0167683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E230953"/>
    <w:multiLevelType w:val="multilevel"/>
    <w:tmpl w:val="0E230953"/>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
    <w:nsid w:val="145065E4"/>
    <w:multiLevelType w:val="multilevel"/>
    <w:tmpl w:val="145065E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56E42A2"/>
    <w:multiLevelType w:val="multilevel"/>
    <w:tmpl w:val="156E42A2"/>
    <w:lvl w:ilvl="0" w:tentative="0">
      <w:start w:val="1"/>
      <w:numFmt w:val="decimal"/>
      <w:lvlText w:val="%1."/>
      <w:lvlJc w:val="left"/>
      <w:pPr>
        <w:ind w:left="561" w:firstLine="0"/>
      </w:pPr>
      <w:rPr>
        <w:rFonts w:hint="eastAsia" w:ascii="宋体" w:hAnsi="宋体" w:eastAsia="宋体"/>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
    <w:nsid w:val="3918188F"/>
    <w:multiLevelType w:val="multilevel"/>
    <w:tmpl w:val="3918188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2125FC3"/>
    <w:multiLevelType w:val="multilevel"/>
    <w:tmpl w:val="42125FC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4064F3A"/>
    <w:multiLevelType w:val="multilevel"/>
    <w:tmpl w:val="44064F3A"/>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8">
    <w:nsid w:val="45D539C3"/>
    <w:multiLevelType w:val="multilevel"/>
    <w:tmpl w:val="45D539C3"/>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9">
    <w:nsid w:val="48DC6756"/>
    <w:multiLevelType w:val="multilevel"/>
    <w:tmpl w:val="48DC675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69C5777"/>
    <w:multiLevelType w:val="multilevel"/>
    <w:tmpl w:val="569C577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72DE5B4"/>
    <w:multiLevelType w:val="singleLevel"/>
    <w:tmpl w:val="572DE5B4"/>
    <w:lvl w:ilvl="0" w:tentative="0">
      <w:start w:val="1"/>
      <w:numFmt w:val="decimal"/>
      <w:suff w:val="nothing"/>
      <w:lvlText w:val="%1."/>
      <w:lvlJc w:val="left"/>
    </w:lvl>
  </w:abstractNum>
  <w:abstractNum w:abstractNumId="12">
    <w:nsid w:val="5C2C3F5D"/>
    <w:multiLevelType w:val="multilevel"/>
    <w:tmpl w:val="5C2C3F5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6062498"/>
    <w:multiLevelType w:val="multilevel"/>
    <w:tmpl w:val="7606249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7CE70E6D"/>
    <w:multiLevelType w:val="singleLevel"/>
    <w:tmpl w:val="7CE70E6D"/>
    <w:lvl w:ilvl="0" w:tentative="0">
      <w:start w:val="1"/>
      <w:numFmt w:val="decimal"/>
      <w:suff w:val="nothing"/>
      <w:lvlText w:val="%1."/>
      <w:lvlJc w:val="left"/>
    </w:lvl>
  </w:abstractNum>
  <w:num w:numId="1">
    <w:abstractNumId w:val="1"/>
  </w:num>
  <w:num w:numId="2">
    <w:abstractNumId w:val="5"/>
  </w:num>
  <w:num w:numId="3">
    <w:abstractNumId w:val="12"/>
  </w:num>
  <w:num w:numId="4">
    <w:abstractNumId w:val="0"/>
  </w:num>
  <w:num w:numId="5">
    <w:abstractNumId w:val="3"/>
  </w:num>
  <w:num w:numId="6">
    <w:abstractNumId w:val="13"/>
  </w:num>
  <w:num w:numId="7">
    <w:abstractNumId w:val="9"/>
  </w:num>
  <w:num w:numId="8">
    <w:abstractNumId w:val="4"/>
  </w:num>
  <w:num w:numId="9">
    <w:abstractNumId w:val="10"/>
  </w:num>
  <w:num w:numId="10">
    <w:abstractNumId w:val="2"/>
  </w:num>
  <w:num w:numId="11">
    <w:abstractNumId w:val="8"/>
  </w:num>
  <w:num w:numId="12">
    <w:abstractNumId w:val="7"/>
  </w:num>
  <w:num w:numId="13">
    <w:abstractNumId w:val="6"/>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5E7B"/>
    <w:rsid w:val="00006EAB"/>
    <w:rsid w:val="0001269A"/>
    <w:rsid w:val="0001673F"/>
    <w:rsid w:val="00016E9D"/>
    <w:rsid w:val="000248F2"/>
    <w:rsid w:val="00024DB1"/>
    <w:rsid w:val="000261AC"/>
    <w:rsid w:val="00030283"/>
    <w:rsid w:val="000332F8"/>
    <w:rsid w:val="00044693"/>
    <w:rsid w:val="00054374"/>
    <w:rsid w:val="000549A1"/>
    <w:rsid w:val="00055251"/>
    <w:rsid w:val="00055BC9"/>
    <w:rsid w:val="0006416F"/>
    <w:rsid w:val="00066150"/>
    <w:rsid w:val="00066222"/>
    <w:rsid w:val="00067268"/>
    <w:rsid w:val="00067B1D"/>
    <w:rsid w:val="00074C0B"/>
    <w:rsid w:val="000820CF"/>
    <w:rsid w:val="000963A3"/>
    <w:rsid w:val="00097540"/>
    <w:rsid w:val="000A00B3"/>
    <w:rsid w:val="000A2487"/>
    <w:rsid w:val="000A75A0"/>
    <w:rsid w:val="000A7AC3"/>
    <w:rsid w:val="000B17DC"/>
    <w:rsid w:val="000B75B2"/>
    <w:rsid w:val="000B75D0"/>
    <w:rsid w:val="000C7D59"/>
    <w:rsid w:val="000D372E"/>
    <w:rsid w:val="000D4516"/>
    <w:rsid w:val="000D77C7"/>
    <w:rsid w:val="000E1CB6"/>
    <w:rsid w:val="000E277D"/>
    <w:rsid w:val="000E5533"/>
    <w:rsid w:val="001013A8"/>
    <w:rsid w:val="001024C4"/>
    <w:rsid w:val="00105509"/>
    <w:rsid w:val="0011170B"/>
    <w:rsid w:val="00112AE2"/>
    <w:rsid w:val="00114920"/>
    <w:rsid w:val="00121B5B"/>
    <w:rsid w:val="00125855"/>
    <w:rsid w:val="001300D3"/>
    <w:rsid w:val="001344AC"/>
    <w:rsid w:val="0014220C"/>
    <w:rsid w:val="00145596"/>
    <w:rsid w:val="00145839"/>
    <w:rsid w:val="001505AC"/>
    <w:rsid w:val="00154134"/>
    <w:rsid w:val="00155983"/>
    <w:rsid w:val="00155A34"/>
    <w:rsid w:val="001604AB"/>
    <w:rsid w:val="00164707"/>
    <w:rsid w:val="00164B91"/>
    <w:rsid w:val="00172A27"/>
    <w:rsid w:val="00175957"/>
    <w:rsid w:val="00187DF6"/>
    <w:rsid w:val="00194365"/>
    <w:rsid w:val="001944F5"/>
    <w:rsid w:val="00195617"/>
    <w:rsid w:val="001B2E16"/>
    <w:rsid w:val="001C054B"/>
    <w:rsid w:val="001C0F9F"/>
    <w:rsid w:val="001C182B"/>
    <w:rsid w:val="001C510A"/>
    <w:rsid w:val="001D6139"/>
    <w:rsid w:val="001D769B"/>
    <w:rsid w:val="001E06A5"/>
    <w:rsid w:val="001E32AC"/>
    <w:rsid w:val="001E564E"/>
    <w:rsid w:val="001E658F"/>
    <w:rsid w:val="001E72D1"/>
    <w:rsid w:val="001F506C"/>
    <w:rsid w:val="001F55B1"/>
    <w:rsid w:val="001F6D6F"/>
    <w:rsid w:val="00206C33"/>
    <w:rsid w:val="0021170B"/>
    <w:rsid w:val="002117D0"/>
    <w:rsid w:val="00211BF3"/>
    <w:rsid w:val="0021497F"/>
    <w:rsid w:val="0021591C"/>
    <w:rsid w:val="00216BCF"/>
    <w:rsid w:val="00217C91"/>
    <w:rsid w:val="00221D47"/>
    <w:rsid w:val="0022379F"/>
    <w:rsid w:val="0022459A"/>
    <w:rsid w:val="0022476E"/>
    <w:rsid w:val="00225F7C"/>
    <w:rsid w:val="002333C1"/>
    <w:rsid w:val="00242DE0"/>
    <w:rsid w:val="00244182"/>
    <w:rsid w:val="00246487"/>
    <w:rsid w:val="00250A00"/>
    <w:rsid w:val="00253AFF"/>
    <w:rsid w:val="00264096"/>
    <w:rsid w:val="0026536E"/>
    <w:rsid w:val="00266035"/>
    <w:rsid w:val="00271AA0"/>
    <w:rsid w:val="00275CA3"/>
    <w:rsid w:val="00285B74"/>
    <w:rsid w:val="00287F66"/>
    <w:rsid w:val="002913E2"/>
    <w:rsid w:val="00291C44"/>
    <w:rsid w:val="00297AD7"/>
    <w:rsid w:val="002A558D"/>
    <w:rsid w:val="002C3CD8"/>
    <w:rsid w:val="002D0731"/>
    <w:rsid w:val="002D1376"/>
    <w:rsid w:val="002D14AE"/>
    <w:rsid w:val="002D755C"/>
    <w:rsid w:val="002E0680"/>
    <w:rsid w:val="002E0B01"/>
    <w:rsid w:val="002E7992"/>
    <w:rsid w:val="002F6943"/>
    <w:rsid w:val="0030076B"/>
    <w:rsid w:val="00302720"/>
    <w:rsid w:val="00303607"/>
    <w:rsid w:val="00305CAA"/>
    <w:rsid w:val="003148FE"/>
    <w:rsid w:val="003202A4"/>
    <w:rsid w:val="0033236B"/>
    <w:rsid w:val="0034406B"/>
    <w:rsid w:val="00344D24"/>
    <w:rsid w:val="003461DC"/>
    <w:rsid w:val="00353699"/>
    <w:rsid w:val="00360802"/>
    <w:rsid w:val="0036491C"/>
    <w:rsid w:val="003673C1"/>
    <w:rsid w:val="00375441"/>
    <w:rsid w:val="003815F6"/>
    <w:rsid w:val="00383971"/>
    <w:rsid w:val="00386C64"/>
    <w:rsid w:val="00386C70"/>
    <w:rsid w:val="00386D6B"/>
    <w:rsid w:val="003906AE"/>
    <w:rsid w:val="003932F2"/>
    <w:rsid w:val="00394717"/>
    <w:rsid w:val="003954FA"/>
    <w:rsid w:val="003A4070"/>
    <w:rsid w:val="003A61B7"/>
    <w:rsid w:val="003A63C6"/>
    <w:rsid w:val="003B27F3"/>
    <w:rsid w:val="003C1D76"/>
    <w:rsid w:val="003C1DC0"/>
    <w:rsid w:val="003D0FFC"/>
    <w:rsid w:val="003D406E"/>
    <w:rsid w:val="003D6349"/>
    <w:rsid w:val="003D6DDA"/>
    <w:rsid w:val="003E3FB7"/>
    <w:rsid w:val="003E7086"/>
    <w:rsid w:val="003F2B4E"/>
    <w:rsid w:val="003F6DD8"/>
    <w:rsid w:val="00401657"/>
    <w:rsid w:val="004023FB"/>
    <w:rsid w:val="00411B18"/>
    <w:rsid w:val="004139C0"/>
    <w:rsid w:val="00414044"/>
    <w:rsid w:val="0041689F"/>
    <w:rsid w:val="00421B48"/>
    <w:rsid w:val="00424DBD"/>
    <w:rsid w:val="00426155"/>
    <w:rsid w:val="00431C89"/>
    <w:rsid w:val="00432A03"/>
    <w:rsid w:val="004348F5"/>
    <w:rsid w:val="004360CA"/>
    <w:rsid w:val="00436830"/>
    <w:rsid w:val="004423AB"/>
    <w:rsid w:val="0044283D"/>
    <w:rsid w:val="0044360C"/>
    <w:rsid w:val="00444368"/>
    <w:rsid w:val="00447931"/>
    <w:rsid w:val="00456BC1"/>
    <w:rsid w:val="00473BB4"/>
    <w:rsid w:val="00476BF0"/>
    <w:rsid w:val="00491859"/>
    <w:rsid w:val="004A01AA"/>
    <w:rsid w:val="004A0372"/>
    <w:rsid w:val="004A1A1D"/>
    <w:rsid w:val="004A23D1"/>
    <w:rsid w:val="004A24A7"/>
    <w:rsid w:val="004A4F9A"/>
    <w:rsid w:val="004A6018"/>
    <w:rsid w:val="004A702E"/>
    <w:rsid w:val="004B0209"/>
    <w:rsid w:val="004B07D6"/>
    <w:rsid w:val="004B2976"/>
    <w:rsid w:val="004C3EA6"/>
    <w:rsid w:val="004E1F41"/>
    <w:rsid w:val="004E3B04"/>
    <w:rsid w:val="004E5C78"/>
    <w:rsid w:val="004F5776"/>
    <w:rsid w:val="004F7DCA"/>
    <w:rsid w:val="00500570"/>
    <w:rsid w:val="00510C5A"/>
    <w:rsid w:val="00510EEA"/>
    <w:rsid w:val="00513E20"/>
    <w:rsid w:val="00516B2C"/>
    <w:rsid w:val="00516C45"/>
    <w:rsid w:val="0052246D"/>
    <w:rsid w:val="00545D4B"/>
    <w:rsid w:val="0055603F"/>
    <w:rsid w:val="005566FF"/>
    <w:rsid w:val="00557322"/>
    <w:rsid w:val="00560E66"/>
    <w:rsid w:val="00561290"/>
    <w:rsid w:val="005655BB"/>
    <w:rsid w:val="0056668D"/>
    <w:rsid w:val="0056721A"/>
    <w:rsid w:val="00567DB5"/>
    <w:rsid w:val="00572DB6"/>
    <w:rsid w:val="005739C8"/>
    <w:rsid w:val="00576B3F"/>
    <w:rsid w:val="005772A9"/>
    <w:rsid w:val="00585285"/>
    <w:rsid w:val="005875B9"/>
    <w:rsid w:val="00592951"/>
    <w:rsid w:val="00595EFF"/>
    <w:rsid w:val="00596962"/>
    <w:rsid w:val="005969FB"/>
    <w:rsid w:val="005A431C"/>
    <w:rsid w:val="005A52C7"/>
    <w:rsid w:val="005A6CEA"/>
    <w:rsid w:val="005B2AB5"/>
    <w:rsid w:val="005B2C4E"/>
    <w:rsid w:val="005B6CEE"/>
    <w:rsid w:val="005C3F4C"/>
    <w:rsid w:val="005C6AA9"/>
    <w:rsid w:val="005D14E9"/>
    <w:rsid w:val="005D22E5"/>
    <w:rsid w:val="005D4557"/>
    <w:rsid w:val="005E4E7C"/>
    <w:rsid w:val="005E69D0"/>
    <w:rsid w:val="005F3968"/>
    <w:rsid w:val="005F4B5B"/>
    <w:rsid w:val="005F602A"/>
    <w:rsid w:val="00602898"/>
    <w:rsid w:val="00603DB1"/>
    <w:rsid w:val="00607731"/>
    <w:rsid w:val="00611B4E"/>
    <w:rsid w:val="00611C3E"/>
    <w:rsid w:val="00617D0B"/>
    <w:rsid w:val="006210E4"/>
    <w:rsid w:val="00621A9E"/>
    <w:rsid w:val="00625024"/>
    <w:rsid w:val="006251A5"/>
    <w:rsid w:val="00625928"/>
    <w:rsid w:val="00634AC5"/>
    <w:rsid w:val="006365CD"/>
    <w:rsid w:val="00637977"/>
    <w:rsid w:val="0064000A"/>
    <w:rsid w:val="00642F9E"/>
    <w:rsid w:val="0064718B"/>
    <w:rsid w:val="006503EF"/>
    <w:rsid w:val="00651816"/>
    <w:rsid w:val="00651993"/>
    <w:rsid w:val="00657E54"/>
    <w:rsid w:val="00661000"/>
    <w:rsid w:val="00662D55"/>
    <w:rsid w:val="0066649F"/>
    <w:rsid w:val="00667081"/>
    <w:rsid w:val="00677B93"/>
    <w:rsid w:val="00690C78"/>
    <w:rsid w:val="006A0EE2"/>
    <w:rsid w:val="006A3B53"/>
    <w:rsid w:val="006A7A3B"/>
    <w:rsid w:val="006B10D1"/>
    <w:rsid w:val="006B34D9"/>
    <w:rsid w:val="006B36E7"/>
    <w:rsid w:val="006B6C86"/>
    <w:rsid w:val="006D1B89"/>
    <w:rsid w:val="006D61D7"/>
    <w:rsid w:val="006E101A"/>
    <w:rsid w:val="006E54A2"/>
    <w:rsid w:val="007044D8"/>
    <w:rsid w:val="00706205"/>
    <w:rsid w:val="00714ACD"/>
    <w:rsid w:val="0072093F"/>
    <w:rsid w:val="007216CB"/>
    <w:rsid w:val="0072216A"/>
    <w:rsid w:val="007227FF"/>
    <w:rsid w:val="00731F87"/>
    <w:rsid w:val="00740D02"/>
    <w:rsid w:val="007424C6"/>
    <w:rsid w:val="00743DF1"/>
    <w:rsid w:val="007464DD"/>
    <w:rsid w:val="00750F25"/>
    <w:rsid w:val="00753739"/>
    <w:rsid w:val="00755CA3"/>
    <w:rsid w:val="00760BA6"/>
    <w:rsid w:val="0076349C"/>
    <w:rsid w:val="00763505"/>
    <w:rsid w:val="00764110"/>
    <w:rsid w:val="007672D2"/>
    <w:rsid w:val="00770411"/>
    <w:rsid w:val="00776816"/>
    <w:rsid w:val="00781259"/>
    <w:rsid w:val="0078574A"/>
    <w:rsid w:val="00786B2B"/>
    <w:rsid w:val="00793AED"/>
    <w:rsid w:val="00796603"/>
    <w:rsid w:val="00797166"/>
    <w:rsid w:val="007A2D85"/>
    <w:rsid w:val="007A4834"/>
    <w:rsid w:val="007B7C38"/>
    <w:rsid w:val="007C04CE"/>
    <w:rsid w:val="007C3669"/>
    <w:rsid w:val="007C6EBF"/>
    <w:rsid w:val="007D3003"/>
    <w:rsid w:val="007D7DD0"/>
    <w:rsid w:val="007E302E"/>
    <w:rsid w:val="007E3907"/>
    <w:rsid w:val="007E61FE"/>
    <w:rsid w:val="007E78CE"/>
    <w:rsid w:val="007F318B"/>
    <w:rsid w:val="007F62C7"/>
    <w:rsid w:val="007F6D61"/>
    <w:rsid w:val="0080724E"/>
    <w:rsid w:val="00813887"/>
    <w:rsid w:val="00813B6F"/>
    <w:rsid w:val="00814712"/>
    <w:rsid w:val="00815501"/>
    <w:rsid w:val="00825F55"/>
    <w:rsid w:val="00825FF9"/>
    <w:rsid w:val="0084579E"/>
    <w:rsid w:val="00846388"/>
    <w:rsid w:val="00854D07"/>
    <w:rsid w:val="00860A31"/>
    <w:rsid w:val="008629B5"/>
    <w:rsid w:val="008638B9"/>
    <w:rsid w:val="008657EF"/>
    <w:rsid w:val="00866137"/>
    <w:rsid w:val="0087002B"/>
    <w:rsid w:val="00872E70"/>
    <w:rsid w:val="00875206"/>
    <w:rsid w:val="008758A3"/>
    <w:rsid w:val="00877012"/>
    <w:rsid w:val="00877085"/>
    <w:rsid w:val="00885A5C"/>
    <w:rsid w:val="00885F0E"/>
    <w:rsid w:val="00886F55"/>
    <w:rsid w:val="00887116"/>
    <w:rsid w:val="008872F1"/>
    <w:rsid w:val="00894519"/>
    <w:rsid w:val="008960CE"/>
    <w:rsid w:val="008A3AC1"/>
    <w:rsid w:val="008A6C9C"/>
    <w:rsid w:val="008A74F4"/>
    <w:rsid w:val="008B23FD"/>
    <w:rsid w:val="008B34ED"/>
    <w:rsid w:val="008B392E"/>
    <w:rsid w:val="008B670C"/>
    <w:rsid w:val="008C26B6"/>
    <w:rsid w:val="008C7560"/>
    <w:rsid w:val="008D1A59"/>
    <w:rsid w:val="008E0BA4"/>
    <w:rsid w:val="008E2D5A"/>
    <w:rsid w:val="008E3344"/>
    <w:rsid w:val="008E34D5"/>
    <w:rsid w:val="008F49F0"/>
    <w:rsid w:val="008F4BC0"/>
    <w:rsid w:val="008F50D8"/>
    <w:rsid w:val="008F57ED"/>
    <w:rsid w:val="008F7BB5"/>
    <w:rsid w:val="009013E2"/>
    <w:rsid w:val="00902AFA"/>
    <w:rsid w:val="00902C05"/>
    <w:rsid w:val="009104A4"/>
    <w:rsid w:val="00912C52"/>
    <w:rsid w:val="00914E80"/>
    <w:rsid w:val="009159D7"/>
    <w:rsid w:val="00920A26"/>
    <w:rsid w:val="00921DC0"/>
    <w:rsid w:val="00926DD7"/>
    <w:rsid w:val="00934B39"/>
    <w:rsid w:val="00947674"/>
    <w:rsid w:val="00952170"/>
    <w:rsid w:val="009547FA"/>
    <w:rsid w:val="00954C38"/>
    <w:rsid w:val="00956689"/>
    <w:rsid w:val="00966235"/>
    <w:rsid w:val="0097363A"/>
    <w:rsid w:val="00973949"/>
    <w:rsid w:val="009767C9"/>
    <w:rsid w:val="00983A2A"/>
    <w:rsid w:val="00986DE1"/>
    <w:rsid w:val="00990E1A"/>
    <w:rsid w:val="009914C9"/>
    <w:rsid w:val="009A1B79"/>
    <w:rsid w:val="009A2776"/>
    <w:rsid w:val="009A4D34"/>
    <w:rsid w:val="009A525E"/>
    <w:rsid w:val="009A5E41"/>
    <w:rsid w:val="009C14F4"/>
    <w:rsid w:val="009C3EE0"/>
    <w:rsid w:val="009C64AE"/>
    <w:rsid w:val="009C65A2"/>
    <w:rsid w:val="009E12D5"/>
    <w:rsid w:val="009E29EF"/>
    <w:rsid w:val="009E2DE2"/>
    <w:rsid w:val="009E359E"/>
    <w:rsid w:val="009E765B"/>
    <w:rsid w:val="00A0078D"/>
    <w:rsid w:val="00A047AA"/>
    <w:rsid w:val="00A05921"/>
    <w:rsid w:val="00A07160"/>
    <w:rsid w:val="00A11229"/>
    <w:rsid w:val="00A11628"/>
    <w:rsid w:val="00A1442E"/>
    <w:rsid w:val="00A2516C"/>
    <w:rsid w:val="00A32246"/>
    <w:rsid w:val="00A42DCA"/>
    <w:rsid w:val="00A46630"/>
    <w:rsid w:val="00A475AB"/>
    <w:rsid w:val="00A614CE"/>
    <w:rsid w:val="00A735C6"/>
    <w:rsid w:val="00A80F6D"/>
    <w:rsid w:val="00A81CD4"/>
    <w:rsid w:val="00A90953"/>
    <w:rsid w:val="00A92786"/>
    <w:rsid w:val="00AA0461"/>
    <w:rsid w:val="00AA11EB"/>
    <w:rsid w:val="00AA7AB2"/>
    <w:rsid w:val="00AB392A"/>
    <w:rsid w:val="00AB5292"/>
    <w:rsid w:val="00AB7FA5"/>
    <w:rsid w:val="00AC519A"/>
    <w:rsid w:val="00AD5209"/>
    <w:rsid w:val="00AE5CBE"/>
    <w:rsid w:val="00AF2CF0"/>
    <w:rsid w:val="00AF486E"/>
    <w:rsid w:val="00B00BE7"/>
    <w:rsid w:val="00B03C03"/>
    <w:rsid w:val="00B03CD3"/>
    <w:rsid w:val="00B0631D"/>
    <w:rsid w:val="00B12F90"/>
    <w:rsid w:val="00B15A79"/>
    <w:rsid w:val="00B21F52"/>
    <w:rsid w:val="00B253F3"/>
    <w:rsid w:val="00B25D9F"/>
    <w:rsid w:val="00B27F3C"/>
    <w:rsid w:val="00B31134"/>
    <w:rsid w:val="00B34F6A"/>
    <w:rsid w:val="00B40BEF"/>
    <w:rsid w:val="00B418B5"/>
    <w:rsid w:val="00B43BF0"/>
    <w:rsid w:val="00B43CD4"/>
    <w:rsid w:val="00B469B7"/>
    <w:rsid w:val="00B47E24"/>
    <w:rsid w:val="00B524C8"/>
    <w:rsid w:val="00B5758F"/>
    <w:rsid w:val="00B64069"/>
    <w:rsid w:val="00B65CC6"/>
    <w:rsid w:val="00B67EFF"/>
    <w:rsid w:val="00B70FD1"/>
    <w:rsid w:val="00B726C7"/>
    <w:rsid w:val="00B72889"/>
    <w:rsid w:val="00B72CE7"/>
    <w:rsid w:val="00B774CF"/>
    <w:rsid w:val="00B77EC4"/>
    <w:rsid w:val="00B80AD5"/>
    <w:rsid w:val="00B860C3"/>
    <w:rsid w:val="00B90671"/>
    <w:rsid w:val="00B90B6E"/>
    <w:rsid w:val="00B91E38"/>
    <w:rsid w:val="00B92400"/>
    <w:rsid w:val="00B96A9E"/>
    <w:rsid w:val="00B96B7C"/>
    <w:rsid w:val="00B9707D"/>
    <w:rsid w:val="00BA2213"/>
    <w:rsid w:val="00BA4EFF"/>
    <w:rsid w:val="00BB5B6D"/>
    <w:rsid w:val="00BB6D96"/>
    <w:rsid w:val="00BC2EEC"/>
    <w:rsid w:val="00BC35DC"/>
    <w:rsid w:val="00BC67AA"/>
    <w:rsid w:val="00BC7899"/>
    <w:rsid w:val="00BD2369"/>
    <w:rsid w:val="00BD41A1"/>
    <w:rsid w:val="00BD5240"/>
    <w:rsid w:val="00BD5BB9"/>
    <w:rsid w:val="00BE4883"/>
    <w:rsid w:val="00BE7C39"/>
    <w:rsid w:val="00BF2297"/>
    <w:rsid w:val="00C053E5"/>
    <w:rsid w:val="00C07BF1"/>
    <w:rsid w:val="00C11059"/>
    <w:rsid w:val="00C174A4"/>
    <w:rsid w:val="00C214F6"/>
    <w:rsid w:val="00C226D9"/>
    <w:rsid w:val="00C23B98"/>
    <w:rsid w:val="00C24E1E"/>
    <w:rsid w:val="00C2645D"/>
    <w:rsid w:val="00C27B6D"/>
    <w:rsid w:val="00C3028C"/>
    <w:rsid w:val="00C3119C"/>
    <w:rsid w:val="00C315D6"/>
    <w:rsid w:val="00C4031C"/>
    <w:rsid w:val="00C43DB5"/>
    <w:rsid w:val="00C514A7"/>
    <w:rsid w:val="00C5290A"/>
    <w:rsid w:val="00C706FF"/>
    <w:rsid w:val="00C74CE8"/>
    <w:rsid w:val="00C90657"/>
    <w:rsid w:val="00C9536A"/>
    <w:rsid w:val="00CA1AC9"/>
    <w:rsid w:val="00CA621C"/>
    <w:rsid w:val="00CB5412"/>
    <w:rsid w:val="00CD2F21"/>
    <w:rsid w:val="00CD6ADB"/>
    <w:rsid w:val="00CD6D98"/>
    <w:rsid w:val="00CD7E92"/>
    <w:rsid w:val="00CE7860"/>
    <w:rsid w:val="00CF023C"/>
    <w:rsid w:val="00CF05BC"/>
    <w:rsid w:val="00D03706"/>
    <w:rsid w:val="00D048B7"/>
    <w:rsid w:val="00D1262C"/>
    <w:rsid w:val="00D14DB9"/>
    <w:rsid w:val="00D202CF"/>
    <w:rsid w:val="00D35C86"/>
    <w:rsid w:val="00D42526"/>
    <w:rsid w:val="00D4497C"/>
    <w:rsid w:val="00D51B1D"/>
    <w:rsid w:val="00D525E3"/>
    <w:rsid w:val="00D5627D"/>
    <w:rsid w:val="00D57C42"/>
    <w:rsid w:val="00D62988"/>
    <w:rsid w:val="00D70E13"/>
    <w:rsid w:val="00D7579D"/>
    <w:rsid w:val="00D845E0"/>
    <w:rsid w:val="00D878E1"/>
    <w:rsid w:val="00D87D2D"/>
    <w:rsid w:val="00D905C4"/>
    <w:rsid w:val="00D9132A"/>
    <w:rsid w:val="00D97460"/>
    <w:rsid w:val="00DA2896"/>
    <w:rsid w:val="00DA71C3"/>
    <w:rsid w:val="00DB2B70"/>
    <w:rsid w:val="00DB3B49"/>
    <w:rsid w:val="00DB73CD"/>
    <w:rsid w:val="00DC0A3E"/>
    <w:rsid w:val="00DC5B4A"/>
    <w:rsid w:val="00DC7831"/>
    <w:rsid w:val="00DC7B9C"/>
    <w:rsid w:val="00DD02B6"/>
    <w:rsid w:val="00DD5742"/>
    <w:rsid w:val="00DD598B"/>
    <w:rsid w:val="00DD5EE2"/>
    <w:rsid w:val="00DD7A3F"/>
    <w:rsid w:val="00DE44BB"/>
    <w:rsid w:val="00DE738F"/>
    <w:rsid w:val="00DF1B2F"/>
    <w:rsid w:val="00DF27AE"/>
    <w:rsid w:val="00DF2A76"/>
    <w:rsid w:val="00DF3CAF"/>
    <w:rsid w:val="00DF4260"/>
    <w:rsid w:val="00DF4B6D"/>
    <w:rsid w:val="00DF578E"/>
    <w:rsid w:val="00DF5B17"/>
    <w:rsid w:val="00DF719C"/>
    <w:rsid w:val="00E009AD"/>
    <w:rsid w:val="00E01E32"/>
    <w:rsid w:val="00E041C2"/>
    <w:rsid w:val="00E042CD"/>
    <w:rsid w:val="00E14BB5"/>
    <w:rsid w:val="00E1751F"/>
    <w:rsid w:val="00E23F6A"/>
    <w:rsid w:val="00E354F4"/>
    <w:rsid w:val="00E36D06"/>
    <w:rsid w:val="00E44E2C"/>
    <w:rsid w:val="00E46348"/>
    <w:rsid w:val="00E47B3B"/>
    <w:rsid w:val="00E60025"/>
    <w:rsid w:val="00E60267"/>
    <w:rsid w:val="00E60A10"/>
    <w:rsid w:val="00E63138"/>
    <w:rsid w:val="00E63CFD"/>
    <w:rsid w:val="00E72782"/>
    <w:rsid w:val="00E800E7"/>
    <w:rsid w:val="00E82448"/>
    <w:rsid w:val="00E90910"/>
    <w:rsid w:val="00E97A9C"/>
    <w:rsid w:val="00EA4024"/>
    <w:rsid w:val="00EA4B1F"/>
    <w:rsid w:val="00EB0304"/>
    <w:rsid w:val="00EB6582"/>
    <w:rsid w:val="00EB6B76"/>
    <w:rsid w:val="00EC0CD3"/>
    <w:rsid w:val="00EC0F7A"/>
    <w:rsid w:val="00EC5BF7"/>
    <w:rsid w:val="00ED2D79"/>
    <w:rsid w:val="00EE05C4"/>
    <w:rsid w:val="00EE7895"/>
    <w:rsid w:val="00EF18C1"/>
    <w:rsid w:val="00EF6BC6"/>
    <w:rsid w:val="00F02A17"/>
    <w:rsid w:val="00F05829"/>
    <w:rsid w:val="00F10A08"/>
    <w:rsid w:val="00F12359"/>
    <w:rsid w:val="00F1271D"/>
    <w:rsid w:val="00F1300D"/>
    <w:rsid w:val="00F2449B"/>
    <w:rsid w:val="00F25270"/>
    <w:rsid w:val="00F25306"/>
    <w:rsid w:val="00F25E6E"/>
    <w:rsid w:val="00F30157"/>
    <w:rsid w:val="00F34524"/>
    <w:rsid w:val="00F42B37"/>
    <w:rsid w:val="00F43993"/>
    <w:rsid w:val="00F44245"/>
    <w:rsid w:val="00F47C78"/>
    <w:rsid w:val="00F50FAC"/>
    <w:rsid w:val="00F547F7"/>
    <w:rsid w:val="00F71114"/>
    <w:rsid w:val="00F71ADB"/>
    <w:rsid w:val="00F71B22"/>
    <w:rsid w:val="00F72461"/>
    <w:rsid w:val="00F74258"/>
    <w:rsid w:val="00F76A22"/>
    <w:rsid w:val="00F86D7B"/>
    <w:rsid w:val="00F9105E"/>
    <w:rsid w:val="00F93F06"/>
    <w:rsid w:val="00F9568D"/>
    <w:rsid w:val="00F95DE1"/>
    <w:rsid w:val="00FA0034"/>
    <w:rsid w:val="00FA2A65"/>
    <w:rsid w:val="00FB25F3"/>
    <w:rsid w:val="00FB76BF"/>
    <w:rsid w:val="00FC33B2"/>
    <w:rsid w:val="00FC3A89"/>
    <w:rsid w:val="00FC3AC8"/>
    <w:rsid w:val="00FC4154"/>
    <w:rsid w:val="00FD202C"/>
    <w:rsid w:val="00FD2526"/>
    <w:rsid w:val="00FD42A2"/>
    <w:rsid w:val="00FD50E2"/>
    <w:rsid w:val="00FD63AD"/>
    <w:rsid w:val="00FD70BE"/>
    <w:rsid w:val="00FE3A06"/>
    <w:rsid w:val="00FE3CE8"/>
    <w:rsid w:val="00FE6165"/>
    <w:rsid w:val="00FE62DA"/>
    <w:rsid w:val="00FF088C"/>
    <w:rsid w:val="00FF28EC"/>
    <w:rsid w:val="00FF5451"/>
    <w:rsid w:val="00FF6D86"/>
    <w:rsid w:val="00FF7B48"/>
    <w:rsid w:val="01586AB7"/>
    <w:rsid w:val="038832FE"/>
    <w:rsid w:val="042B4404"/>
    <w:rsid w:val="05170E2A"/>
    <w:rsid w:val="05F33E19"/>
    <w:rsid w:val="08A607DC"/>
    <w:rsid w:val="0CA3463F"/>
    <w:rsid w:val="12342DAB"/>
    <w:rsid w:val="13033C28"/>
    <w:rsid w:val="13B94E90"/>
    <w:rsid w:val="16FA62BC"/>
    <w:rsid w:val="1B85573B"/>
    <w:rsid w:val="214926E0"/>
    <w:rsid w:val="242A1E4E"/>
    <w:rsid w:val="24ED39A1"/>
    <w:rsid w:val="37DA1FFD"/>
    <w:rsid w:val="3C823756"/>
    <w:rsid w:val="3C9B5EFD"/>
    <w:rsid w:val="3E13186C"/>
    <w:rsid w:val="42310B31"/>
    <w:rsid w:val="50055DC9"/>
    <w:rsid w:val="524B628E"/>
    <w:rsid w:val="5598176B"/>
    <w:rsid w:val="5FA63A90"/>
    <w:rsid w:val="656F3231"/>
    <w:rsid w:val="691B6ACA"/>
    <w:rsid w:val="691F79C3"/>
    <w:rsid w:val="697F115B"/>
    <w:rsid w:val="6AB5708C"/>
    <w:rsid w:val="782F28F7"/>
    <w:rsid w:val="796C3466"/>
    <w:rsid w:val="7B2D3227"/>
    <w:rsid w:val="7D5D521C"/>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4"/>
    <w:semiHidden/>
    <w:unhideWhenUsed/>
    <w:qFormat/>
    <w:uiPriority w:val="99"/>
    <w:rPr>
      <w:b/>
      <w:bCs/>
    </w:rPr>
  </w:style>
  <w:style w:type="paragraph" w:styleId="6">
    <w:name w:val="annotation text"/>
    <w:basedOn w:val="1"/>
    <w:link w:val="33"/>
    <w:semiHidden/>
    <w:unhideWhenUsed/>
    <w:qFormat/>
    <w:uiPriority w:val="99"/>
    <w:pPr>
      <w:jc w:val="left"/>
    </w:pPr>
  </w:style>
  <w:style w:type="paragraph" w:styleId="7">
    <w:name w:val="Closing"/>
    <w:basedOn w:val="1"/>
    <w:qFormat/>
    <w:uiPriority w:val="0"/>
    <w:pPr>
      <w:ind w:left="100" w:leftChars="2100"/>
    </w:pPr>
    <w:rPr>
      <w:rFonts w:ascii="宋体"/>
      <w:sz w:val="24"/>
    </w:rPr>
  </w:style>
  <w:style w:type="paragraph" w:styleId="8">
    <w:name w:val="Body Text"/>
    <w:basedOn w:val="1"/>
    <w:link w:val="38"/>
    <w:semiHidden/>
    <w:unhideWhenUsed/>
    <w:qFormat/>
    <w:uiPriority w:val="99"/>
    <w:pPr>
      <w:spacing w:after="120"/>
    </w:pPr>
  </w:style>
  <w:style w:type="paragraph" w:styleId="9">
    <w:name w:val="Body Text Indent"/>
    <w:basedOn w:val="1"/>
    <w:link w:val="36"/>
    <w:qFormat/>
    <w:uiPriority w:val="0"/>
    <w:pPr>
      <w:spacing w:after="120"/>
      <w:ind w:left="420" w:leftChars="200"/>
    </w:pPr>
    <w:rPr>
      <w:rFonts w:ascii="Calibri" w:hAnsi="Calibri"/>
      <w:szCs w:val="22"/>
    </w:rPr>
  </w:style>
  <w:style w:type="paragraph" w:styleId="10">
    <w:name w:val="Plain Text"/>
    <w:basedOn w:val="1"/>
    <w:link w:val="32"/>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11">
    <w:name w:val="endnote text"/>
    <w:basedOn w:val="1"/>
    <w:link w:val="47"/>
    <w:semiHidden/>
    <w:unhideWhenUsed/>
    <w:qFormat/>
    <w:uiPriority w:val="99"/>
    <w:pPr>
      <w:snapToGrid w:val="0"/>
      <w:jc w:val="left"/>
    </w:pPr>
  </w:style>
  <w:style w:type="paragraph" w:styleId="12">
    <w:name w:val="Balloon Text"/>
    <w:basedOn w:val="1"/>
    <w:link w:val="42"/>
    <w:qFormat/>
    <w:uiPriority w:val="0"/>
    <w:rPr>
      <w:sz w:val="18"/>
      <w:szCs w:val="18"/>
    </w:rPr>
  </w:style>
  <w:style w:type="paragraph" w:styleId="13">
    <w:name w:val="footer"/>
    <w:basedOn w:val="1"/>
    <w:link w:val="28"/>
    <w:qFormat/>
    <w:uiPriority w:val="0"/>
    <w:pPr>
      <w:tabs>
        <w:tab w:val="center" w:pos="4153"/>
        <w:tab w:val="right" w:pos="8306"/>
      </w:tabs>
      <w:snapToGrid w:val="0"/>
      <w:jc w:val="left"/>
    </w:pPr>
    <w:rPr>
      <w:sz w:val="18"/>
      <w:szCs w:val="18"/>
    </w:rPr>
  </w:style>
  <w:style w:type="paragraph" w:styleId="14">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8">
    <w:name w:val="Strong"/>
    <w:qFormat/>
    <w:uiPriority w:val="0"/>
    <w:rPr>
      <w:b/>
      <w:bCs/>
    </w:rPr>
  </w:style>
  <w:style w:type="character" w:styleId="19">
    <w:name w:val="endnote reference"/>
    <w:basedOn w:val="17"/>
    <w:semiHidden/>
    <w:unhideWhenUsed/>
    <w:qFormat/>
    <w:uiPriority w:val="99"/>
    <w:rPr>
      <w:vertAlign w:val="superscript"/>
    </w:rPr>
  </w:style>
  <w:style w:type="character" w:styleId="20">
    <w:name w:val="Emphasis"/>
    <w:qFormat/>
    <w:uiPriority w:val="20"/>
    <w:rPr>
      <w:i/>
      <w:iCs/>
    </w:rPr>
  </w:style>
  <w:style w:type="character" w:styleId="21">
    <w:name w:val="Hyperlink"/>
    <w:basedOn w:val="17"/>
    <w:unhideWhenUsed/>
    <w:qFormat/>
    <w:uiPriority w:val="0"/>
    <w:rPr>
      <w:color w:val="0000FF"/>
      <w:u w:val="single"/>
    </w:rPr>
  </w:style>
  <w:style w:type="character" w:styleId="22">
    <w:name w:val="annotation reference"/>
    <w:basedOn w:val="17"/>
    <w:semiHidden/>
    <w:unhideWhenUsed/>
    <w:qFormat/>
    <w:uiPriority w:val="99"/>
    <w:rPr>
      <w:sz w:val="21"/>
      <w:szCs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5">
    <w:name w:val="纯文本1"/>
    <w:basedOn w:val="1"/>
    <w:qFormat/>
    <w:uiPriority w:val="0"/>
    <w:pPr>
      <w:widowControl/>
      <w:jc w:val="left"/>
    </w:pPr>
    <w:rPr>
      <w:rFonts w:ascii="宋体" w:hAnsi="Courier New" w:eastAsia="微软雅黑"/>
      <w:kern w:val="0"/>
      <w:sz w:val="20"/>
      <w:szCs w:val="21"/>
    </w:rPr>
  </w:style>
  <w:style w:type="paragraph" w:customStyle="1" w:styleId="26">
    <w:name w:val="1_0"/>
    <w:basedOn w:val="1"/>
    <w:next w:val="25"/>
    <w:qFormat/>
    <w:uiPriority w:val="0"/>
    <w:rPr>
      <w:rFonts w:ascii="宋体" w:hAnsi="Courier New"/>
      <w:szCs w:val="22"/>
    </w:rPr>
  </w:style>
  <w:style w:type="paragraph" w:customStyle="1" w:styleId="27">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28">
    <w:name w:val="页脚 字符"/>
    <w:link w:val="13"/>
    <w:qFormat/>
    <w:uiPriority w:val="0"/>
    <w:rPr>
      <w:kern w:val="2"/>
      <w:sz w:val="18"/>
      <w:szCs w:val="18"/>
    </w:rPr>
  </w:style>
  <w:style w:type="character" w:customStyle="1" w:styleId="29">
    <w:name w:val="apple-style-span"/>
    <w:basedOn w:val="17"/>
    <w:qFormat/>
    <w:uiPriority w:val="0"/>
  </w:style>
  <w:style w:type="character" w:customStyle="1" w:styleId="30">
    <w:name w:val="页眉 字符"/>
    <w:link w:val="14"/>
    <w:qFormat/>
    <w:uiPriority w:val="0"/>
    <w:rPr>
      <w:kern w:val="2"/>
      <w:sz w:val="18"/>
      <w:szCs w:val="18"/>
    </w:rPr>
  </w:style>
  <w:style w:type="character" w:customStyle="1" w:styleId="31">
    <w:name w:val="style141"/>
    <w:qFormat/>
    <w:uiPriority w:val="0"/>
    <w:rPr>
      <w:rFonts w:hint="eastAsia" w:ascii="宋体" w:hAnsi="宋体" w:eastAsia="宋体"/>
      <w:sz w:val="18"/>
      <w:szCs w:val="18"/>
    </w:rPr>
  </w:style>
  <w:style w:type="character" w:customStyle="1" w:styleId="32">
    <w:name w:val="纯文本 字符"/>
    <w:basedOn w:val="17"/>
    <w:link w:val="10"/>
    <w:qFormat/>
    <w:uiPriority w:val="0"/>
    <w:rPr>
      <w:rFonts w:ascii="宋体" w:hAnsi="Courier New" w:eastAsia="微软雅黑" w:cs="Courier New"/>
      <w:sz w:val="22"/>
      <w:szCs w:val="21"/>
    </w:rPr>
  </w:style>
  <w:style w:type="character" w:customStyle="1" w:styleId="33">
    <w:name w:val="批注文字 字符"/>
    <w:basedOn w:val="17"/>
    <w:link w:val="6"/>
    <w:semiHidden/>
    <w:qFormat/>
    <w:uiPriority w:val="99"/>
    <w:rPr>
      <w:kern w:val="2"/>
      <w:sz w:val="21"/>
      <w:szCs w:val="24"/>
    </w:rPr>
  </w:style>
  <w:style w:type="character" w:customStyle="1" w:styleId="34">
    <w:name w:val="批注主题 字符"/>
    <w:basedOn w:val="33"/>
    <w:link w:val="5"/>
    <w:semiHidden/>
    <w:qFormat/>
    <w:uiPriority w:val="99"/>
    <w:rPr>
      <w:b/>
      <w:bCs/>
      <w:kern w:val="2"/>
      <w:sz w:val="21"/>
      <w:szCs w:val="24"/>
    </w:rPr>
  </w:style>
  <w:style w:type="paragraph" w:styleId="35">
    <w:name w:val="List Paragraph"/>
    <w:basedOn w:val="1"/>
    <w:qFormat/>
    <w:uiPriority w:val="34"/>
    <w:pPr>
      <w:ind w:firstLine="420" w:firstLineChars="200"/>
    </w:pPr>
  </w:style>
  <w:style w:type="character" w:customStyle="1" w:styleId="36">
    <w:name w:val="正文文本缩进 字符"/>
    <w:basedOn w:val="17"/>
    <w:link w:val="9"/>
    <w:qFormat/>
    <w:uiPriority w:val="0"/>
    <w:rPr>
      <w:rFonts w:ascii="Calibri" w:hAnsi="Calibri"/>
      <w:kern w:val="2"/>
      <w:sz w:val="21"/>
      <w:szCs w:val="22"/>
    </w:rPr>
  </w:style>
  <w:style w:type="paragraph" w:customStyle="1" w:styleId="37">
    <w:name w:val="p18"/>
    <w:basedOn w:val="1"/>
    <w:qFormat/>
    <w:uiPriority w:val="0"/>
    <w:pPr>
      <w:widowControl/>
      <w:adjustRightInd w:val="0"/>
      <w:spacing w:line="312" w:lineRule="atLeast"/>
    </w:pPr>
    <w:rPr>
      <w:rFonts w:ascii="宋体" w:hAnsi="宋体" w:cs="宋体"/>
      <w:kern w:val="0"/>
      <w:sz w:val="24"/>
    </w:rPr>
  </w:style>
  <w:style w:type="character" w:customStyle="1" w:styleId="38">
    <w:name w:val="正文文本 字符"/>
    <w:basedOn w:val="17"/>
    <w:link w:val="8"/>
    <w:semiHidden/>
    <w:qFormat/>
    <w:uiPriority w:val="99"/>
    <w:rPr>
      <w:kern w:val="2"/>
      <w:sz w:val="21"/>
      <w:szCs w:val="24"/>
    </w:rPr>
  </w:style>
  <w:style w:type="character" w:customStyle="1" w:styleId="39">
    <w:name w:val="标题 1 字符"/>
    <w:basedOn w:val="17"/>
    <w:qFormat/>
    <w:uiPriority w:val="0"/>
    <w:rPr>
      <w:b/>
      <w:bCs/>
      <w:kern w:val="44"/>
      <w:sz w:val="44"/>
      <w:szCs w:val="44"/>
    </w:rPr>
  </w:style>
  <w:style w:type="character" w:customStyle="1" w:styleId="40">
    <w:name w:val="标题 2 字符"/>
    <w:basedOn w:val="17"/>
    <w:link w:val="3"/>
    <w:qFormat/>
    <w:uiPriority w:val="0"/>
    <w:rPr>
      <w:rFonts w:ascii="Arial" w:hAnsi="Arial" w:eastAsia="黑体"/>
      <w:b/>
      <w:bCs/>
      <w:kern w:val="2"/>
      <w:sz w:val="32"/>
      <w:szCs w:val="32"/>
    </w:rPr>
  </w:style>
  <w:style w:type="character" w:customStyle="1" w:styleId="41">
    <w:name w:val="标题 3 字符"/>
    <w:basedOn w:val="17"/>
    <w:link w:val="4"/>
    <w:qFormat/>
    <w:uiPriority w:val="0"/>
    <w:rPr>
      <w:b/>
      <w:bCs/>
      <w:kern w:val="2"/>
      <w:sz w:val="32"/>
      <w:szCs w:val="32"/>
    </w:rPr>
  </w:style>
  <w:style w:type="character" w:customStyle="1" w:styleId="42">
    <w:name w:val="批注框文本 字符"/>
    <w:basedOn w:val="17"/>
    <w:link w:val="12"/>
    <w:qFormat/>
    <w:uiPriority w:val="0"/>
    <w:rPr>
      <w:kern w:val="2"/>
      <w:sz w:val="18"/>
      <w:szCs w:val="18"/>
    </w:rPr>
  </w:style>
  <w:style w:type="character" w:customStyle="1" w:styleId="43">
    <w:name w:val="HTML 预设格式 字符"/>
    <w:basedOn w:val="17"/>
    <w:link w:val="15"/>
    <w:qFormat/>
    <w:uiPriority w:val="0"/>
    <w:rPr>
      <w:rFonts w:ascii="宋体" w:hAnsi="宋体" w:cs="宋体"/>
      <w:sz w:val="24"/>
      <w:szCs w:val="24"/>
    </w:rPr>
  </w:style>
  <w:style w:type="character" w:customStyle="1" w:styleId="44">
    <w:name w:val="标题 1 字符1"/>
    <w:link w:val="2"/>
    <w:qFormat/>
    <w:uiPriority w:val="0"/>
    <w:rPr>
      <w:b/>
      <w:bCs/>
      <w:kern w:val="44"/>
      <w:sz w:val="44"/>
      <w:szCs w:val="44"/>
    </w:rPr>
  </w:style>
  <w:style w:type="character" w:customStyle="1" w:styleId="45">
    <w:name w:val="页眉 Char"/>
    <w:qFormat/>
    <w:uiPriority w:val="0"/>
    <w:rPr>
      <w:kern w:val="2"/>
      <w:sz w:val="18"/>
      <w:szCs w:val="18"/>
      <w:lang w:val="zh-CN" w:eastAsia="zh-CN"/>
    </w:rPr>
  </w:style>
  <w:style w:type="character" w:customStyle="1" w:styleId="46">
    <w:name w:val="页脚 Char"/>
    <w:qFormat/>
    <w:uiPriority w:val="0"/>
    <w:rPr>
      <w:kern w:val="2"/>
      <w:sz w:val="18"/>
      <w:szCs w:val="18"/>
      <w:lang w:val="zh-CN" w:eastAsia="zh-CN"/>
    </w:rPr>
  </w:style>
  <w:style w:type="character" w:customStyle="1" w:styleId="47">
    <w:name w:val="尾注文本 字符"/>
    <w:basedOn w:val="17"/>
    <w:link w:val="11"/>
    <w:semiHidden/>
    <w:qFormat/>
    <w:uiPriority w:val="99"/>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6ADB92-84CC-4B37-A9CE-B4B74CD1E40E}">
  <ds:schemaRefs/>
</ds:datastoreItem>
</file>

<file path=docProps/app.xml><?xml version="1.0" encoding="utf-8"?>
<Properties xmlns="http://schemas.openxmlformats.org/officeDocument/2006/extended-properties" xmlns:vt="http://schemas.openxmlformats.org/officeDocument/2006/docPropsVTypes">
  <Template>Normal.dotm</Template>
  <Company>aaa</Company>
  <Pages>1</Pages>
  <Words>1671</Words>
  <Characters>9527</Characters>
  <Lines>79</Lines>
  <Paragraphs>22</Paragraphs>
  <TotalTime>4</TotalTime>
  <ScaleCrop>false</ScaleCrop>
  <LinksUpToDate>false</LinksUpToDate>
  <CharactersWithSpaces>11176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2018-02-28T04:01:00Z</dcterms:created>
  <dc:creator>abc</dc:creator>
  <cp:lastModifiedBy>詹映静</cp:lastModifiedBy>
  <cp:lastPrinted>2011-11-29T08:47:00Z</cp:lastPrinted>
  <dcterms:modified xsi:type="dcterms:W3CDTF">2023-01-11T07:44:39Z</dcterms:modified>
  <dc:title>广州大学城投资经营管理有限公司</dc:title>
  <cp:revision>321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