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30" w:leftChars="300"/>
        <w:jc w:val="center"/>
        <w:rPr>
          <w:rFonts w:ascii="Calibri" w:hAnsi="Calibri"/>
          <w:b/>
          <w:bCs/>
          <w:sz w:val="36"/>
          <w:szCs w:val="36"/>
        </w:rPr>
      </w:pPr>
      <w:r>
        <w:rPr>
          <w:rFonts w:hint="eastAsia" w:ascii="Calibri" w:hAnsi="Calibri"/>
          <w:b/>
          <w:bCs/>
          <w:sz w:val="36"/>
          <w:szCs w:val="36"/>
        </w:rPr>
        <w:t>广州大学城能源发展有限公司</w:t>
      </w:r>
    </w:p>
    <w:p>
      <w:pPr>
        <w:spacing w:line="360" w:lineRule="auto"/>
        <w:ind w:left="2"/>
        <w:jc w:val="center"/>
        <w:rPr>
          <w:rFonts w:ascii="Calibri" w:hAnsi="Calibri"/>
          <w:b/>
          <w:bCs/>
          <w:sz w:val="36"/>
          <w:szCs w:val="36"/>
        </w:rPr>
      </w:pPr>
      <w:r>
        <w:rPr>
          <w:rFonts w:hint="eastAsia" w:ascii="Calibri" w:hAnsi="Calibri"/>
          <w:b/>
          <w:bCs/>
          <w:sz w:val="36"/>
          <w:szCs w:val="36"/>
          <w:lang w:val="en-US" w:eastAsia="zh-CN"/>
        </w:rPr>
        <w:t xml:space="preserve">   </w:t>
      </w:r>
      <w:bookmarkStart w:id="2" w:name="_GoBack"/>
      <w:bookmarkEnd w:id="2"/>
      <w:r>
        <w:rPr>
          <w:rFonts w:hint="eastAsia" w:ascii="Calibri" w:hAnsi="Calibri"/>
          <w:b/>
          <w:bCs/>
          <w:sz w:val="36"/>
          <w:szCs w:val="36"/>
        </w:rPr>
        <w:t>超算BA系统维保及逐步重构更新</w:t>
      </w:r>
    </w:p>
    <w:p>
      <w:pPr>
        <w:tabs>
          <w:tab w:val="left" w:pos="720"/>
        </w:tabs>
        <w:spacing w:line="360" w:lineRule="auto"/>
        <w:jc w:val="center"/>
        <w:rPr>
          <w:rFonts w:cs="Arial" w:asciiTheme="majorEastAsia" w:hAnsiTheme="majorEastAsia" w:eastAsiaTheme="majorEastAsia"/>
          <w:b/>
          <w:bCs/>
          <w:color w:val="000000"/>
          <w:sz w:val="36"/>
          <w:szCs w:val="36"/>
        </w:rPr>
      </w:pPr>
      <w:r>
        <w:rPr>
          <w:rFonts w:hint="eastAsia" w:cs="Arial" w:asciiTheme="majorEastAsia" w:hAnsiTheme="majorEastAsia" w:eastAsiaTheme="majorEastAsia"/>
          <w:b/>
          <w:color w:val="000000"/>
          <w:sz w:val="36"/>
          <w:szCs w:val="36"/>
        </w:rPr>
        <w:t>竞选文件</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项目基本情况</w:t>
      </w:r>
    </w:p>
    <w:p>
      <w:pPr>
        <w:pStyle w:val="22"/>
        <w:numPr>
          <w:ilvl w:val="0"/>
          <w:numId w:val="2"/>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项目名称：</w:t>
      </w:r>
      <w:r>
        <w:rPr>
          <w:rFonts w:hint="eastAsia" w:cs="Times New Roman" w:asciiTheme="minorEastAsia" w:hAnsiTheme="minorEastAsia"/>
          <w:b/>
          <w:bCs/>
          <w:sz w:val="28"/>
          <w:szCs w:val="28"/>
        </w:rPr>
        <w:t>超算BA系统维保及逐步重构更新</w:t>
      </w:r>
    </w:p>
    <w:p>
      <w:pPr>
        <w:pStyle w:val="22"/>
        <w:numPr>
          <w:ilvl w:val="0"/>
          <w:numId w:val="2"/>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项目地点：广州大学城</w:t>
      </w:r>
    </w:p>
    <w:p>
      <w:pPr>
        <w:pStyle w:val="22"/>
        <w:numPr>
          <w:ilvl w:val="0"/>
          <w:numId w:val="2"/>
        </w:numPr>
        <w:spacing w:line="360" w:lineRule="auto"/>
        <w:ind w:left="0" w:firstLine="561" w:firstLineChars="0"/>
        <w:rPr>
          <w:rFonts w:asciiTheme="minorEastAsia" w:hAnsiTheme="minorEastAsia"/>
          <w:sz w:val="28"/>
          <w:szCs w:val="28"/>
        </w:rPr>
      </w:pPr>
      <w:r>
        <w:rPr>
          <w:rFonts w:asciiTheme="minorEastAsia" w:hAnsiTheme="minorEastAsia"/>
          <w:sz w:val="28"/>
          <w:szCs w:val="28"/>
        </w:rPr>
        <w:t>采购限价</w:t>
      </w:r>
      <w:r>
        <w:rPr>
          <w:rFonts w:hint="eastAsia" w:asciiTheme="minorEastAsia" w:hAnsiTheme="minorEastAsia"/>
          <w:sz w:val="28"/>
          <w:szCs w:val="28"/>
        </w:rPr>
        <w:t>：</w:t>
      </w:r>
      <w:r>
        <w:rPr>
          <w:rFonts w:hint="eastAsia" w:ascii="宋体" w:hAnsi="宋体"/>
          <w:sz w:val="28"/>
          <w:szCs w:val="28"/>
        </w:rPr>
        <w:t>人民币</w:t>
      </w:r>
      <w:r>
        <w:rPr>
          <w:rFonts w:hint="eastAsia" w:ascii="宋体" w:hAnsi="宋体"/>
          <w:color w:val="FF0000"/>
          <w:sz w:val="28"/>
          <w:szCs w:val="28"/>
        </w:rPr>
        <w:t>30</w:t>
      </w:r>
      <w:r>
        <w:rPr>
          <w:rFonts w:hint="eastAsia" w:ascii="宋体" w:hAnsi="宋体"/>
          <w:sz w:val="28"/>
          <w:szCs w:val="28"/>
        </w:rPr>
        <w:t>万元</w:t>
      </w:r>
    </w:p>
    <w:p>
      <w:pPr>
        <w:pStyle w:val="22"/>
        <w:numPr>
          <w:ilvl w:val="0"/>
          <w:numId w:val="2"/>
        </w:numPr>
        <w:spacing w:line="360" w:lineRule="auto"/>
        <w:ind w:left="0" w:firstLine="561" w:firstLineChars="0"/>
        <w:rPr>
          <w:rFonts w:asciiTheme="minorEastAsia" w:hAnsiTheme="minorEastAsia"/>
          <w:sz w:val="28"/>
          <w:szCs w:val="28"/>
        </w:rPr>
      </w:pPr>
      <w:r>
        <w:rPr>
          <w:rFonts w:hint="eastAsia" w:asciiTheme="minorEastAsia" w:hAnsiTheme="minorEastAsia"/>
          <w:sz w:val="28"/>
          <w:szCs w:val="28"/>
        </w:rPr>
        <w:t>项目简介：</w:t>
      </w:r>
    </w:p>
    <w:p>
      <w:pPr>
        <w:spacing w:line="360" w:lineRule="auto"/>
        <w:ind w:left="-284" w:firstLine="560" w:firstLineChars="200"/>
        <w:rPr>
          <w:rFonts w:cs="Arial" w:asciiTheme="minorEastAsia" w:hAnsiTheme="minorEastAsia"/>
          <w:color w:val="000000"/>
          <w:sz w:val="28"/>
          <w:szCs w:val="28"/>
        </w:rPr>
      </w:pPr>
      <w:r>
        <w:rPr>
          <w:rFonts w:hint="eastAsia" w:cs="Arial" w:asciiTheme="minorEastAsia" w:hAnsiTheme="minorEastAsia"/>
          <w:color w:val="000000"/>
          <w:sz w:val="28"/>
          <w:szCs w:val="28"/>
        </w:rPr>
        <w:tab/>
      </w:r>
      <w:r>
        <w:rPr>
          <w:rFonts w:hint="eastAsia" w:cs="Arial" w:asciiTheme="minorEastAsia" w:hAnsiTheme="minorEastAsia"/>
          <w:color w:val="000000"/>
          <w:sz w:val="28"/>
          <w:szCs w:val="28"/>
        </w:rPr>
        <w:t>1、超算BA系统2年维保。</w:t>
      </w:r>
    </w:p>
    <w:p>
      <w:pPr>
        <w:spacing w:line="360" w:lineRule="auto"/>
        <w:ind w:left="-284" w:firstLine="560" w:firstLineChars="200"/>
        <w:rPr>
          <w:rFonts w:cs="Arial" w:asciiTheme="minorEastAsia" w:hAnsiTheme="minorEastAsia"/>
          <w:color w:val="000000"/>
          <w:sz w:val="28"/>
          <w:szCs w:val="28"/>
        </w:rPr>
      </w:pPr>
      <w:r>
        <w:rPr>
          <w:rFonts w:hint="eastAsia" w:cs="Arial" w:asciiTheme="minorEastAsia" w:hAnsiTheme="minorEastAsia"/>
          <w:color w:val="000000"/>
          <w:sz w:val="28"/>
          <w:szCs w:val="28"/>
        </w:rPr>
        <w:t xml:space="preserve"> 2、超算BA系统重构及系统更新。</w:t>
      </w:r>
    </w:p>
    <w:p>
      <w:pPr>
        <w:pStyle w:val="22"/>
        <w:spacing w:line="360" w:lineRule="auto"/>
        <w:ind w:firstLine="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（详见附件7采购需求）</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合格投标人资格要求</w:t>
      </w:r>
    </w:p>
    <w:p>
      <w:pPr>
        <w:pStyle w:val="22"/>
        <w:numPr>
          <w:ilvl w:val="0"/>
          <w:numId w:val="3"/>
        </w:numPr>
        <w:tabs>
          <w:tab w:val="left" w:pos="709"/>
          <w:tab w:val="left" w:pos="851"/>
        </w:tabs>
        <w:spacing w:line="360" w:lineRule="auto"/>
        <w:ind w:left="0" w:firstLine="560" w:firstLineChars="0"/>
        <w:rPr>
          <w:rFonts w:asciiTheme="minorEastAsia" w:hAnsiTheme="minorEastAsia"/>
          <w:sz w:val="28"/>
          <w:szCs w:val="28"/>
        </w:rPr>
      </w:pPr>
      <w:r>
        <w:rPr>
          <w:rFonts w:cs="Arial" w:asciiTheme="minorEastAsia" w:hAnsiTheme="minorEastAsia"/>
          <w:color w:val="000000"/>
          <w:sz w:val="28"/>
          <w:szCs w:val="28"/>
        </w:rPr>
        <w:t>必须是具有独立承担民事责任能力的在中华人民共和国境内注册的法人，</w:t>
      </w:r>
      <w:r>
        <w:rPr>
          <w:rFonts w:hint="eastAsia" w:cs="Arial" w:asciiTheme="minorEastAsia" w:hAnsiTheme="minorEastAsia"/>
          <w:color w:val="000000"/>
          <w:sz w:val="28"/>
          <w:szCs w:val="28"/>
        </w:rPr>
        <w:t>具备有效的工商营业执照、企业法人组织机构代码证书、税务登记证书（或三证合一），按国家法律经营。</w:t>
      </w:r>
    </w:p>
    <w:p>
      <w:pPr>
        <w:pStyle w:val="22"/>
        <w:numPr>
          <w:ilvl w:val="0"/>
          <w:numId w:val="3"/>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2"/>
        <w:numPr>
          <w:ilvl w:val="0"/>
          <w:numId w:val="3"/>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投标人没有处于被责令停业或破产状态，且资产未被重组、接管和冻结，声明在投标活动中3年内没有重大违法活动和涉嫌违规行为。（格式自拟）</w:t>
      </w:r>
    </w:p>
    <w:p>
      <w:pPr>
        <w:pStyle w:val="22"/>
        <w:numPr>
          <w:ilvl w:val="0"/>
          <w:numId w:val="3"/>
        </w:numPr>
        <w:tabs>
          <w:tab w:val="left" w:pos="709"/>
          <w:tab w:val="left" w:pos="851"/>
        </w:tabs>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投标人2019年1月1日至今完成类似业绩，需提供合同关键页复印件。</w:t>
      </w:r>
    </w:p>
    <w:p>
      <w:pPr>
        <w:pStyle w:val="22"/>
        <w:numPr>
          <w:ilvl w:val="0"/>
          <w:numId w:val="3"/>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本项目不接受联合体报价。</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项目内容及要求</w:t>
      </w:r>
    </w:p>
    <w:p>
      <w:pPr>
        <w:pStyle w:val="22"/>
        <w:tabs>
          <w:tab w:val="left" w:pos="540"/>
          <w:tab w:val="left" w:pos="720"/>
        </w:tabs>
        <w:spacing w:line="360" w:lineRule="auto"/>
        <w:ind w:left="988" w:firstLine="0" w:firstLineChars="0"/>
        <w:rPr>
          <w:rFonts w:asciiTheme="minorEastAsia" w:hAnsiTheme="minorEastAsia"/>
          <w:sz w:val="28"/>
          <w:szCs w:val="28"/>
        </w:rPr>
      </w:pPr>
      <w:r>
        <w:rPr>
          <w:rFonts w:hint="eastAsia" w:asciiTheme="minorEastAsia" w:hAnsiTheme="minorEastAsia"/>
          <w:sz w:val="28"/>
          <w:szCs w:val="28"/>
        </w:rPr>
        <w:t>具体详见附件7采购需求</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费用及支付方式</w:t>
      </w:r>
    </w:p>
    <w:p>
      <w:pPr>
        <w:pStyle w:val="22"/>
        <w:numPr>
          <w:ilvl w:val="0"/>
          <w:numId w:val="4"/>
        </w:numPr>
        <w:spacing w:line="360" w:lineRule="auto"/>
        <w:ind w:left="0" w:firstLine="420" w:firstLineChars="0"/>
        <w:rPr>
          <w:rFonts w:cs="Arial" w:asciiTheme="minorEastAsia" w:hAnsiTheme="minorEastAsia"/>
          <w:color w:val="000000"/>
          <w:sz w:val="28"/>
          <w:szCs w:val="28"/>
        </w:rPr>
      </w:pPr>
      <w:r>
        <w:rPr>
          <w:rFonts w:cs="Arial" w:asciiTheme="minorEastAsia" w:hAnsiTheme="minorEastAsia"/>
          <w:color w:val="000000"/>
          <w:sz w:val="28"/>
          <w:szCs w:val="28"/>
        </w:rPr>
        <w:t>本</w:t>
      </w:r>
      <w:r>
        <w:rPr>
          <w:rFonts w:hint="eastAsia" w:cs="Arial" w:asciiTheme="minorEastAsia" w:hAnsiTheme="minorEastAsia"/>
          <w:color w:val="000000"/>
          <w:sz w:val="28"/>
          <w:szCs w:val="28"/>
        </w:rPr>
        <w:t>项目</w:t>
      </w:r>
      <w:r>
        <w:rPr>
          <w:rFonts w:cs="Arial" w:asciiTheme="minorEastAsia" w:hAnsiTheme="minorEastAsia"/>
          <w:color w:val="000000"/>
          <w:sz w:val="28"/>
          <w:szCs w:val="28"/>
        </w:rPr>
        <w:t>采用</w:t>
      </w:r>
      <w:r>
        <w:rPr>
          <w:rFonts w:hint="eastAsia" w:cs="Arial" w:asciiTheme="minorEastAsia" w:hAnsiTheme="minorEastAsia"/>
          <w:color w:val="000000"/>
          <w:sz w:val="28"/>
          <w:szCs w:val="28"/>
        </w:rPr>
        <w:t>总价</w:t>
      </w:r>
      <w:r>
        <w:rPr>
          <w:rFonts w:cs="Arial" w:asciiTheme="minorEastAsia" w:hAnsiTheme="minorEastAsia"/>
          <w:color w:val="000000"/>
          <w:sz w:val="28"/>
          <w:szCs w:val="28"/>
        </w:rPr>
        <w:t>包干</w:t>
      </w:r>
      <w:r>
        <w:rPr>
          <w:rFonts w:hint="eastAsia" w:cs="Arial" w:asciiTheme="minorEastAsia" w:hAnsiTheme="minorEastAsia"/>
          <w:color w:val="000000"/>
          <w:sz w:val="28"/>
          <w:szCs w:val="28"/>
        </w:rPr>
        <w:t>方式承包。投标总价应包括了投标人完成本合同约定范围内BA系统重构及系统更新、安装调试、运行维护、培训、技术服务（包括技术资料、咨询、软件扩展等）和其它相关服务、质保期保障等工作内容的全部费用、税费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2"/>
        <w:numPr>
          <w:ilvl w:val="0"/>
          <w:numId w:val="4"/>
        </w:numPr>
        <w:spacing w:line="360" w:lineRule="auto"/>
        <w:ind w:left="0" w:firstLine="42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支付方式</w:t>
      </w:r>
    </w:p>
    <w:p>
      <w:pPr>
        <w:pStyle w:val="22"/>
        <w:adjustRightInd w:val="0"/>
        <w:snapToGrid w:val="0"/>
        <w:spacing w:line="360" w:lineRule="auto"/>
        <w:ind w:left="840" w:firstLine="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本项目采用分期付费方式：</w:t>
      </w:r>
    </w:p>
    <w:tbl>
      <w:tblPr>
        <w:tblStyle w:val="13"/>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shd w:val="clear" w:color="auto" w:fill="E7E6E6"/>
            <w:vAlign w:val="center"/>
          </w:tcPr>
          <w:p>
            <w:pPr>
              <w:adjustRightInd w:val="0"/>
              <w:snapToGrid w:val="0"/>
              <w:spacing w:line="360" w:lineRule="auto"/>
              <w:jc w:val="center"/>
              <w:rPr>
                <w:rFonts w:ascii="宋体" w:hAnsi="宋体"/>
                <w:sz w:val="24"/>
              </w:rPr>
            </w:pPr>
            <w:r>
              <w:rPr>
                <w:rFonts w:hint="eastAsia" w:ascii="宋体" w:hAnsi="宋体"/>
                <w:sz w:val="24"/>
              </w:rPr>
              <w:t>支付类型</w:t>
            </w:r>
          </w:p>
        </w:tc>
        <w:tc>
          <w:tcPr>
            <w:tcW w:w="1701" w:type="dxa"/>
            <w:shd w:val="clear" w:color="auto" w:fill="E7E6E6"/>
            <w:vAlign w:val="center"/>
          </w:tcPr>
          <w:p>
            <w:pPr>
              <w:adjustRightInd w:val="0"/>
              <w:snapToGrid w:val="0"/>
              <w:spacing w:line="360" w:lineRule="auto"/>
              <w:jc w:val="center"/>
              <w:rPr>
                <w:rFonts w:ascii="宋体" w:hAnsi="宋体"/>
                <w:sz w:val="24"/>
              </w:rPr>
            </w:pPr>
            <w:r>
              <w:rPr>
                <w:rFonts w:hint="eastAsia" w:ascii="宋体" w:hAnsi="宋体"/>
                <w:sz w:val="24"/>
              </w:rPr>
              <w:t>付款比例</w:t>
            </w:r>
          </w:p>
        </w:tc>
        <w:tc>
          <w:tcPr>
            <w:tcW w:w="5953" w:type="dxa"/>
            <w:shd w:val="clear" w:color="auto" w:fill="E7E6E6"/>
            <w:vAlign w:val="center"/>
          </w:tcPr>
          <w:p>
            <w:pPr>
              <w:adjustRightInd w:val="0"/>
              <w:snapToGrid w:val="0"/>
              <w:spacing w:line="360" w:lineRule="auto"/>
              <w:jc w:val="center"/>
              <w:rPr>
                <w:rFonts w:ascii="宋体" w:hAnsi="宋体"/>
                <w:sz w:val="24"/>
              </w:rPr>
            </w:pPr>
            <w:r>
              <w:rPr>
                <w:rFonts w:hint="eastAsia" w:ascii="宋体" w:hAnsi="宋体"/>
                <w:sz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adjustRightInd w:val="0"/>
              <w:snapToGrid w:val="0"/>
              <w:spacing w:line="360" w:lineRule="auto"/>
              <w:jc w:val="center"/>
              <w:rPr>
                <w:rFonts w:ascii="宋体" w:hAnsi="宋体"/>
                <w:sz w:val="24"/>
              </w:rPr>
            </w:pPr>
            <w:r>
              <w:rPr>
                <w:rFonts w:hint="eastAsia" w:ascii="宋体" w:hAnsi="宋体"/>
                <w:sz w:val="24"/>
              </w:rPr>
              <w:t>维保费</w:t>
            </w:r>
          </w:p>
        </w:tc>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60%</w:t>
            </w:r>
          </w:p>
        </w:tc>
        <w:tc>
          <w:tcPr>
            <w:tcW w:w="5953" w:type="dxa"/>
            <w:vAlign w:val="center"/>
          </w:tcPr>
          <w:p>
            <w:pPr>
              <w:adjustRightInd w:val="0"/>
              <w:snapToGrid w:val="0"/>
              <w:spacing w:line="360" w:lineRule="auto"/>
              <w:rPr>
                <w:rFonts w:ascii="宋体" w:hAnsi="宋体"/>
                <w:sz w:val="24"/>
              </w:rPr>
            </w:pPr>
            <w:r>
              <w:rPr>
                <w:rFonts w:hint="eastAsia" w:ascii="宋体" w:hAnsi="宋体"/>
                <w:sz w:val="24"/>
              </w:rPr>
              <w:t>维保费用自采购人通知维保服务开始之日起每半年支付一次，每次支付金额为合同金额的15%。每次支付前需达到当次甲方维保服务考评良或以上。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adjustRightInd w:val="0"/>
              <w:snapToGrid w:val="0"/>
              <w:spacing w:line="360" w:lineRule="auto"/>
              <w:jc w:val="center"/>
              <w:rPr>
                <w:rFonts w:ascii="宋体" w:hAnsi="宋体"/>
                <w:sz w:val="24"/>
              </w:rPr>
            </w:pPr>
            <w:r>
              <w:rPr>
                <w:rFonts w:hint="eastAsia" w:ascii="宋体" w:hAnsi="宋体"/>
                <w:sz w:val="24"/>
              </w:rPr>
              <w:t>系统重构及系统更新完工款</w:t>
            </w:r>
          </w:p>
        </w:tc>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35%</w:t>
            </w:r>
          </w:p>
        </w:tc>
        <w:tc>
          <w:tcPr>
            <w:tcW w:w="5953" w:type="dxa"/>
            <w:vAlign w:val="center"/>
          </w:tcPr>
          <w:p>
            <w:pPr>
              <w:adjustRightInd w:val="0"/>
              <w:snapToGrid w:val="0"/>
              <w:spacing w:line="360" w:lineRule="auto"/>
              <w:rPr>
                <w:rFonts w:ascii="宋体" w:hAnsi="宋体"/>
                <w:sz w:val="24"/>
              </w:rPr>
            </w:pPr>
            <w:r>
              <w:rPr>
                <w:rFonts w:hint="eastAsia" w:ascii="宋体" w:hAnsi="宋体"/>
                <w:sz w:val="24"/>
              </w:rPr>
              <w:t>系统重构及系统更新工作全部完成并通过甲方验收，交付相关技术文件和编程源代码后，一次性支付合同金额的35%。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adjustRightInd w:val="0"/>
              <w:snapToGrid w:val="0"/>
              <w:spacing w:line="360" w:lineRule="auto"/>
              <w:jc w:val="center"/>
              <w:rPr>
                <w:rFonts w:ascii="宋体" w:hAnsi="宋体"/>
                <w:sz w:val="24"/>
              </w:rPr>
            </w:pPr>
            <w:r>
              <w:rPr>
                <w:rFonts w:hint="eastAsia" w:ascii="宋体" w:hAnsi="宋体"/>
                <w:sz w:val="24"/>
              </w:rPr>
              <w:t>系统重构及系统更新质保金</w:t>
            </w:r>
          </w:p>
        </w:tc>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5%</w:t>
            </w:r>
          </w:p>
        </w:tc>
        <w:tc>
          <w:tcPr>
            <w:tcW w:w="5953" w:type="dxa"/>
            <w:vAlign w:val="center"/>
          </w:tcPr>
          <w:p>
            <w:pPr>
              <w:adjustRightInd w:val="0"/>
              <w:snapToGrid w:val="0"/>
              <w:spacing w:line="360" w:lineRule="auto"/>
              <w:rPr>
                <w:rFonts w:ascii="宋体" w:hAnsi="宋体"/>
                <w:sz w:val="24"/>
              </w:rPr>
            </w:pPr>
            <w:r>
              <w:rPr>
                <w:rFonts w:hint="eastAsia" w:ascii="宋体" w:hAnsi="宋体"/>
                <w:sz w:val="24"/>
              </w:rPr>
              <w:t>至系统重构及系统更新工作全部完成并通过甲方验收后进入为期一年的质保期，质保期结束时系统能正常运行，支付合同金额5%的质保金。</w:t>
            </w:r>
          </w:p>
        </w:tc>
      </w:tr>
    </w:tbl>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投标文件</w:t>
      </w:r>
    </w:p>
    <w:p>
      <w:pPr>
        <w:spacing w:line="360" w:lineRule="auto"/>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根据采购人要求的投标文件格式，进行密封报价（盖章）。投标文件应包含以下内容：</w:t>
      </w:r>
    </w:p>
    <w:p>
      <w:pPr>
        <w:pStyle w:val="22"/>
        <w:numPr>
          <w:ilvl w:val="0"/>
          <w:numId w:val="5"/>
        </w:numPr>
        <w:spacing w:line="360" w:lineRule="auto"/>
        <w:ind w:firstLineChars="0"/>
        <w:rPr>
          <w:rFonts w:asciiTheme="minorEastAsia" w:hAnsiTheme="minorEastAsia"/>
          <w:sz w:val="28"/>
          <w:szCs w:val="28"/>
        </w:rPr>
      </w:pPr>
      <w:r>
        <w:rPr>
          <w:rFonts w:hint="eastAsia" w:asciiTheme="minorEastAsia" w:hAnsiTheme="minorEastAsia"/>
          <w:sz w:val="28"/>
          <w:szCs w:val="28"/>
        </w:rPr>
        <w:t>技术部分（格式详见附件，加盖公章）</w:t>
      </w:r>
    </w:p>
    <w:p>
      <w:pPr>
        <w:spacing w:line="360" w:lineRule="auto"/>
        <w:ind w:firstLine="708" w:firstLineChars="253"/>
        <w:rPr>
          <w:rFonts w:asciiTheme="minorEastAsia" w:hAnsiTheme="minorEastAsia" w:eastAsiaTheme="minorEastAsia"/>
          <w:sz w:val="28"/>
          <w:szCs w:val="28"/>
        </w:rPr>
      </w:pPr>
      <w:r>
        <w:rPr>
          <w:rFonts w:hint="eastAsia" w:asciiTheme="minorEastAsia" w:hAnsiTheme="minorEastAsia" w:eastAsiaTheme="minorEastAsia"/>
          <w:sz w:val="28"/>
          <w:szCs w:val="28"/>
        </w:rPr>
        <w:t>技术服务方案：</w:t>
      </w:r>
      <w:r>
        <w:rPr>
          <w:rFonts w:hint="eastAsia" w:asciiTheme="minorEastAsia" w:hAnsiTheme="minorEastAsia" w:eastAsiaTheme="minorEastAsia"/>
          <w:b/>
          <w:sz w:val="28"/>
          <w:szCs w:val="28"/>
        </w:rPr>
        <w:t>服务单位应充分了解服务内容，并针对本项目制定切实可行的</w:t>
      </w:r>
      <w:r>
        <w:rPr>
          <w:rFonts w:hint="eastAsia" w:asciiTheme="minorEastAsia" w:hAnsiTheme="minorEastAsia" w:eastAsiaTheme="minorEastAsia"/>
          <w:b/>
          <w:sz w:val="28"/>
          <w:szCs w:val="28"/>
          <w:u w:val="double"/>
        </w:rPr>
        <w:t>技术和服务响应方案</w:t>
      </w:r>
      <w:r>
        <w:rPr>
          <w:rFonts w:hint="eastAsia" w:asciiTheme="minorEastAsia" w:hAnsiTheme="minorEastAsia" w:eastAsiaTheme="minorEastAsia"/>
          <w:sz w:val="28"/>
          <w:szCs w:val="28"/>
        </w:rPr>
        <w:t>，包括但不限于：</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对项目的理解和重点难点分析；</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维保方案；</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系统重构及系统更新方案；</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系统重构及系统更新后质保服务方案</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系统重构及更新过程中对系统</w:t>
      </w:r>
      <w:r>
        <w:rPr>
          <w:rFonts w:cs="Times New Roman" w:asciiTheme="minorEastAsia" w:hAnsiTheme="minorEastAsia"/>
          <w:sz w:val="28"/>
          <w:szCs w:val="28"/>
        </w:rPr>
        <w:t>安全性、</w:t>
      </w:r>
      <w:r>
        <w:rPr>
          <w:rFonts w:hint="eastAsia" w:cs="Times New Roman" w:asciiTheme="minorEastAsia" w:hAnsiTheme="minorEastAsia"/>
          <w:sz w:val="28"/>
          <w:szCs w:val="28"/>
        </w:rPr>
        <w:t>可</w:t>
      </w:r>
      <w:r>
        <w:rPr>
          <w:rFonts w:cs="Times New Roman" w:asciiTheme="minorEastAsia" w:hAnsiTheme="minorEastAsia"/>
          <w:sz w:val="28"/>
          <w:szCs w:val="28"/>
        </w:rPr>
        <w:t>扩展性</w:t>
      </w:r>
      <w:r>
        <w:rPr>
          <w:rFonts w:hint="eastAsia" w:cs="Times New Roman" w:asciiTheme="minorEastAsia" w:hAnsiTheme="minorEastAsia"/>
          <w:sz w:val="28"/>
          <w:szCs w:val="28"/>
        </w:rPr>
        <w:t>以及数据备份的方案及相关措施；</w:t>
      </w:r>
    </w:p>
    <w:p>
      <w:pPr>
        <w:pStyle w:val="22"/>
        <w:numPr>
          <w:ilvl w:val="1"/>
          <w:numId w:val="6"/>
        </w:numPr>
        <w:spacing w:line="360" w:lineRule="auto"/>
        <w:ind w:left="993" w:hanging="426" w:firstLineChars="0"/>
        <w:rPr>
          <w:rFonts w:cs="Times New Roman" w:asciiTheme="minorEastAsia" w:hAnsiTheme="minorEastAsia"/>
          <w:sz w:val="28"/>
          <w:szCs w:val="28"/>
        </w:rPr>
      </w:pPr>
      <w:r>
        <w:rPr>
          <w:rFonts w:cs="Times New Roman" w:asciiTheme="minorEastAsia" w:hAnsiTheme="minorEastAsia"/>
          <w:sz w:val="28"/>
          <w:szCs w:val="28"/>
        </w:rPr>
        <w:t>工期计划</w:t>
      </w:r>
      <w:r>
        <w:rPr>
          <w:rFonts w:hint="eastAsia" w:cs="Times New Roman" w:asciiTheme="minorEastAsia" w:hAnsiTheme="minorEastAsia"/>
          <w:sz w:val="28"/>
          <w:szCs w:val="28"/>
        </w:rPr>
        <w:t>；</w:t>
      </w:r>
    </w:p>
    <w:p>
      <w:pPr>
        <w:pStyle w:val="22"/>
        <w:numPr>
          <w:ilvl w:val="1"/>
          <w:numId w:val="6"/>
        </w:numPr>
        <w:spacing w:line="360" w:lineRule="auto"/>
        <w:ind w:left="993" w:hanging="426" w:firstLineChars="0"/>
        <w:rPr>
          <w:rFonts w:cs="Times New Roman" w:asciiTheme="minorEastAsia" w:hAnsiTheme="minorEastAsia"/>
          <w:sz w:val="28"/>
          <w:szCs w:val="28"/>
        </w:rPr>
      </w:pPr>
      <w:r>
        <w:rPr>
          <w:rFonts w:hint="eastAsia" w:cs="Times New Roman" w:asciiTheme="minorEastAsia" w:hAnsiTheme="minorEastAsia"/>
          <w:sz w:val="28"/>
          <w:szCs w:val="28"/>
        </w:rPr>
        <w:t>投标人认为其它需要说明的文字。</w:t>
      </w:r>
    </w:p>
    <w:p>
      <w:pPr>
        <w:pStyle w:val="22"/>
        <w:numPr>
          <w:ilvl w:val="0"/>
          <w:numId w:val="5"/>
        </w:numPr>
        <w:spacing w:line="360" w:lineRule="auto"/>
        <w:ind w:firstLineChars="0"/>
        <w:rPr>
          <w:rFonts w:asciiTheme="minorEastAsia" w:hAnsiTheme="minorEastAsia"/>
          <w:sz w:val="28"/>
          <w:szCs w:val="28"/>
        </w:rPr>
      </w:pPr>
      <w:r>
        <w:rPr>
          <w:rFonts w:hint="eastAsia" w:asciiTheme="minorEastAsia" w:hAnsiTheme="minorEastAsia"/>
          <w:sz w:val="28"/>
          <w:szCs w:val="28"/>
        </w:rPr>
        <w:t>商务部分（提供复印件，并加盖公章）</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有效的企业工商营业执照、企业法人组织机构代码证书、税务登记证书（或三证合一）；</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cs="Arial" w:asciiTheme="minorEastAsia" w:hAnsiTheme="minorEastAsia"/>
          <w:color w:val="000000"/>
          <w:sz w:val="28"/>
          <w:szCs w:val="28"/>
        </w:rPr>
        <w:t>“信用中国”网站（www.creditchina.gov.cn）的信用记录查询结果截图并打印页面加盖公章。</w:t>
      </w:r>
    </w:p>
    <w:p>
      <w:pPr>
        <w:pStyle w:val="22"/>
        <w:numPr>
          <w:ilvl w:val="1"/>
          <w:numId w:val="7"/>
        </w:numPr>
        <w:tabs>
          <w:tab w:val="left" w:pos="993"/>
        </w:tabs>
        <w:spacing w:line="360" w:lineRule="auto"/>
        <w:ind w:left="0" w:firstLine="567"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在投标活动中3年内没有重大违法活动和涉嫌违规行为声明。（格式自拟）</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供应商调查表（格式见附件2）；</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法定代表人证明书、法定代表人授权委托书原件（格式见附件3和附件4）；</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相关资质证书；</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本工程拟派项目负责人简历表</w:t>
      </w:r>
      <w:r>
        <w:rPr>
          <w:rFonts w:asciiTheme="minorEastAsia" w:hAnsiTheme="minorEastAsia"/>
          <w:sz w:val="28"/>
          <w:szCs w:val="28"/>
        </w:rPr>
        <w:t>（包括姓名、部门和职务、</w:t>
      </w:r>
      <w:r>
        <w:rPr>
          <w:rFonts w:hint="eastAsia" w:asciiTheme="minorEastAsia" w:hAnsiTheme="minorEastAsia"/>
          <w:sz w:val="28"/>
          <w:szCs w:val="28"/>
        </w:rPr>
        <w:t>所学专业和</w:t>
      </w:r>
      <w:r>
        <w:rPr>
          <w:rFonts w:asciiTheme="minorEastAsia" w:hAnsiTheme="minorEastAsia"/>
          <w:sz w:val="28"/>
          <w:szCs w:val="28"/>
        </w:rPr>
        <w:t>毕业</w:t>
      </w:r>
      <w:r>
        <w:rPr>
          <w:rFonts w:hint="eastAsia" w:asciiTheme="minorEastAsia" w:hAnsiTheme="minorEastAsia"/>
          <w:sz w:val="28"/>
          <w:szCs w:val="28"/>
        </w:rPr>
        <w:t>院校名称及毕业</w:t>
      </w:r>
      <w:r>
        <w:rPr>
          <w:rFonts w:asciiTheme="minorEastAsia" w:hAnsiTheme="minorEastAsia"/>
          <w:sz w:val="28"/>
          <w:szCs w:val="28"/>
        </w:rPr>
        <w:t>时间、主要资历、经验及承担过的</w:t>
      </w:r>
      <w:r>
        <w:rPr>
          <w:rFonts w:hint="eastAsia" w:asciiTheme="minorEastAsia" w:hAnsiTheme="minorEastAsia"/>
          <w:sz w:val="28"/>
          <w:szCs w:val="28"/>
        </w:rPr>
        <w:t>类似</w:t>
      </w:r>
      <w:r>
        <w:rPr>
          <w:rFonts w:asciiTheme="minorEastAsia" w:hAnsiTheme="minorEastAsia"/>
          <w:sz w:val="28"/>
          <w:szCs w:val="28"/>
        </w:rPr>
        <w:t>项目</w:t>
      </w:r>
      <w:r>
        <w:rPr>
          <w:rFonts w:hint="eastAsia" w:asciiTheme="minorEastAsia" w:hAnsiTheme="minorEastAsia"/>
          <w:sz w:val="28"/>
          <w:szCs w:val="28"/>
        </w:rPr>
        <w:t>，</w:t>
      </w:r>
      <w:r>
        <w:rPr>
          <w:rFonts w:asciiTheme="minorEastAsia" w:hAnsiTheme="minorEastAsia"/>
          <w:sz w:val="28"/>
          <w:szCs w:val="28"/>
        </w:rPr>
        <w:t>获得认证资质证书</w:t>
      </w:r>
      <w:r>
        <w:rPr>
          <w:rFonts w:hint="eastAsia" w:asciiTheme="minorEastAsia" w:hAnsiTheme="minorEastAsia"/>
          <w:sz w:val="28"/>
          <w:szCs w:val="28"/>
        </w:rPr>
        <w:t>及复印件</w:t>
      </w:r>
      <w:r>
        <w:rPr>
          <w:rFonts w:asciiTheme="minorEastAsia" w:hAnsiTheme="minorEastAsia"/>
          <w:sz w:val="28"/>
          <w:szCs w:val="28"/>
        </w:rPr>
        <w:t>）</w:t>
      </w:r>
      <w:r>
        <w:rPr>
          <w:rFonts w:hint="eastAsia" w:asciiTheme="minorEastAsia" w:hAnsiTheme="minorEastAsia"/>
          <w:sz w:val="28"/>
          <w:szCs w:val="28"/>
        </w:rPr>
        <w:t>；</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本工程拟派项目团队成员的简历表</w:t>
      </w:r>
      <w:r>
        <w:rPr>
          <w:rFonts w:asciiTheme="minorEastAsia" w:hAnsiTheme="minorEastAsia"/>
          <w:sz w:val="28"/>
          <w:szCs w:val="28"/>
        </w:rPr>
        <w:t>（包括姓名、部门和职务、</w:t>
      </w:r>
      <w:r>
        <w:rPr>
          <w:rFonts w:hint="eastAsia" w:asciiTheme="minorEastAsia" w:hAnsiTheme="minorEastAsia"/>
          <w:sz w:val="28"/>
          <w:szCs w:val="28"/>
        </w:rPr>
        <w:t>所学专业和</w:t>
      </w:r>
      <w:r>
        <w:rPr>
          <w:rFonts w:asciiTheme="minorEastAsia" w:hAnsiTheme="minorEastAsia"/>
          <w:sz w:val="28"/>
          <w:szCs w:val="28"/>
        </w:rPr>
        <w:t>毕业</w:t>
      </w:r>
      <w:r>
        <w:rPr>
          <w:rFonts w:hint="eastAsia" w:asciiTheme="minorEastAsia" w:hAnsiTheme="minorEastAsia"/>
          <w:sz w:val="28"/>
          <w:szCs w:val="28"/>
        </w:rPr>
        <w:t>院校名称及毕业</w:t>
      </w:r>
      <w:r>
        <w:rPr>
          <w:rFonts w:asciiTheme="minorEastAsia" w:hAnsiTheme="minorEastAsia"/>
          <w:sz w:val="28"/>
          <w:szCs w:val="28"/>
        </w:rPr>
        <w:t>时间、主要资历、经验及承担过的</w:t>
      </w:r>
      <w:r>
        <w:rPr>
          <w:rFonts w:hint="eastAsia" w:asciiTheme="minorEastAsia" w:hAnsiTheme="minorEastAsia"/>
          <w:sz w:val="28"/>
          <w:szCs w:val="28"/>
        </w:rPr>
        <w:t>类似</w:t>
      </w:r>
      <w:r>
        <w:rPr>
          <w:rFonts w:asciiTheme="minorEastAsia" w:hAnsiTheme="minorEastAsia"/>
          <w:sz w:val="28"/>
          <w:szCs w:val="28"/>
        </w:rPr>
        <w:t>项目</w:t>
      </w:r>
      <w:r>
        <w:rPr>
          <w:rFonts w:hint="eastAsia" w:asciiTheme="minorEastAsia" w:hAnsiTheme="minorEastAsia"/>
          <w:sz w:val="28"/>
          <w:szCs w:val="28"/>
        </w:rPr>
        <w:t>，</w:t>
      </w:r>
      <w:r>
        <w:rPr>
          <w:rFonts w:asciiTheme="minorEastAsia" w:hAnsiTheme="minorEastAsia"/>
          <w:sz w:val="28"/>
          <w:szCs w:val="28"/>
        </w:rPr>
        <w:t>获得认证资质证书</w:t>
      </w:r>
      <w:r>
        <w:rPr>
          <w:rFonts w:hint="eastAsia" w:asciiTheme="minorEastAsia" w:hAnsiTheme="minorEastAsia"/>
          <w:sz w:val="28"/>
          <w:szCs w:val="28"/>
        </w:rPr>
        <w:t>及复印件</w:t>
      </w:r>
      <w:r>
        <w:rPr>
          <w:rFonts w:asciiTheme="minorEastAsia" w:hAnsiTheme="minorEastAsia"/>
          <w:sz w:val="28"/>
          <w:szCs w:val="28"/>
        </w:rPr>
        <w:t>）</w:t>
      </w:r>
      <w:r>
        <w:rPr>
          <w:rFonts w:hint="eastAsia" w:asciiTheme="minorEastAsia" w:hAnsiTheme="minorEastAsia"/>
          <w:sz w:val="28"/>
          <w:szCs w:val="28"/>
        </w:rPr>
        <w:t>等</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2019年1月1日至今完成过类似项目业绩（提供合同复印件）；</w:t>
      </w:r>
    </w:p>
    <w:p>
      <w:pPr>
        <w:pStyle w:val="22"/>
        <w:numPr>
          <w:ilvl w:val="1"/>
          <w:numId w:val="7"/>
        </w:numPr>
        <w:tabs>
          <w:tab w:val="left" w:pos="993"/>
        </w:tabs>
        <w:spacing w:line="360" w:lineRule="auto"/>
        <w:ind w:left="0" w:firstLine="567" w:firstLineChars="0"/>
        <w:rPr>
          <w:rFonts w:asciiTheme="minorEastAsia" w:hAnsiTheme="minorEastAsia"/>
          <w:sz w:val="28"/>
          <w:szCs w:val="28"/>
        </w:rPr>
      </w:pPr>
      <w:r>
        <w:rPr>
          <w:rFonts w:hint="eastAsia" w:asciiTheme="minorEastAsia" w:hAnsiTheme="minorEastAsia"/>
          <w:sz w:val="28"/>
          <w:szCs w:val="28"/>
        </w:rPr>
        <w:t>投标人认为有必要的其他资质等材料复印件。</w:t>
      </w:r>
    </w:p>
    <w:p>
      <w:pPr>
        <w:pStyle w:val="22"/>
        <w:numPr>
          <w:ilvl w:val="0"/>
          <w:numId w:val="5"/>
        </w:numPr>
        <w:spacing w:line="360" w:lineRule="auto"/>
        <w:ind w:firstLineChars="0"/>
        <w:rPr>
          <w:rFonts w:asciiTheme="minorEastAsia" w:hAnsiTheme="minorEastAsia"/>
          <w:sz w:val="28"/>
          <w:szCs w:val="28"/>
        </w:rPr>
      </w:pPr>
      <w:r>
        <w:rPr>
          <w:rFonts w:hint="eastAsia" w:asciiTheme="minorEastAsia" w:hAnsiTheme="minorEastAsia"/>
          <w:sz w:val="28"/>
          <w:szCs w:val="28"/>
        </w:rPr>
        <w:t>投标报价（</w:t>
      </w:r>
      <w:r>
        <w:rPr>
          <w:rFonts w:hint="eastAsia" w:cs="Arial" w:asciiTheme="minorEastAsia" w:hAnsiTheme="minorEastAsia"/>
          <w:color w:val="000000"/>
          <w:sz w:val="28"/>
          <w:szCs w:val="28"/>
        </w:rPr>
        <w:t>格式见附件1，</w:t>
      </w:r>
      <w:r>
        <w:rPr>
          <w:rFonts w:hint="eastAsia" w:asciiTheme="minorEastAsia" w:hAnsiTheme="minorEastAsia"/>
          <w:sz w:val="28"/>
          <w:szCs w:val="28"/>
        </w:rPr>
        <w:t>加盖公章）</w:t>
      </w:r>
    </w:p>
    <w:p>
      <w:pPr>
        <w:pStyle w:val="21"/>
        <w:numPr>
          <w:ilvl w:val="1"/>
          <w:numId w:val="8"/>
        </w:numPr>
        <w:adjustRightInd/>
        <w:snapToGrid/>
        <w:spacing w:after="0" w:line="360" w:lineRule="auto"/>
        <w:ind w:left="993" w:hanging="426" w:firstLineChars="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报价一览表</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评标方法</w:t>
      </w:r>
    </w:p>
    <w:p>
      <w:pPr>
        <w:spacing w:line="360" w:lineRule="auto"/>
        <w:ind w:firstLine="560" w:firstLineChars="200"/>
        <w:rPr>
          <w:rFonts w:cs="Arial" w:asciiTheme="minorEastAsia" w:hAnsiTheme="minorEastAsia" w:eastAsiaTheme="minorEastAsia"/>
          <w:color w:val="000000"/>
          <w:kern w:val="0"/>
          <w:sz w:val="28"/>
          <w:szCs w:val="28"/>
        </w:rPr>
      </w:pPr>
      <w:r>
        <w:rPr>
          <w:rFonts w:hint="eastAsia" w:cs="Arial" w:asciiTheme="minorEastAsia" w:hAnsiTheme="minorEastAsia" w:eastAsiaTheme="minorEastAsia"/>
          <w:color w:val="000000"/>
          <w:kern w:val="0"/>
          <w:sz w:val="28"/>
          <w:szCs w:val="28"/>
        </w:rPr>
        <w:t>本项目采用综合评估法，对投标人进行价格、商务、技术和信用评审，其中价格评审部分占40%，商务评审部分占15%（其中供应商诚信部分占2%），技术评审占45%，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递交投标文件</w:t>
      </w:r>
    </w:p>
    <w:p>
      <w:pPr>
        <w:pStyle w:val="22"/>
        <w:numPr>
          <w:ilvl w:val="0"/>
          <w:numId w:val="9"/>
        </w:numPr>
        <w:spacing w:line="360" w:lineRule="auto"/>
        <w:ind w:left="0" w:firstLine="560" w:firstLineChars="0"/>
        <w:rPr>
          <w:rFonts w:asciiTheme="minorEastAsia" w:hAnsiTheme="minorEastAsia"/>
          <w:sz w:val="28"/>
          <w:szCs w:val="28"/>
        </w:rPr>
      </w:pPr>
      <w:r>
        <w:rPr>
          <w:rFonts w:hint="eastAsia" w:cs="宋体" w:asciiTheme="minorEastAsia" w:hAnsiTheme="minorEastAsia"/>
          <w:sz w:val="28"/>
          <w:szCs w:val="28"/>
        </w:rPr>
        <w:t>投标文件纸质文件一式一份，盖章扫描件电子版一份。纸质文件递交截止时间：</w:t>
      </w:r>
      <w:r>
        <w:rPr>
          <w:rFonts w:hint="eastAsia" w:cs="宋体" w:asciiTheme="minorEastAsia" w:hAnsiTheme="minorEastAsia"/>
          <w:color w:val="FF0000"/>
          <w:sz w:val="28"/>
          <w:szCs w:val="28"/>
        </w:rPr>
        <w:t>2022年4月11日</w:t>
      </w:r>
      <w:r>
        <w:rPr>
          <w:rFonts w:hint="eastAsia" w:cs="宋体" w:asciiTheme="minorEastAsia" w:hAnsiTheme="minorEastAsia"/>
          <w:sz w:val="28"/>
          <w:szCs w:val="28"/>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Theme="minorEastAsia" w:hAnsiTheme="minorEastAsia"/>
          <w:b/>
          <w:bCs/>
          <w:sz w:val="28"/>
          <w:szCs w:val="28"/>
        </w:rPr>
        <w:t>超算BA系统维保及逐步重构更新</w:t>
      </w:r>
      <w:r>
        <w:rPr>
          <w:rFonts w:hint="eastAsia" w:cs="宋体" w:asciiTheme="minorEastAsia" w:hAnsiTheme="minorEastAsia"/>
          <w:sz w:val="28"/>
          <w:szCs w:val="28"/>
        </w:rPr>
        <w:t>”字样。电子版可随纸质文件一同投递，或在截标后24小时内以电子邮件方式投递到邮箱：26073338@qq.com。投标供应商递交投标文件后，请联系采购人确认。</w:t>
      </w:r>
    </w:p>
    <w:p>
      <w:pPr>
        <w:pStyle w:val="22"/>
        <w:numPr>
          <w:ilvl w:val="0"/>
          <w:numId w:val="9"/>
        </w:numPr>
        <w:spacing w:line="360" w:lineRule="auto"/>
        <w:ind w:left="0" w:firstLine="560" w:firstLineChars="0"/>
        <w:rPr>
          <w:rFonts w:cs="宋体" w:asciiTheme="minorEastAsia" w:hAnsiTheme="minorEastAsia"/>
          <w:sz w:val="28"/>
          <w:szCs w:val="28"/>
        </w:rPr>
      </w:pPr>
      <w:r>
        <w:rPr>
          <w:rFonts w:hint="eastAsia" w:cs="宋体" w:asciiTheme="minorEastAsia" w:hAnsiTheme="minorEastAsia"/>
          <w:sz w:val="28"/>
          <w:szCs w:val="28"/>
        </w:rPr>
        <w:t>递交的投标文件或投标文件信封未密封，或未在骑缝处盖章或签字，或逾期送达的甲方有权不予受理。</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竞选文件公示</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本竞选文件</w:t>
      </w:r>
      <w:r>
        <w:rPr>
          <w:rFonts w:hint="eastAsia" w:asciiTheme="minorEastAsia" w:hAnsiTheme="minorEastAsia" w:eastAsiaTheme="minorEastAsia"/>
          <w:sz w:val="28"/>
          <w:szCs w:val="28"/>
        </w:rPr>
        <w:t>在广东建设工程信息网（http://www.buildinfo.com.cn/）</w:t>
      </w:r>
      <w:r>
        <w:rPr>
          <w:rFonts w:hint="eastAsia" w:cs="Arial" w:asciiTheme="minorEastAsia" w:hAnsiTheme="minorEastAsia" w:eastAsiaTheme="minorEastAsia"/>
          <w:color w:val="000000"/>
          <w:sz w:val="28"/>
          <w:szCs w:val="28"/>
        </w:rPr>
        <w:t>、</w:t>
      </w:r>
      <w:r>
        <w:rPr>
          <w:rFonts w:hint="eastAsia" w:asciiTheme="minorEastAsia" w:hAnsiTheme="minorEastAsia" w:eastAsiaTheme="minorEastAsia"/>
          <w:sz w:val="28"/>
          <w:szCs w:val="28"/>
        </w:rPr>
        <w:t>广州国企阳光采购服务平台（http://cg.gemas.com.cn/）、</w:t>
      </w:r>
      <w:r>
        <w:rPr>
          <w:rFonts w:hint="eastAsia" w:cs="Arial" w:asciiTheme="minorEastAsia" w:hAnsiTheme="minorEastAsia" w:eastAsiaTheme="minorEastAsia"/>
          <w:color w:val="000000"/>
          <w:sz w:val="28"/>
          <w:szCs w:val="28"/>
        </w:rPr>
        <w:t>广州大学城能源发展有限公司网站（网址：</w:t>
      </w:r>
      <w:r>
        <w:rPr>
          <w:rFonts w:cs="Arial" w:asciiTheme="minorEastAsia" w:hAnsiTheme="minorEastAsia" w:eastAsiaTheme="minorEastAsia"/>
          <w:color w:val="000000"/>
          <w:sz w:val="28"/>
          <w:szCs w:val="28"/>
        </w:rPr>
        <w:t>https://www.gzuci.com/</w:t>
      </w:r>
      <w:r>
        <w:rPr>
          <w:rFonts w:hint="eastAsia" w:cs="Arial" w:asciiTheme="minorEastAsia" w:hAnsiTheme="minorEastAsia" w:eastAsiaTheme="minorEastAsia"/>
          <w:color w:val="000000"/>
          <w:sz w:val="28"/>
          <w:szCs w:val="28"/>
        </w:rPr>
        <w:t>）同时发布。本竞选文件在各媒体发布的文本如有不同之处，以在广州大学城能源发展有限公司网站发布的文本为准。</w:t>
      </w:r>
    </w:p>
    <w:p>
      <w:pPr>
        <w:pStyle w:val="22"/>
        <w:numPr>
          <w:ilvl w:val="0"/>
          <w:numId w:val="1"/>
        </w:numPr>
        <w:tabs>
          <w:tab w:val="left" w:pos="540"/>
          <w:tab w:val="left" w:pos="720"/>
        </w:tabs>
        <w:spacing w:line="360" w:lineRule="auto"/>
        <w:ind w:firstLineChars="0"/>
        <w:rPr>
          <w:rFonts w:asciiTheme="minorEastAsia" w:hAnsiTheme="minorEastAsia"/>
          <w:b/>
          <w:sz w:val="28"/>
          <w:szCs w:val="28"/>
        </w:rPr>
      </w:pPr>
      <w:r>
        <w:rPr>
          <w:rFonts w:hint="eastAsia" w:asciiTheme="minorEastAsia" w:hAnsiTheme="minorEastAsia"/>
          <w:b/>
          <w:sz w:val="28"/>
          <w:szCs w:val="28"/>
        </w:rPr>
        <w:t>采购人地址及联系方式</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采购单位：广州大学城能源发展有限公司</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联系地址：广州市番禺区大学城明志街</w:t>
      </w:r>
      <w:r>
        <w:rPr>
          <w:rFonts w:cs="Arial" w:asciiTheme="minorEastAsia" w:hAnsiTheme="minorEastAsia" w:eastAsiaTheme="minorEastAsia"/>
          <w:color w:val="000000"/>
          <w:sz w:val="28"/>
          <w:szCs w:val="28"/>
        </w:rPr>
        <w:t>1</w:t>
      </w:r>
      <w:r>
        <w:rPr>
          <w:rFonts w:hint="eastAsia" w:cs="Arial" w:asciiTheme="minorEastAsia" w:hAnsiTheme="minorEastAsia" w:eastAsiaTheme="minorEastAsia"/>
          <w:color w:val="000000"/>
          <w:sz w:val="28"/>
          <w:szCs w:val="28"/>
        </w:rPr>
        <w:t>号信息枢纽楼9楼</w:t>
      </w:r>
    </w:p>
    <w:p>
      <w:pPr>
        <w:spacing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联系人：何工联系电话：0</w:t>
      </w:r>
      <w:r>
        <w:rPr>
          <w:rFonts w:cs="Arial" w:asciiTheme="minorEastAsia" w:hAnsiTheme="minorEastAsia" w:eastAsiaTheme="minorEastAsia"/>
          <w:color w:val="000000"/>
          <w:sz w:val="28"/>
          <w:szCs w:val="28"/>
        </w:rPr>
        <w:t>20-3930207</w:t>
      </w:r>
      <w:r>
        <w:rPr>
          <w:rFonts w:hint="eastAsia" w:cs="Arial" w:asciiTheme="minorEastAsia" w:hAnsiTheme="minorEastAsia" w:eastAsiaTheme="minorEastAsia"/>
          <w:color w:val="000000"/>
          <w:sz w:val="28"/>
          <w:szCs w:val="28"/>
        </w:rPr>
        <w:t>7</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附件1：投标报价</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2</w:t>
      </w:r>
      <w:r>
        <w:rPr>
          <w:rFonts w:hint="eastAsia" w:cs="Arial" w:asciiTheme="minorEastAsia" w:hAnsiTheme="minorEastAsia" w:eastAsiaTheme="minorEastAsia"/>
          <w:color w:val="000000"/>
          <w:sz w:val="28"/>
          <w:szCs w:val="28"/>
        </w:rPr>
        <w:t>：供应商调查表</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3</w:t>
      </w:r>
      <w:r>
        <w:rPr>
          <w:rFonts w:hint="eastAsia" w:cs="Arial" w:asciiTheme="minorEastAsia" w:hAnsiTheme="minorEastAsia" w:eastAsiaTheme="minorEastAsia"/>
          <w:color w:val="000000"/>
          <w:sz w:val="28"/>
          <w:szCs w:val="28"/>
        </w:rPr>
        <w:t>：法定代表人身份证明书</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w:t>
      </w:r>
      <w:r>
        <w:rPr>
          <w:rFonts w:cs="Arial" w:asciiTheme="minorEastAsia" w:hAnsiTheme="minorEastAsia" w:eastAsiaTheme="minorEastAsia"/>
          <w:color w:val="000000"/>
          <w:sz w:val="28"/>
          <w:szCs w:val="28"/>
        </w:rPr>
        <w:t>4</w:t>
      </w:r>
      <w:r>
        <w:rPr>
          <w:rFonts w:hint="eastAsia" w:cs="Arial" w:asciiTheme="minorEastAsia" w:hAnsiTheme="minorEastAsia" w:eastAsiaTheme="minorEastAsia"/>
          <w:color w:val="000000"/>
          <w:sz w:val="28"/>
          <w:szCs w:val="28"/>
        </w:rPr>
        <w:t>：法定代表人授权委托证明书</w:t>
      </w:r>
    </w:p>
    <w:p>
      <w:pPr>
        <w:spacing w:before="93" w:line="360" w:lineRule="auto"/>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附件5：投标人资格及有效性审查表</w:t>
      </w:r>
    </w:p>
    <w:p>
      <w:pPr>
        <w:spacing w:before="93" w:line="360" w:lineRule="auto"/>
        <w:ind w:firstLine="560" w:firstLineChars="200"/>
        <w:rPr>
          <w:rFonts w:cs="Arial" w:asciiTheme="minorEastAsia" w:hAnsiTheme="minorEastAsia" w:eastAsiaTheme="minorEastAsia"/>
          <w:color w:val="000000"/>
          <w:sz w:val="28"/>
          <w:szCs w:val="28"/>
        </w:rPr>
      </w:pPr>
      <w:r>
        <w:rPr>
          <w:rFonts w:cs="Arial" w:asciiTheme="minorEastAsia" w:hAnsiTheme="minorEastAsia" w:eastAsiaTheme="minorEastAsia"/>
          <w:color w:val="000000"/>
          <w:sz w:val="28"/>
          <w:szCs w:val="28"/>
        </w:rPr>
        <w:t>附件</w:t>
      </w:r>
      <w:r>
        <w:rPr>
          <w:rFonts w:hint="eastAsia" w:cs="Arial" w:asciiTheme="minorEastAsia" w:hAnsiTheme="minorEastAsia" w:eastAsiaTheme="minorEastAsia"/>
          <w:color w:val="000000"/>
          <w:sz w:val="28"/>
          <w:szCs w:val="28"/>
        </w:rPr>
        <w:t>6：</w:t>
      </w:r>
      <w:r>
        <w:rPr>
          <w:rFonts w:cs="Arial" w:asciiTheme="minorEastAsia" w:hAnsiTheme="minorEastAsia" w:eastAsiaTheme="minorEastAsia"/>
          <w:color w:val="000000"/>
          <w:sz w:val="28"/>
          <w:szCs w:val="28"/>
        </w:rPr>
        <w:t>评分标准</w:t>
      </w:r>
    </w:p>
    <w:p>
      <w:pPr>
        <w:spacing w:before="93" w:line="360" w:lineRule="auto"/>
        <w:ind w:left="360" w:firstLine="2240" w:firstLineChars="8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采购人：广州大学城能源发展有限公司</w:t>
      </w:r>
    </w:p>
    <w:p>
      <w:pPr>
        <w:spacing w:before="93" w:line="360" w:lineRule="auto"/>
        <w:ind w:left="360" w:firstLine="4480" w:firstLineChars="16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w:t>
      </w:r>
      <w:r>
        <w:rPr>
          <w:rFonts w:cs="Arial" w:asciiTheme="minorEastAsia" w:hAnsiTheme="minorEastAsia" w:eastAsiaTheme="minorEastAsia"/>
          <w:color w:val="000000"/>
          <w:sz w:val="28"/>
          <w:szCs w:val="28"/>
        </w:rPr>
        <w:t>2</w:t>
      </w:r>
      <w:r>
        <w:rPr>
          <w:rFonts w:hint="eastAsia" w:cs="Arial" w:asciiTheme="minorEastAsia" w:hAnsiTheme="minorEastAsia" w:eastAsiaTheme="minorEastAsia"/>
          <w:color w:val="000000"/>
          <w:sz w:val="28"/>
          <w:szCs w:val="28"/>
        </w:rPr>
        <w:t>2年3月25日</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hAnsi="宋体"/>
          <w:b/>
          <w:sz w:val="28"/>
          <w:szCs w:val="28"/>
        </w:rPr>
      </w:pPr>
      <w:r>
        <w:rPr>
          <w:rFonts w:hint="eastAsia" w:ascii="宋体" w:hAnsi="宋体" w:cs="Arial"/>
          <w:color w:val="000000"/>
          <w:sz w:val="30"/>
          <w:szCs w:val="30"/>
        </w:rPr>
        <w:t>附件1</w:t>
      </w:r>
    </w:p>
    <w:p>
      <w:pPr>
        <w:pStyle w:val="6"/>
        <w:spacing w:line="360" w:lineRule="auto"/>
        <w:ind w:firstLine="3684" w:firstLineChars="1315"/>
        <w:rPr>
          <w:rFonts w:hAnsi="宋体"/>
          <w:b/>
          <w:sz w:val="28"/>
          <w:szCs w:val="28"/>
        </w:rPr>
      </w:pPr>
      <w:r>
        <w:rPr>
          <w:rFonts w:hAnsi="宋体"/>
          <w:b/>
          <w:sz w:val="28"/>
          <w:szCs w:val="28"/>
        </w:rPr>
        <w:t>报价一览表</w:t>
      </w:r>
    </w:p>
    <w:p>
      <w:pPr>
        <w:spacing w:line="360" w:lineRule="auto"/>
        <w:ind w:left="1050" w:hanging="1050" w:hangingChars="500"/>
        <w:rPr>
          <w:rFonts w:hAnsi="宋体"/>
          <w:szCs w:val="21"/>
        </w:rPr>
      </w:pPr>
      <w:r>
        <w:rPr>
          <w:rFonts w:hint="eastAsia" w:hAnsi="宋体"/>
          <w:szCs w:val="21"/>
        </w:rPr>
        <w:t>项目名称：超算BA系统维保及逐步重构更新</w:t>
      </w:r>
    </w:p>
    <w:tbl>
      <w:tblPr>
        <w:tblStyle w:val="13"/>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rPr>
            </w:pPr>
            <w:r>
              <w:rPr>
                <w:rFonts w:hint="eastAsia" w:hAnsi="宋体"/>
                <w:bCs/>
                <w:sz w:val="24"/>
              </w:rPr>
              <w:t>序号</w:t>
            </w:r>
          </w:p>
        </w:tc>
        <w:tc>
          <w:tcPr>
            <w:tcW w:w="1924" w:type="dxa"/>
            <w:vAlign w:val="center"/>
          </w:tcPr>
          <w:p>
            <w:pPr>
              <w:spacing w:line="360" w:lineRule="auto"/>
              <w:jc w:val="center"/>
              <w:rPr>
                <w:rFonts w:hAnsi="宋体"/>
                <w:bCs/>
                <w:sz w:val="24"/>
              </w:rPr>
            </w:pPr>
            <w:r>
              <w:rPr>
                <w:rFonts w:hint="eastAsia" w:hAnsi="宋体"/>
                <w:bCs/>
                <w:sz w:val="24"/>
              </w:rPr>
              <w:t>项目名称</w:t>
            </w:r>
          </w:p>
        </w:tc>
        <w:tc>
          <w:tcPr>
            <w:tcW w:w="6594"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rPr>
            </w:pPr>
            <w:r>
              <w:rPr>
                <w:rFonts w:hint="eastAsia" w:hAnsi="宋体"/>
                <w:sz w:val="24"/>
              </w:rPr>
              <w:t>1</w:t>
            </w:r>
          </w:p>
        </w:tc>
        <w:tc>
          <w:tcPr>
            <w:tcW w:w="1924" w:type="dxa"/>
            <w:vAlign w:val="center"/>
          </w:tcPr>
          <w:p>
            <w:pPr>
              <w:spacing w:line="360" w:lineRule="auto"/>
              <w:jc w:val="center"/>
              <w:rPr>
                <w:rFonts w:hAnsi="宋体"/>
                <w:sz w:val="24"/>
              </w:rPr>
            </w:pPr>
            <w:r>
              <w:rPr>
                <w:rFonts w:hint="eastAsia" w:hAnsi="宋体"/>
                <w:sz w:val="24"/>
              </w:rPr>
              <w:t>投标总价（含税）</w:t>
            </w:r>
          </w:p>
        </w:tc>
        <w:tc>
          <w:tcPr>
            <w:tcW w:w="6594"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rPr>
            </w:pPr>
            <w:r>
              <w:rPr>
                <w:rFonts w:hint="eastAsia" w:hAnsi="宋体"/>
                <w:sz w:val="24"/>
              </w:rPr>
              <w:t>2</w:t>
            </w:r>
          </w:p>
        </w:tc>
        <w:tc>
          <w:tcPr>
            <w:tcW w:w="4334" w:type="dxa"/>
            <w:gridSpan w:val="2"/>
            <w:vAlign w:val="center"/>
          </w:tcPr>
          <w:p>
            <w:pPr>
              <w:spacing w:line="360" w:lineRule="auto"/>
              <w:jc w:val="center"/>
              <w:rPr>
                <w:rFonts w:hAnsi="宋体"/>
                <w:sz w:val="24"/>
              </w:rPr>
            </w:pPr>
            <w:r>
              <w:rPr>
                <w:rFonts w:hint="eastAsia" w:hAnsi="宋体"/>
                <w:sz w:val="24"/>
              </w:rPr>
              <w:t>投标工期</w:t>
            </w:r>
          </w:p>
        </w:tc>
        <w:tc>
          <w:tcPr>
            <w:tcW w:w="418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3</w:t>
            </w:r>
          </w:p>
        </w:tc>
        <w:tc>
          <w:tcPr>
            <w:tcW w:w="1924"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4</w:t>
            </w:r>
          </w:p>
        </w:tc>
        <w:tc>
          <w:tcPr>
            <w:tcW w:w="1924" w:type="dxa"/>
            <w:vMerge w:val="restart"/>
            <w:vAlign w:val="center"/>
          </w:tcPr>
          <w:p>
            <w:pPr>
              <w:spacing w:line="360" w:lineRule="auto"/>
              <w:jc w:val="center"/>
              <w:rPr>
                <w:rFonts w:hAnsi="宋体"/>
                <w:sz w:val="24"/>
              </w:rPr>
            </w:pPr>
            <w:r>
              <w:rPr>
                <w:rFonts w:hint="eastAsia" w:hAnsi="宋体"/>
                <w:sz w:val="24"/>
              </w:rPr>
              <w:t>拟委派的团队</w:t>
            </w:r>
          </w:p>
          <w:p>
            <w:pPr>
              <w:spacing w:line="360" w:lineRule="auto"/>
              <w:jc w:val="center"/>
              <w:rPr>
                <w:rFonts w:hAnsi="宋体"/>
                <w:sz w:val="24"/>
              </w:rPr>
            </w:pPr>
            <w:r>
              <w:rPr>
                <w:rFonts w:hint="eastAsia" w:hAnsi="宋体"/>
                <w:sz w:val="24"/>
              </w:rPr>
              <w:t>（项目主要咨询和编写人员）</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w:t>
            </w:r>
          </w:p>
        </w:tc>
        <w:tc>
          <w:tcPr>
            <w:tcW w:w="4184" w:type="dxa"/>
            <w:vAlign w:val="center"/>
          </w:tcPr>
          <w:p>
            <w:pPr>
              <w:spacing w:line="360" w:lineRule="auto"/>
              <w:jc w:val="center"/>
              <w:rPr>
                <w:rFonts w:hAnsi="宋体"/>
                <w:sz w:val="24"/>
              </w:rPr>
            </w:pPr>
          </w:p>
        </w:tc>
      </w:tr>
    </w:tbl>
    <w:p>
      <w:pPr>
        <w:spacing w:line="360" w:lineRule="auto"/>
        <w:ind w:firstLine="440"/>
        <w:rPr>
          <w:rFonts w:hAnsi="宋体"/>
        </w:rPr>
      </w:pPr>
    </w:p>
    <w:p>
      <w:pPr>
        <w:spacing w:line="360" w:lineRule="auto"/>
        <w:rPr>
          <w:rFonts w:hAnsi="宋体"/>
        </w:rPr>
      </w:pPr>
      <w:r>
        <w:rPr>
          <w:rFonts w:hint="eastAsia" w:hAnsi="宋体"/>
        </w:rPr>
        <w:t>注：（1）投标总价为人民币报价。</w:t>
      </w:r>
    </w:p>
    <w:p>
      <w:pPr>
        <w:tabs>
          <w:tab w:val="left" w:pos="8364"/>
        </w:tabs>
        <w:spacing w:line="360" w:lineRule="auto"/>
        <w:ind w:firstLine="283" w:firstLineChars="135"/>
        <w:rPr>
          <w:rFonts w:hAnsi="宋体"/>
        </w:rPr>
      </w:pPr>
      <w:r>
        <w:rPr>
          <w:rFonts w:hint="eastAsia" w:hAnsi="宋体"/>
        </w:rPr>
        <w:t>（2）投标总价应包括投标人完成本项目（如果中标）所必须的所有成本费用和投标人应承担的一切税费，包括但不限于全部维保费、编程费、实施费、人工费、交通、差旅费、利润</w:t>
      </w:r>
      <w:r>
        <w:rPr>
          <w:rFonts w:hAnsi="宋体"/>
        </w:rPr>
        <w:t>及税费</w:t>
      </w:r>
      <w:r>
        <w:rPr>
          <w:rFonts w:hint="eastAsia" w:hAnsi="宋体"/>
        </w:rPr>
        <w:t>等完成项目内容所需的全部费用。投标人认为需要发生的其他相关服务等等。</w:t>
      </w:r>
    </w:p>
    <w:p>
      <w:pPr>
        <w:tabs>
          <w:tab w:val="left" w:pos="8364"/>
        </w:tabs>
        <w:spacing w:line="360" w:lineRule="auto"/>
        <w:ind w:firstLine="283" w:firstLineChars="135"/>
        <w:rPr>
          <w:rFonts w:hAnsi="宋体"/>
        </w:rPr>
      </w:pPr>
      <w:r>
        <w:rPr>
          <w:rFonts w:hint="eastAsia" w:hAnsi="宋体"/>
        </w:rPr>
        <w:t>（3）若用小写表示的金额和用大写表示的金额不一致，以大写表示的金额为准。</w:t>
      </w:r>
    </w:p>
    <w:p>
      <w:pPr>
        <w:spacing w:beforeLines="30" w:line="360" w:lineRule="auto"/>
        <w:rPr>
          <w:rFonts w:hAnsi="宋体"/>
          <w:szCs w:val="21"/>
        </w:rPr>
      </w:pPr>
    </w:p>
    <w:p>
      <w:pPr>
        <w:spacing w:beforeLines="30" w:line="360" w:lineRule="auto"/>
        <w:rPr>
          <w:rFonts w:hAnsi="宋体"/>
          <w:szCs w:val="21"/>
        </w:rPr>
      </w:pPr>
    </w:p>
    <w:p>
      <w:pPr>
        <w:spacing w:beforeLines="30" w:line="360" w:lineRule="auto"/>
        <w:rPr>
          <w:rFonts w:hAnsi="宋体"/>
          <w:szCs w:val="21"/>
        </w:rPr>
      </w:pPr>
      <w:r>
        <w:rPr>
          <w:rFonts w:hint="eastAsia" w:hAnsi="宋体"/>
          <w:szCs w:val="21"/>
        </w:rPr>
        <w:t>投标人名称（盖章）：日期：</w:t>
      </w:r>
      <w:r>
        <w:rPr>
          <w:rFonts w:hAnsi="宋体"/>
          <w:szCs w:val="21"/>
        </w:rPr>
        <w:t>202</w:t>
      </w:r>
      <w:r>
        <w:rPr>
          <w:rFonts w:hint="eastAsia" w:hAnsi="宋体"/>
          <w:szCs w:val="21"/>
        </w:rPr>
        <w:t>2年月日</w:t>
      </w:r>
    </w:p>
    <w:p>
      <w:pPr>
        <w:spacing w:line="360" w:lineRule="auto"/>
        <w:rPr>
          <w:rFonts w:ascii="宋体" w:hAnsi="宋体" w:cs="Arial"/>
          <w:color w:val="000000"/>
          <w:sz w:val="30"/>
          <w:szCs w:val="30"/>
        </w:rPr>
      </w:pPr>
    </w:p>
    <w:p>
      <w:pPr>
        <w:pStyle w:val="6"/>
        <w:spacing w:line="360" w:lineRule="auto"/>
        <w:ind w:firstLine="3684" w:firstLineChars="1315"/>
        <w:rPr>
          <w:rFonts w:hAnsi="宋体"/>
          <w:b/>
          <w:sz w:val="28"/>
          <w:szCs w:val="28"/>
        </w:rPr>
      </w:pPr>
      <w:r>
        <w:rPr>
          <w:rFonts w:hAnsi="宋体"/>
          <w:b/>
          <w:sz w:val="28"/>
          <w:szCs w:val="28"/>
        </w:rPr>
        <w:t>报价</w:t>
      </w:r>
      <w:r>
        <w:rPr>
          <w:rFonts w:hint="eastAsia" w:hAnsi="宋体"/>
          <w:b/>
          <w:sz w:val="28"/>
          <w:szCs w:val="28"/>
        </w:rPr>
        <w:t>明细</w:t>
      </w:r>
      <w:r>
        <w:rPr>
          <w:rFonts w:hAnsi="宋体"/>
          <w:b/>
          <w:sz w:val="28"/>
          <w:szCs w:val="28"/>
        </w:rPr>
        <w:t>表</w:t>
      </w:r>
    </w:p>
    <w:p>
      <w:pPr>
        <w:spacing w:line="360" w:lineRule="auto"/>
        <w:ind w:left="1050" w:hanging="1050" w:hangingChars="500"/>
        <w:rPr>
          <w:rFonts w:hAnsi="宋体"/>
          <w:szCs w:val="21"/>
        </w:rPr>
      </w:pPr>
      <w:r>
        <w:rPr>
          <w:rFonts w:hint="eastAsia" w:hAnsi="宋体"/>
          <w:szCs w:val="21"/>
        </w:rPr>
        <w:t>项目名称：超算BA系统维保及逐步重构更新</w:t>
      </w:r>
    </w:p>
    <w:tbl>
      <w:tblPr>
        <w:tblStyle w:val="13"/>
        <w:tblW w:w="9720" w:type="dxa"/>
        <w:tblInd w:w="-707" w:type="dxa"/>
        <w:tblLayout w:type="fixed"/>
        <w:tblCellMar>
          <w:top w:w="0" w:type="dxa"/>
          <w:left w:w="108" w:type="dxa"/>
          <w:bottom w:w="0" w:type="dxa"/>
          <w:right w:w="108" w:type="dxa"/>
        </w:tblCellMar>
      </w:tblPr>
      <w:tblGrid>
        <w:gridCol w:w="815"/>
        <w:gridCol w:w="2851"/>
        <w:gridCol w:w="1432"/>
        <w:gridCol w:w="965"/>
        <w:gridCol w:w="676"/>
        <w:gridCol w:w="1357"/>
        <w:gridCol w:w="1624"/>
      </w:tblGrid>
      <w:tr>
        <w:tblPrEx>
          <w:tblLayout w:type="fixed"/>
          <w:tblCellMar>
            <w:top w:w="0" w:type="dxa"/>
            <w:left w:w="108" w:type="dxa"/>
            <w:bottom w:w="0" w:type="dxa"/>
            <w:right w:w="108" w:type="dxa"/>
          </w:tblCellMar>
        </w:tblPrEx>
        <w:trPr>
          <w:trHeight w:val="525" w:hRule="atLeast"/>
        </w:trPr>
        <w:tc>
          <w:tcPr>
            <w:tcW w:w="9720" w:type="dxa"/>
            <w:gridSpan w:val="7"/>
            <w:tcBorders>
              <w:top w:val="single" w:color="auto" w:sz="8" w:space="0"/>
              <w:left w:val="single" w:color="auto" w:sz="8" w:space="0"/>
              <w:bottom w:val="single" w:color="auto" w:sz="8" w:space="0"/>
              <w:right w:val="nil"/>
            </w:tcBorders>
            <w:shd w:val="clear" w:color="auto" w:fill="auto"/>
            <w:noWrap/>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维 保 服 务 费 用报 价</w:t>
            </w:r>
          </w:p>
        </w:tc>
      </w:tr>
      <w:tr>
        <w:tblPrEx>
          <w:tblLayout w:type="fixed"/>
          <w:tblCellMar>
            <w:top w:w="0" w:type="dxa"/>
            <w:left w:w="108" w:type="dxa"/>
            <w:bottom w:w="0" w:type="dxa"/>
            <w:right w:w="108" w:type="dxa"/>
          </w:tblCellMar>
        </w:tblPrEx>
        <w:trPr>
          <w:trHeight w:val="270" w:hRule="atLeast"/>
        </w:trPr>
        <w:tc>
          <w:tcPr>
            <w:tcW w:w="815" w:type="dxa"/>
            <w:tcBorders>
              <w:top w:val="nil"/>
              <w:left w:val="single" w:color="auto" w:sz="8" w:space="0"/>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2"/>
              </w:rPr>
            </w:pPr>
            <w:r>
              <w:rPr>
                <w:rFonts w:hint="eastAsia" w:cs="宋体" w:asciiTheme="minorEastAsia" w:hAnsiTheme="minorEastAsia" w:eastAsiaTheme="minorEastAsia"/>
                <w:b/>
                <w:bCs/>
                <w:kern w:val="0"/>
                <w:sz w:val="22"/>
              </w:rPr>
              <w:t>序号</w:t>
            </w:r>
          </w:p>
        </w:tc>
        <w:tc>
          <w:tcPr>
            <w:tcW w:w="2851"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2"/>
              </w:rPr>
            </w:pPr>
            <w:r>
              <w:rPr>
                <w:rFonts w:hint="eastAsia" w:cs="宋体" w:asciiTheme="minorEastAsia" w:hAnsiTheme="minorEastAsia" w:eastAsiaTheme="minorEastAsia"/>
                <w:b/>
                <w:bCs/>
                <w:kern w:val="0"/>
                <w:sz w:val="22"/>
              </w:rPr>
              <w:t>设备名称</w:t>
            </w:r>
          </w:p>
        </w:tc>
        <w:tc>
          <w:tcPr>
            <w:tcW w:w="1432"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2"/>
              </w:rPr>
            </w:pPr>
            <w:r>
              <w:rPr>
                <w:rFonts w:hint="eastAsia" w:cs="宋体" w:asciiTheme="minorEastAsia" w:hAnsiTheme="minorEastAsia" w:eastAsiaTheme="minorEastAsia"/>
                <w:b/>
                <w:bCs/>
                <w:kern w:val="0"/>
                <w:sz w:val="22"/>
              </w:rPr>
              <w:t>规格型号</w:t>
            </w:r>
          </w:p>
        </w:tc>
        <w:tc>
          <w:tcPr>
            <w:tcW w:w="965"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2"/>
              </w:rPr>
            </w:pPr>
            <w:r>
              <w:rPr>
                <w:rFonts w:hint="eastAsia" w:cs="宋体" w:asciiTheme="minorEastAsia" w:hAnsiTheme="minorEastAsia" w:eastAsiaTheme="minorEastAsia"/>
                <w:b/>
                <w:bCs/>
                <w:kern w:val="0"/>
                <w:sz w:val="22"/>
              </w:rPr>
              <w:t>数量</w:t>
            </w:r>
          </w:p>
        </w:tc>
        <w:tc>
          <w:tcPr>
            <w:tcW w:w="676"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2"/>
              </w:rPr>
            </w:pPr>
            <w:r>
              <w:rPr>
                <w:rFonts w:hint="eastAsia" w:cs="宋体" w:asciiTheme="minorEastAsia" w:hAnsiTheme="minorEastAsia" w:eastAsiaTheme="minorEastAsia"/>
                <w:b/>
                <w:bCs/>
                <w:kern w:val="0"/>
                <w:sz w:val="22"/>
              </w:rPr>
              <w:t>单位</w:t>
            </w:r>
          </w:p>
        </w:tc>
        <w:tc>
          <w:tcPr>
            <w:tcW w:w="1357"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2"/>
              </w:rPr>
            </w:pPr>
            <w:r>
              <w:rPr>
                <w:rFonts w:hint="eastAsia" w:cs="宋体" w:asciiTheme="minorEastAsia" w:hAnsiTheme="minorEastAsia" w:eastAsiaTheme="minorEastAsia"/>
                <w:b/>
                <w:bCs/>
                <w:kern w:val="0"/>
                <w:sz w:val="22"/>
              </w:rPr>
              <w:t>单价</w:t>
            </w:r>
          </w:p>
        </w:tc>
        <w:tc>
          <w:tcPr>
            <w:tcW w:w="1624"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2"/>
              </w:rPr>
            </w:pPr>
            <w:r>
              <w:rPr>
                <w:rFonts w:hint="eastAsia" w:cs="宋体" w:asciiTheme="minorEastAsia" w:hAnsiTheme="minorEastAsia" w:eastAsiaTheme="minorEastAsia"/>
                <w:b/>
                <w:bCs/>
                <w:kern w:val="0"/>
                <w:sz w:val="22"/>
              </w:rPr>
              <w:t>合价</w:t>
            </w:r>
          </w:p>
        </w:tc>
      </w:tr>
      <w:tr>
        <w:tblPrEx>
          <w:tblLayout w:type="fixed"/>
          <w:tblCellMar>
            <w:top w:w="0" w:type="dxa"/>
            <w:left w:w="108" w:type="dxa"/>
            <w:bottom w:w="0" w:type="dxa"/>
            <w:right w:w="108" w:type="dxa"/>
          </w:tblCellMar>
        </w:tblPrEx>
        <w:trPr>
          <w:trHeight w:val="270" w:hRule="atLeast"/>
        </w:trPr>
        <w:tc>
          <w:tcPr>
            <w:tcW w:w="81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28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BA系统维护点数</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rPr>
            </w:pPr>
          </w:p>
        </w:tc>
        <w:tc>
          <w:tcPr>
            <w:tcW w:w="9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135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c>
          <w:tcPr>
            <w:tcW w:w="162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r>
      <w:tr>
        <w:tblPrEx>
          <w:tblLayout w:type="fixed"/>
          <w:tblCellMar>
            <w:top w:w="0" w:type="dxa"/>
            <w:left w:w="108" w:type="dxa"/>
            <w:bottom w:w="0" w:type="dxa"/>
            <w:right w:w="108" w:type="dxa"/>
          </w:tblCellMar>
        </w:tblPrEx>
        <w:trPr>
          <w:trHeight w:val="270" w:hRule="atLeast"/>
        </w:trPr>
        <w:tc>
          <w:tcPr>
            <w:tcW w:w="81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285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 w:val="24"/>
              </w:rPr>
              <w:t>系统通讯接口</w:t>
            </w:r>
          </w:p>
        </w:tc>
        <w:tc>
          <w:tcPr>
            <w:tcW w:w="143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rPr>
            </w:pP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Tahoma" w:asciiTheme="minorEastAsia" w:hAnsiTheme="minorEastAsia" w:eastAsiaTheme="minorEastAsia"/>
                <w:kern w:val="0"/>
                <w:sz w:val="24"/>
              </w:rPr>
              <w:t>1</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1357"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c>
          <w:tcPr>
            <w:tcW w:w="1624"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r>
      <w:tr>
        <w:tblPrEx>
          <w:tblLayout w:type="fixed"/>
          <w:tblCellMar>
            <w:top w:w="0" w:type="dxa"/>
            <w:left w:w="108" w:type="dxa"/>
            <w:bottom w:w="0" w:type="dxa"/>
            <w:right w:w="108" w:type="dxa"/>
          </w:tblCellMar>
        </w:tblPrEx>
        <w:trPr>
          <w:trHeight w:val="270" w:hRule="atLeast"/>
        </w:trPr>
        <w:tc>
          <w:tcPr>
            <w:tcW w:w="81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285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备品备件</w:t>
            </w:r>
          </w:p>
        </w:tc>
        <w:tc>
          <w:tcPr>
            <w:tcW w:w="1432" w:type="dxa"/>
            <w:tcBorders>
              <w:top w:val="nil"/>
              <w:left w:val="nil"/>
              <w:bottom w:val="single" w:color="auto" w:sz="4" w:space="0"/>
              <w:right w:val="single" w:color="auto" w:sz="4" w:space="0"/>
            </w:tcBorders>
            <w:shd w:val="clear" w:color="auto" w:fill="auto"/>
            <w:vAlign w:val="center"/>
          </w:tcPr>
          <w:p>
            <w:pPr>
              <w:widowControl/>
              <w:jc w:val="left"/>
              <w:rPr>
                <w:rFonts w:cs="Tahoma" w:asciiTheme="minorEastAsia" w:hAnsiTheme="minorEastAsia" w:eastAsiaTheme="minorEastAsia"/>
                <w:kern w:val="0"/>
                <w:sz w:val="24"/>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1357"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c>
          <w:tcPr>
            <w:tcW w:w="1624"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r>
      <w:tr>
        <w:tblPrEx>
          <w:tblLayout w:type="fixed"/>
          <w:tblCellMar>
            <w:top w:w="0" w:type="dxa"/>
            <w:left w:w="108" w:type="dxa"/>
            <w:bottom w:w="0" w:type="dxa"/>
            <w:right w:w="108" w:type="dxa"/>
          </w:tblCellMar>
        </w:tblPrEx>
        <w:trPr>
          <w:trHeight w:val="270" w:hRule="atLeast"/>
        </w:trPr>
        <w:tc>
          <w:tcPr>
            <w:tcW w:w="81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285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其他费用</w:t>
            </w:r>
          </w:p>
        </w:tc>
        <w:tc>
          <w:tcPr>
            <w:tcW w:w="1432" w:type="dxa"/>
            <w:tcBorders>
              <w:top w:val="nil"/>
              <w:left w:val="nil"/>
              <w:bottom w:val="single" w:color="auto" w:sz="4" w:space="0"/>
              <w:right w:val="single" w:color="auto" w:sz="4" w:space="0"/>
            </w:tcBorders>
            <w:shd w:val="clear" w:color="auto" w:fill="auto"/>
            <w:vAlign w:val="center"/>
          </w:tcPr>
          <w:p>
            <w:pPr>
              <w:widowControl/>
              <w:jc w:val="left"/>
              <w:rPr>
                <w:rFonts w:cs="Tahoma" w:asciiTheme="minorEastAsia" w:hAnsiTheme="minorEastAsia" w:eastAsiaTheme="minorEastAsia"/>
                <w:kern w:val="0"/>
                <w:sz w:val="24"/>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w:t>
            </w:r>
          </w:p>
        </w:tc>
        <w:tc>
          <w:tcPr>
            <w:tcW w:w="1357"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c>
          <w:tcPr>
            <w:tcW w:w="1624"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p>
        </w:tc>
      </w:tr>
      <w:tr>
        <w:tblPrEx>
          <w:tblLayout w:type="fixed"/>
          <w:tblCellMar>
            <w:top w:w="0" w:type="dxa"/>
            <w:left w:w="108" w:type="dxa"/>
            <w:bottom w:w="0" w:type="dxa"/>
            <w:right w:w="108" w:type="dxa"/>
          </w:tblCellMar>
        </w:tblPrEx>
        <w:trPr>
          <w:trHeight w:val="285" w:hRule="atLeast"/>
        </w:trPr>
        <w:tc>
          <w:tcPr>
            <w:tcW w:w="815" w:type="dxa"/>
            <w:tcBorders>
              <w:top w:val="nil"/>
              <w:left w:val="single" w:color="auto" w:sz="8" w:space="0"/>
              <w:bottom w:val="single" w:color="auto" w:sz="8" w:space="0"/>
              <w:right w:val="nil"/>
            </w:tcBorders>
            <w:shd w:val="clear" w:color="auto" w:fill="auto"/>
            <w:noWrap/>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w:t>
            </w:r>
          </w:p>
        </w:tc>
        <w:tc>
          <w:tcPr>
            <w:tcW w:w="2851" w:type="dxa"/>
            <w:tcBorders>
              <w:top w:val="nil"/>
              <w:left w:val="nil"/>
              <w:bottom w:val="single" w:color="auto" w:sz="8" w:space="0"/>
              <w:right w:val="single" w:color="auto" w:sz="4" w:space="0"/>
            </w:tcBorders>
            <w:shd w:val="clear" w:color="auto" w:fill="auto"/>
            <w:noWrap/>
            <w:vAlign w:val="center"/>
          </w:tcPr>
          <w:p>
            <w:pPr>
              <w:widowControl/>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小计（小写）：</w:t>
            </w:r>
          </w:p>
        </w:tc>
        <w:tc>
          <w:tcPr>
            <w:tcW w:w="3073" w:type="dxa"/>
            <w:gridSpan w:val="3"/>
            <w:tcBorders>
              <w:top w:val="single" w:color="auto" w:sz="4" w:space="0"/>
              <w:left w:val="nil"/>
              <w:bottom w:val="single" w:color="auto" w:sz="8"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24"/>
              </w:rPr>
            </w:pPr>
          </w:p>
        </w:tc>
        <w:tc>
          <w:tcPr>
            <w:tcW w:w="2981" w:type="dxa"/>
            <w:gridSpan w:val="2"/>
            <w:tcBorders>
              <w:top w:val="single" w:color="auto" w:sz="4" w:space="0"/>
              <w:left w:val="nil"/>
              <w:bottom w:val="single" w:color="auto" w:sz="8"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24"/>
              </w:rPr>
            </w:pPr>
          </w:p>
        </w:tc>
      </w:tr>
      <w:tr>
        <w:tblPrEx>
          <w:tblLayout w:type="fixed"/>
          <w:tblCellMar>
            <w:top w:w="0" w:type="dxa"/>
            <w:left w:w="108" w:type="dxa"/>
            <w:bottom w:w="0" w:type="dxa"/>
            <w:right w:w="108" w:type="dxa"/>
          </w:tblCellMar>
        </w:tblPrEx>
        <w:trPr>
          <w:trHeight w:val="285" w:hRule="atLeast"/>
        </w:trPr>
        <w:tc>
          <w:tcPr>
            <w:tcW w:w="815"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总计</w:t>
            </w:r>
          </w:p>
        </w:tc>
        <w:tc>
          <w:tcPr>
            <w:tcW w:w="2851"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w:t>
            </w:r>
          </w:p>
        </w:tc>
        <w:tc>
          <w:tcPr>
            <w:tcW w:w="1432"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w:t>
            </w:r>
          </w:p>
        </w:tc>
        <w:tc>
          <w:tcPr>
            <w:tcW w:w="965"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w:t>
            </w:r>
          </w:p>
        </w:tc>
        <w:tc>
          <w:tcPr>
            <w:tcW w:w="676"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　</w:t>
            </w:r>
          </w:p>
        </w:tc>
        <w:tc>
          <w:tcPr>
            <w:tcW w:w="1357"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cs="宋体" w:asciiTheme="minorEastAsia" w:hAnsiTheme="minorEastAsia" w:eastAsiaTheme="minorEastAsia"/>
                <w:b/>
                <w:bCs/>
                <w:kern w:val="0"/>
                <w:sz w:val="24"/>
              </w:rPr>
            </w:pPr>
          </w:p>
        </w:tc>
        <w:tc>
          <w:tcPr>
            <w:tcW w:w="162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cs="宋体" w:asciiTheme="minorEastAsia" w:hAnsiTheme="minorEastAsia" w:eastAsiaTheme="minorEastAsia"/>
                <w:b/>
                <w:bCs/>
                <w:kern w:val="0"/>
                <w:sz w:val="24"/>
              </w:rPr>
            </w:pPr>
          </w:p>
        </w:tc>
      </w:tr>
    </w:tbl>
    <w:p>
      <w:pPr>
        <w:spacing w:line="360" w:lineRule="auto"/>
        <w:ind w:left="1050" w:hanging="1050" w:hangingChars="500"/>
        <w:rPr>
          <w:rFonts w:hAnsi="宋体"/>
          <w:szCs w:val="21"/>
        </w:rPr>
      </w:pPr>
    </w:p>
    <w:tbl>
      <w:tblPr>
        <w:tblStyle w:val="13"/>
        <w:tblpPr w:leftFromText="180" w:rightFromText="180" w:vertAnchor="text" w:horzAnchor="margin" w:tblpXSpec="center" w:tblpY="621"/>
        <w:tblW w:w="9765" w:type="dxa"/>
        <w:tblInd w:w="0" w:type="dxa"/>
        <w:tblLayout w:type="fixed"/>
        <w:tblCellMar>
          <w:top w:w="0" w:type="dxa"/>
          <w:left w:w="108" w:type="dxa"/>
          <w:bottom w:w="0" w:type="dxa"/>
          <w:right w:w="108" w:type="dxa"/>
        </w:tblCellMar>
      </w:tblPr>
      <w:tblGrid>
        <w:gridCol w:w="2835"/>
        <w:gridCol w:w="923"/>
        <w:gridCol w:w="923"/>
        <w:gridCol w:w="2550"/>
        <w:gridCol w:w="1256"/>
        <w:gridCol w:w="1278"/>
      </w:tblGrid>
      <w:tr>
        <w:tblPrEx>
          <w:tblLayout w:type="fixed"/>
          <w:tblCellMar>
            <w:top w:w="0" w:type="dxa"/>
            <w:left w:w="108" w:type="dxa"/>
            <w:bottom w:w="0" w:type="dxa"/>
            <w:right w:w="108" w:type="dxa"/>
          </w:tblCellMar>
        </w:tblPrEx>
        <w:trPr>
          <w:trHeight w:val="278" w:hRule="atLeast"/>
        </w:trPr>
        <w:tc>
          <w:tcPr>
            <w:tcW w:w="9765"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备品备件报价</w:t>
            </w: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名称</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单位</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型号</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合计</w:t>
            </w: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DDC控制箱</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水位开关</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MA/MAC3</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室外温湿度传感器</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VER/HO3XVSTN</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气流压差开关</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风管温度传感器</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STD100</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水管温度传感器</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SD910</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水管压力传感器</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1600Kpa</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电磁式流量计</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数据接口</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255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316"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合计</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　</w:t>
            </w:r>
          </w:p>
        </w:tc>
        <w:tc>
          <w:tcPr>
            <w:tcW w:w="923"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　</w:t>
            </w:r>
          </w:p>
        </w:tc>
        <w:tc>
          <w:tcPr>
            <w:tcW w:w="2550"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　</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b/>
                <w:bCs/>
                <w:color w:val="000000"/>
                <w:kern w:val="0"/>
                <w:sz w:val="24"/>
              </w:rPr>
            </w:pPr>
          </w:p>
        </w:tc>
        <w:tc>
          <w:tcPr>
            <w:tcW w:w="1278"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b/>
                <w:bCs/>
                <w:color w:val="000000"/>
                <w:kern w:val="0"/>
                <w:sz w:val="24"/>
              </w:rPr>
            </w:pPr>
          </w:p>
        </w:tc>
      </w:tr>
    </w:tbl>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 w:val="24"/>
        </w:rPr>
        <w:t>备品备件报价</w:t>
      </w:r>
    </w:p>
    <w:p>
      <w:pPr>
        <w:spacing w:line="360" w:lineRule="auto"/>
        <w:rPr>
          <w:rFonts w:hAnsi="宋体"/>
          <w:szCs w:val="21"/>
        </w:rPr>
      </w:pPr>
    </w:p>
    <w:p>
      <w:pPr>
        <w:spacing w:line="360" w:lineRule="auto"/>
        <w:rPr>
          <w:rFonts w:hAnsi="宋体"/>
          <w:szCs w:val="21"/>
        </w:rPr>
      </w:pPr>
    </w:p>
    <w:p>
      <w:pPr>
        <w:spacing w:line="360" w:lineRule="auto"/>
        <w:rPr>
          <w:rFonts w:hAnsi="宋体"/>
          <w:szCs w:val="21"/>
        </w:rPr>
      </w:pPr>
    </w:p>
    <w:p>
      <w:pPr>
        <w:spacing w:line="360" w:lineRule="auto"/>
        <w:rPr>
          <w:rFonts w:hAnsi="宋体"/>
        </w:rPr>
      </w:pPr>
      <w:r>
        <w:rPr>
          <w:rFonts w:hint="eastAsia" w:hAnsi="宋体"/>
        </w:rPr>
        <w:t>注：（1）投标报价为人民币报价。</w:t>
      </w:r>
    </w:p>
    <w:p>
      <w:pPr>
        <w:tabs>
          <w:tab w:val="left" w:pos="8364"/>
        </w:tabs>
        <w:spacing w:line="360" w:lineRule="auto"/>
        <w:ind w:firstLine="283" w:firstLineChars="135"/>
        <w:rPr>
          <w:rFonts w:hAnsi="宋体"/>
        </w:rPr>
      </w:pPr>
      <w:r>
        <w:rPr>
          <w:rFonts w:hint="eastAsia" w:hAnsi="宋体"/>
        </w:rPr>
        <w:t>（2）维保服务费用报价合计金额应等于本项目维保服务费用报价。</w:t>
      </w:r>
    </w:p>
    <w:p>
      <w:pPr>
        <w:spacing w:line="360" w:lineRule="auto"/>
        <w:rPr>
          <w:rFonts w:ascii="宋体" w:hAnsi="宋体" w:cs="Arial"/>
          <w:color w:val="000000"/>
          <w:sz w:val="30"/>
          <w:szCs w:val="30"/>
        </w:rPr>
      </w:pPr>
      <w:r>
        <w:rPr>
          <w:rFonts w:hint="eastAsia" w:hAnsi="宋体"/>
          <w:szCs w:val="21"/>
        </w:rPr>
        <w:t>投标人名称（盖章）：日期：</w:t>
      </w:r>
      <w:r>
        <w:rPr>
          <w:rFonts w:hAnsi="宋体"/>
          <w:szCs w:val="21"/>
        </w:rPr>
        <w:t>202</w:t>
      </w:r>
      <w:r>
        <w:rPr>
          <w:rFonts w:hint="eastAsia" w:hAnsi="宋体"/>
          <w:szCs w:val="21"/>
        </w:rPr>
        <w:t>2年月日</w:t>
      </w:r>
      <w:r>
        <w:rPr>
          <w:rFonts w:ascii="宋体" w:hAnsi="宋体" w:cs="Arial"/>
          <w:color w:val="000000"/>
          <w:sz w:val="30"/>
          <w:szCs w:val="30"/>
        </w:rPr>
        <w:br w:type="page"/>
      </w:r>
    </w:p>
    <w:p>
      <w:pPr>
        <w:spacing w:line="360" w:lineRule="auto"/>
        <w:rPr>
          <w:rFonts w:ascii="宋体" w:hAnsi="宋体" w:cs="Arial"/>
          <w:color w:val="000000"/>
          <w:sz w:val="30"/>
          <w:szCs w:val="30"/>
        </w:rPr>
      </w:pPr>
      <w:r>
        <w:rPr>
          <w:rFonts w:hint="eastAsia" w:ascii="宋体" w:hAnsi="宋体" w:cs="Arial"/>
          <w:color w:val="000000"/>
          <w:sz w:val="30"/>
          <w:szCs w:val="30"/>
        </w:rPr>
        <w:t>附件2</w:t>
      </w:r>
    </w:p>
    <w:tbl>
      <w:tblPr>
        <w:tblStyle w:val="13"/>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Layout w:type="fixed"/>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hAnsi="宋体"/>
                <w:szCs w:val="21"/>
              </w:rPr>
              <w:t>超算BA系统维保及逐步重构更新</w:t>
            </w:r>
          </w:p>
        </w:tc>
      </w:tr>
      <w:tr>
        <w:tblPrEx>
          <w:tblLayout w:type="fixed"/>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w:t>
      </w:r>
      <w:r>
        <w:rPr>
          <w:rFonts w:asciiTheme="minorEastAsia" w:hAnsiTheme="minorEastAsia" w:eastAsiaTheme="minorEastAsia"/>
          <w:sz w:val="28"/>
          <w:szCs w:val="28"/>
        </w:rPr>
        <w:t>2</w:t>
      </w:r>
      <w:r>
        <w:rPr>
          <w:rFonts w:hint="eastAsia" w:asciiTheme="minorEastAsia" w:hAnsiTheme="minorEastAsia" w:eastAsiaTheme="minorEastAsia"/>
          <w:sz w:val="28"/>
          <w:szCs w:val="28"/>
        </w:rPr>
        <w:t>2年 月 日</w:t>
      </w:r>
    </w:p>
    <w:p>
      <w:pPr>
        <w:spacing w:line="360" w:lineRule="auto"/>
        <w:rPr>
          <w:rFonts w:asciiTheme="minorEastAsia" w:hAnsiTheme="minorEastAsia" w:eastAsiaTheme="minorEastAsia"/>
          <w:sz w:val="30"/>
          <w:szCs w:val="30"/>
        </w:rPr>
      </w:pPr>
    </w:p>
    <w:p>
      <w:pPr>
        <w:widowControl/>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560" w:firstLineChars="200"/>
        <w:rPr>
          <w:rFonts w:ascii="宋体" w:hAnsi="宋体" w:cs="宋体"/>
          <w:sz w:val="28"/>
        </w:rPr>
      </w:pPr>
      <w:r>
        <w:rPr>
          <w:rFonts w:hint="eastAsia" w:ascii="宋体" w:hAnsi="宋体" w:cs="宋体"/>
          <w:sz w:val="28"/>
        </w:rPr>
        <w:t>在我单位任职务，是我单位法定代表人，身份证号为，特此证明。</w:t>
      </w:r>
    </w:p>
    <w:p>
      <w:pPr>
        <w:spacing w:line="360" w:lineRule="auto"/>
        <w:ind w:firstLine="627" w:firstLineChars="224"/>
        <w:rPr>
          <w:rFonts w:ascii="宋体" w:hAnsi="宋体" w:cs="宋体"/>
          <w:sz w:val="28"/>
        </w:rPr>
      </w:pPr>
    </w:p>
    <w:p>
      <w:pPr>
        <w:spacing w:line="360" w:lineRule="auto"/>
        <w:jc w:val="left"/>
        <w:rPr>
          <w:rFonts w:ascii="宋体" w:hAnsi="宋体" w:cs="宋体"/>
          <w:sz w:val="28"/>
        </w:rPr>
      </w:pPr>
      <w:r>
        <w:rPr>
          <w:rFonts w:hint="eastAsia" w:ascii="宋体" w:hAnsi="宋体" w:cs="宋体"/>
          <w:sz w:val="28"/>
        </w:rPr>
        <w:t>（单位盖章）</w:t>
      </w:r>
    </w:p>
    <w:p>
      <w:pPr>
        <w:spacing w:line="360" w:lineRule="auto"/>
        <w:ind w:firstLine="627" w:firstLineChars="224"/>
        <w:rPr>
          <w:rFonts w:hAnsi="宋体" w:cs="宋体"/>
          <w:sz w:val="28"/>
          <w:szCs w:val="28"/>
        </w:rPr>
      </w:pPr>
    </w:p>
    <w:p>
      <w:pPr>
        <w:spacing w:line="360" w:lineRule="auto"/>
        <w:rPr>
          <w:rFonts w:hAnsi="宋体" w:cs="宋体"/>
          <w:sz w:val="28"/>
          <w:szCs w:val="28"/>
        </w:rPr>
      </w:pPr>
      <w:r>
        <w:rPr>
          <w:rFonts w:hint="eastAsia" w:hAnsi="宋体" w:cs="宋体"/>
          <w:sz w:val="28"/>
          <w:szCs w:val="28"/>
        </w:rPr>
        <w:t>日期：20</w:t>
      </w:r>
      <w:r>
        <w:rPr>
          <w:rFonts w:hAnsi="宋体" w:cs="宋体"/>
          <w:sz w:val="28"/>
          <w:szCs w:val="28"/>
        </w:rPr>
        <w:t>2</w:t>
      </w:r>
      <w:r>
        <w:rPr>
          <w:rFonts w:hint="eastAsia" w:hAnsi="宋体" w:cs="宋体"/>
          <w:sz w:val="28"/>
          <w:szCs w:val="28"/>
        </w:rPr>
        <w:t>2年月日</w:t>
      </w:r>
    </w:p>
    <w:p>
      <w:pPr>
        <w:spacing w:line="360" w:lineRule="auto"/>
        <w:rPr>
          <w:rFonts w:ascii="宋体" w:hAnsi="宋体" w:cs="宋体"/>
          <w:sz w:val="28"/>
        </w:rPr>
      </w:pPr>
    </w:p>
    <w:p>
      <w:pPr>
        <w:spacing w:line="360" w:lineRule="auto"/>
        <w:rPr>
          <w:rFonts w:ascii="宋体" w:hAnsi="宋体" w:cs="宋体"/>
          <w:sz w:val="28"/>
        </w:rPr>
      </w:pPr>
      <w:r>
        <w:rPr>
          <w:rFonts w:hint="eastAsia" w:ascii="宋体" w:hAnsi="宋体" w:cs="宋体"/>
          <w:sz w:val="28"/>
        </w:rPr>
        <w:t>单位通信地址：</w:t>
      </w:r>
    </w:p>
    <w:p>
      <w:pPr>
        <w:spacing w:line="360" w:lineRule="auto"/>
        <w:rPr>
          <w:rFonts w:ascii="宋体" w:hAnsi="宋体" w:cs="宋体"/>
          <w:sz w:val="28"/>
        </w:rPr>
      </w:pPr>
    </w:p>
    <w:p>
      <w:pPr>
        <w:spacing w:line="360" w:lineRule="auto"/>
        <w:rPr>
          <w:rFonts w:ascii="宋体" w:hAnsi="宋体" w:cs="宋体"/>
          <w:sz w:val="28"/>
        </w:rPr>
      </w:pPr>
      <w:r>
        <w:rPr>
          <w:rFonts w:hint="eastAsia" w:ascii="宋体" w:hAnsi="宋体" w:cs="宋体"/>
          <w:sz w:val="28"/>
        </w:rPr>
        <w:t>邮政编码：                 单位联系电话：</w:t>
      </w:r>
    </w:p>
    <w:p>
      <w:pPr>
        <w:spacing w:line="360" w:lineRule="auto"/>
      </w:pPr>
    </w:p>
    <w:p>
      <w:pPr>
        <w:spacing w:line="360" w:lineRule="auto"/>
      </w:pPr>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line="360" w:lineRule="auto"/>
        <w:ind w:firstLine="560" w:firstLineChars="200"/>
        <w:rPr>
          <w:rFonts w:ascii="宋体" w:hAnsi="宋体"/>
          <w:sz w:val="28"/>
          <w:szCs w:val="28"/>
        </w:rPr>
      </w:pPr>
      <w:r>
        <w:rPr>
          <w:rFonts w:hint="eastAsia" w:ascii="宋体" w:hAnsi="宋体"/>
          <w:bCs/>
          <w:sz w:val="28"/>
          <w:szCs w:val="28"/>
        </w:rPr>
        <w:t>兹授权</w:t>
      </w:r>
      <w:r>
        <w:rPr>
          <w:rFonts w:hint="eastAsia" w:ascii="宋体" w:hAnsi="宋体"/>
          <w:bCs/>
          <w:sz w:val="28"/>
          <w:szCs w:val="28"/>
          <w:u w:val="single"/>
        </w:rPr>
        <w:t>（委托代理人姓名）</w:t>
      </w:r>
      <w:r>
        <w:rPr>
          <w:rFonts w:hint="eastAsia" w:ascii="宋体" w:hAnsi="宋体"/>
          <w:bCs/>
          <w:sz w:val="28"/>
          <w:szCs w:val="28"/>
        </w:rPr>
        <w:t>为我方委托代理人，其权限是：</w:t>
      </w:r>
      <w:r>
        <w:rPr>
          <w:rFonts w:hint="eastAsia" w:ascii="宋体" w:hAnsi="宋体"/>
          <w:sz w:val="28"/>
          <w:szCs w:val="28"/>
        </w:rPr>
        <w:t xml:space="preserve">办理                       </w:t>
      </w:r>
      <w:r>
        <w:rPr>
          <w:rFonts w:hint="eastAsia" w:ascii="宋体" w:hAnsi="宋体"/>
          <w:sz w:val="28"/>
          <w:szCs w:val="28"/>
          <w:u w:val="single"/>
        </w:rPr>
        <w:t>广州大学城能源发展有限公司</w:t>
      </w:r>
      <w:r>
        <w:rPr>
          <w:rFonts w:hint="eastAsia" w:ascii="宋体" w:hAnsi="宋体"/>
          <w:sz w:val="28"/>
          <w:szCs w:val="28"/>
        </w:rPr>
        <w:t>组织的“</w:t>
      </w:r>
      <w:r>
        <w:rPr>
          <w:rFonts w:hint="eastAsia" w:ascii="宋体" w:hAnsi="宋体"/>
          <w:sz w:val="28"/>
          <w:szCs w:val="28"/>
          <w:u w:val="single"/>
        </w:rPr>
        <w:t>超算BA系统维保及逐步重构更新</w:t>
      </w:r>
      <w:r>
        <w:rPr>
          <w:rFonts w:hint="eastAsia" w:ascii="宋体" w:hAnsi="宋体"/>
          <w:sz w:val="28"/>
          <w:szCs w:val="28"/>
        </w:rPr>
        <w:t>”的投标和合同执行，以我方的名义处理一切与之有关的事宜。</w:t>
      </w:r>
    </w:p>
    <w:p>
      <w:pPr>
        <w:spacing w:line="360" w:lineRule="auto"/>
        <w:ind w:firstLine="560" w:firstLineChars="200"/>
        <w:rPr>
          <w:rFonts w:ascii="宋体" w:hAnsi="宋体"/>
          <w:bCs/>
          <w:sz w:val="28"/>
          <w:szCs w:val="28"/>
        </w:rPr>
      </w:pPr>
      <w:r>
        <w:rPr>
          <w:rFonts w:hint="eastAsia" w:ascii="宋体" w:hAnsi="宋体"/>
          <w:sz w:val="28"/>
          <w:szCs w:val="28"/>
          <w:lang w:val="en-GB"/>
        </w:rPr>
        <w:t>本</w:t>
      </w:r>
      <w:r>
        <w:rPr>
          <w:rFonts w:hint="eastAsia" w:ascii="宋体" w:hAnsi="宋体"/>
          <w:sz w:val="28"/>
          <w:szCs w:val="28"/>
        </w:rPr>
        <w:t>授权书</w:t>
      </w:r>
      <w:r>
        <w:rPr>
          <w:rFonts w:hint="eastAsia" w:ascii="宋体" w:hAnsi="宋体"/>
          <w:sz w:val="28"/>
          <w:szCs w:val="28"/>
          <w:lang w:val="en-GB"/>
        </w:rPr>
        <w:t>自</w:t>
      </w:r>
      <w:r>
        <w:rPr>
          <w:rFonts w:ascii="宋体" w:hAnsi="宋体"/>
          <w:sz w:val="28"/>
          <w:szCs w:val="28"/>
          <w:lang w:val="en-GB"/>
        </w:rPr>
        <w:t>202</w:t>
      </w:r>
      <w:r>
        <w:rPr>
          <w:rFonts w:hint="eastAsia" w:ascii="宋体" w:hAnsi="宋体"/>
          <w:sz w:val="28"/>
          <w:szCs w:val="28"/>
        </w:rPr>
        <w:t>年月日</w:t>
      </w:r>
      <w:r>
        <w:rPr>
          <w:rFonts w:hint="eastAsia" w:ascii="宋体" w:hAnsi="宋体"/>
          <w:sz w:val="28"/>
          <w:szCs w:val="28"/>
          <w:lang w:val="en-GB"/>
        </w:rPr>
        <w:t>签章之日起生效，特此声明。</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u w:val="single"/>
        </w:rPr>
      </w:pPr>
      <w:r>
        <w:rPr>
          <w:rFonts w:hint="eastAsia" w:ascii="宋体" w:hAnsi="宋体"/>
          <w:sz w:val="28"/>
          <w:szCs w:val="28"/>
        </w:rPr>
        <w:t>附：代理人性别：   年龄：   职务：</w:t>
      </w:r>
    </w:p>
    <w:p>
      <w:pPr>
        <w:spacing w:line="360" w:lineRule="auto"/>
        <w:ind w:firstLine="560" w:firstLineChars="200"/>
        <w:rPr>
          <w:rFonts w:ascii="宋体" w:hAnsi="宋体"/>
          <w:sz w:val="28"/>
          <w:szCs w:val="28"/>
          <w:u w:val="single"/>
        </w:rPr>
      </w:pPr>
      <w:r>
        <w:rPr>
          <w:rFonts w:hint="eastAsia" w:ascii="宋体" w:hAnsi="宋体"/>
          <w:sz w:val="28"/>
          <w:szCs w:val="28"/>
        </w:rPr>
        <w:t>　　身份证号码：</w:t>
      </w:r>
    </w:p>
    <w:p>
      <w:pPr>
        <w:spacing w:line="360" w:lineRule="auto"/>
        <w:ind w:firstLine="560" w:firstLineChars="200"/>
        <w:rPr>
          <w:rFonts w:ascii="宋体" w:hAnsi="宋体"/>
          <w:sz w:val="28"/>
          <w:szCs w:val="28"/>
        </w:rPr>
      </w:pPr>
      <w:r>
        <w:rPr>
          <w:rFonts w:hint="eastAsia" w:ascii="宋体" w:hAnsi="宋体"/>
          <w:sz w:val="28"/>
          <w:szCs w:val="28"/>
        </w:rPr>
        <w:t>附：被授权人有效身份证正反面或其他身份证明材料复印</w:t>
      </w:r>
    </w:p>
    <w:p>
      <w:pPr>
        <w:widowControl/>
        <w:spacing w:line="360" w:lineRule="auto"/>
        <w:rPr>
          <w:rFonts w:ascii="宋体" w:hAnsi="宋体" w:eastAsia="微软雅黑"/>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r>
        <w:rPr>
          <w:rFonts w:hint="eastAsia" w:ascii="宋体" w:hAnsi="宋体" w:cs="宋体"/>
          <w:kern w:val="0"/>
          <w:sz w:val="28"/>
          <w:szCs w:val="28"/>
        </w:rPr>
        <w:t>（单位盖章）：</w:t>
      </w:r>
    </w:p>
    <w:p>
      <w:pPr>
        <w:widowControl/>
        <w:spacing w:line="360" w:lineRule="auto"/>
        <w:rPr>
          <w:rFonts w:ascii="宋体" w:hAnsi="宋体" w:cs="宋体"/>
          <w:kern w:val="0"/>
          <w:sz w:val="28"/>
          <w:szCs w:val="28"/>
        </w:rPr>
      </w:pPr>
    </w:p>
    <w:p>
      <w:pPr>
        <w:widowControl/>
        <w:spacing w:line="360" w:lineRule="auto"/>
        <w:rPr>
          <w:rFonts w:ascii="宋体" w:hAnsi="宋体" w:cs="宋体"/>
          <w:kern w:val="0"/>
          <w:sz w:val="28"/>
          <w:szCs w:val="28"/>
        </w:rPr>
      </w:pPr>
      <w:r>
        <w:rPr>
          <w:rFonts w:hint="eastAsia" w:ascii="宋体" w:hAnsi="宋体" w:cs="宋体"/>
          <w:kern w:val="0"/>
          <w:sz w:val="28"/>
          <w:szCs w:val="28"/>
        </w:rPr>
        <w:t>法定代表人（签字或盖章）：</w:t>
      </w:r>
    </w:p>
    <w:p>
      <w:pPr>
        <w:widowControl/>
        <w:spacing w:line="360" w:lineRule="auto"/>
        <w:rPr>
          <w:rFonts w:ascii="宋体" w:hAnsi="宋体" w:cs="宋体"/>
          <w:kern w:val="0"/>
          <w:sz w:val="28"/>
          <w:szCs w:val="28"/>
        </w:rPr>
      </w:pPr>
      <w:r>
        <w:rPr>
          <w:rFonts w:hint="eastAsia" w:ascii="宋体" w:hAnsi="宋体" w:cs="宋体"/>
          <w:kern w:val="0"/>
          <w:sz w:val="28"/>
          <w:szCs w:val="28"/>
        </w:rPr>
        <w:t>被授权人（签字或盖章）：</w:t>
      </w:r>
    </w:p>
    <w:p>
      <w:pPr>
        <w:widowControl/>
        <w:spacing w:line="360" w:lineRule="auto"/>
        <w:rPr>
          <w:rFonts w:ascii="宋体" w:hAnsi="宋体" w:cs="宋体"/>
          <w:kern w:val="0"/>
          <w:sz w:val="28"/>
          <w:szCs w:val="28"/>
        </w:rPr>
      </w:pPr>
      <w:r>
        <w:rPr>
          <w:rFonts w:hint="eastAsia" w:ascii="宋体" w:hAnsi="宋体" w:cs="宋体"/>
          <w:kern w:val="0"/>
          <w:sz w:val="28"/>
          <w:szCs w:val="28"/>
        </w:rPr>
        <w:t>日期： 20</w:t>
      </w:r>
      <w:r>
        <w:rPr>
          <w:rFonts w:ascii="宋体" w:hAnsi="宋体" w:cs="宋体"/>
          <w:kern w:val="0"/>
          <w:sz w:val="28"/>
          <w:szCs w:val="28"/>
        </w:rPr>
        <w:t>2</w:t>
      </w:r>
      <w:r>
        <w:rPr>
          <w:rFonts w:hint="eastAsia" w:ascii="宋体" w:hAnsi="宋体" w:cs="宋体"/>
          <w:kern w:val="0"/>
          <w:sz w:val="28"/>
          <w:szCs w:val="28"/>
        </w:rPr>
        <w:t>2年   月   日</w:t>
      </w:r>
    </w:p>
    <w:p>
      <w:pPr>
        <w:widowControl/>
        <w:spacing w:line="360" w:lineRule="auto"/>
        <w:jc w:val="left"/>
        <w:rPr>
          <w:rFonts w:hAnsi="宋体"/>
          <w:szCs w:val="21"/>
        </w:rPr>
      </w:pPr>
      <w:r>
        <w:rPr>
          <w:rFonts w:hint="eastAsia" w:hAnsi="宋体" w:cs="宋体"/>
          <w:sz w:val="28"/>
          <w:szCs w:val="28"/>
          <w:lang w:val="zh-CN"/>
        </w:rPr>
        <w:t>说明：法定代表人亲自办理投标事宜的，无需提交本证明书。</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hAnsi="宋体"/>
          <w:szCs w:val="21"/>
        </w:rPr>
        <w:t>超算BA系统维保及逐步重构更新</w:t>
      </w:r>
    </w:p>
    <w:tbl>
      <w:tblPr>
        <w:tblStyle w:val="13"/>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636"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69"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636" w:type="dxa"/>
            <w:shd w:val="clear" w:color="auto" w:fill="auto"/>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投标人2019年1月1日至今完成类似业绩，需提供合同关键页复印件。</w:t>
            </w:r>
          </w:p>
        </w:tc>
        <w:tc>
          <w:tcPr>
            <w:tcW w:w="869"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636" w:type="dxa"/>
            <w:vAlign w:val="center"/>
          </w:tcPr>
          <w:p>
            <w:pPr>
              <w:pStyle w:val="22"/>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636"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投标文件未按竞选文件的规定密封、盖章和签署；</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636"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投标文件未按竞选文件规定的格式填写，内容不全或关键字迹模糊、无法辩认；</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对同一竞选项目出现两个或以上的投标报价，且没声明哪个有效；</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636"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投标总报价高于采购限价；</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投标总报价低于企业自身成本；</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11</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工期不满足竞选文件要求的；</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12</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方案未响应竞选文件中已明确必须要作实质性响应的内容；</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13</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投标文件附有采购人不能接受的条件；</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14</w:t>
            </w:r>
          </w:p>
        </w:tc>
        <w:tc>
          <w:tcPr>
            <w:tcW w:w="7636"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不符合竞选文件中规定的其他实质性要求。</w:t>
            </w:r>
          </w:p>
        </w:tc>
        <w:tc>
          <w:tcPr>
            <w:tcW w:w="869"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eastAsiaTheme="minorEastAsia"/>
                <w:bCs/>
                <w:sz w:val="18"/>
                <w:szCs w:val="21"/>
              </w:rPr>
            </w:pPr>
          </w:p>
        </w:tc>
        <w:tc>
          <w:tcPr>
            <w:tcW w:w="7636"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69"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0"/>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评委签名：    日 期：</w:t>
      </w:r>
      <w:r>
        <w:rPr>
          <w:rFonts w:ascii="宋体" w:hAnsi="宋体"/>
          <w:szCs w:val="21"/>
        </w:rPr>
        <w:t>202</w:t>
      </w:r>
      <w:r>
        <w:rPr>
          <w:rFonts w:hint="eastAsia" w:ascii="宋体" w:hAnsi="宋体"/>
          <w:szCs w:val="21"/>
        </w:rPr>
        <w:t>2年   月   日</w:t>
      </w:r>
    </w:p>
    <w:p>
      <w:pPr>
        <w:spacing w:line="360" w:lineRule="auto"/>
        <w:rPr>
          <w:rFonts w:asciiTheme="minorEastAsia" w:hAnsiTheme="minorEastAsia" w:eastAsiaTheme="minorEastAsia"/>
          <w:sz w:val="24"/>
          <w:szCs w:val="30"/>
        </w:rPr>
      </w:pPr>
      <w:r>
        <w:rPr>
          <w:rFonts w:hint="eastAsia" w:asciiTheme="minorEastAsia" w:hAnsiTheme="minorEastAsia" w:eastAsiaTheme="minorEastAsia"/>
          <w:sz w:val="24"/>
          <w:szCs w:val="30"/>
        </w:rPr>
        <w:t>附件6</w:t>
      </w:r>
    </w:p>
    <w:p>
      <w:pPr>
        <w:spacing w:beforeLines="30" w:line="360" w:lineRule="auto"/>
        <w:ind w:left="482" w:hanging="482" w:hangingChars="200"/>
        <w:jc w:val="center"/>
        <w:rPr>
          <w:rFonts w:ascii="宋体" w:hAnsi="宋体" w:cs="Arial"/>
          <w:b/>
          <w:color w:val="000000"/>
          <w:sz w:val="24"/>
          <w:szCs w:val="30"/>
        </w:rPr>
      </w:pPr>
      <w:r>
        <w:rPr>
          <w:rFonts w:ascii="宋体" w:hAnsi="宋体" w:cs="Arial"/>
          <w:b/>
          <w:color w:val="000000"/>
          <w:sz w:val="24"/>
          <w:szCs w:val="30"/>
        </w:rPr>
        <w:t>评分标准</w:t>
      </w:r>
    </w:p>
    <w:tbl>
      <w:tblPr>
        <w:tblStyle w:val="13"/>
        <w:tblW w:w="9356" w:type="dxa"/>
        <w:tblInd w:w="-147" w:type="dxa"/>
        <w:tblLayout w:type="fixed"/>
        <w:tblCellMar>
          <w:top w:w="0" w:type="dxa"/>
          <w:left w:w="108" w:type="dxa"/>
          <w:bottom w:w="0" w:type="dxa"/>
          <w:right w:w="108" w:type="dxa"/>
        </w:tblCellMar>
      </w:tblPr>
      <w:tblGrid>
        <w:gridCol w:w="964"/>
        <w:gridCol w:w="1843"/>
        <w:gridCol w:w="709"/>
        <w:gridCol w:w="5840"/>
      </w:tblGrid>
      <w:tr>
        <w:tblPrEx>
          <w:tblLayout w:type="fixed"/>
          <w:tblCellMar>
            <w:top w:w="0" w:type="dxa"/>
            <w:left w:w="108" w:type="dxa"/>
            <w:bottom w:w="0" w:type="dxa"/>
            <w:right w:w="108" w:type="dxa"/>
          </w:tblCellMar>
        </w:tblPrEx>
        <w:trPr>
          <w:trHeight w:val="225" w:hRule="atLeast"/>
        </w:trPr>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bookmarkStart w:id="0" w:name="_Hlk4405241"/>
            <w:r>
              <w:rPr>
                <w:rFonts w:hint="eastAsia" w:ascii="宋体" w:hAnsi="宋体" w:cs="宋体"/>
                <w:b/>
                <w:color w:val="000000"/>
                <w:kern w:val="0"/>
                <w:sz w:val="18"/>
                <w:szCs w:val="18"/>
              </w:rPr>
              <w:t>评审大项</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评审内容</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分值</w:t>
            </w:r>
          </w:p>
        </w:tc>
        <w:tc>
          <w:tcPr>
            <w:tcW w:w="58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964"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商务部分（15分）</w:t>
            </w:r>
          </w:p>
        </w:tc>
        <w:tc>
          <w:tcPr>
            <w:tcW w:w="184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采购人供应商管理系统查到的分值</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40"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诚信分≧2分时本项得2分。</w:t>
            </w:r>
          </w:p>
        </w:tc>
      </w:tr>
      <w:tr>
        <w:tblPrEx>
          <w:tblLayout w:type="fixed"/>
          <w:tblCellMar>
            <w:top w:w="0" w:type="dxa"/>
            <w:left w:w="108" w:type="dxa"/>
            <w:bottom w:w="0" w:type="dxa"/>
            <w:right w:w="108" w:type="dxa"/>
          </w:tblCellMar>
        </w:tblPrEx>
        <w:trPr>
          <w:trHeight w:val="512" w:hRule="atLeast"/>
        </w:trPr>
        <w:tc>
          <w:tcPr>
            <w:tcW w:w="96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类似业绩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840"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sz w:val="18"/>
                <w:szCs w:val="18"/>
              </w:rPr>
            </w:pPr>
            <w:r>
              <w:rPr>
                <w:rFonts w:hint="eastAsia" w:ascii="宋体" w:hAnsi="宋体" w:cs="宋体"/>
                <w:sz w:val="18"/>
                <w:szCs w:val="18"/>
              </w:rPr>
              <w:t>投标人2019年1月1日至今完成类似业绩</w:t>
            </w:r>
            <w:r>
              <w:rPr>
                <w:rFonts w:ascii="宋体" w:hAnsi="宋体" w:cs="宋体"/>
                <w:sz w:val="18"/>
                <w:szCs w:val="18"/>
              </w:rPr>
              <w:t>情况进行评审。</w:t>
            </w:r>
            <w:r>
              <w:rPr>
                <w:rFonts w:hint="eastAsia" w:ascii="宋体" w:hAnsi="宋体" w:cs="宋体"/>
                <w:sz w:val="18"/>
                <w:szCs w:val="18"/>
              </w:rPr>
              <w:t>每一个有效业绩得1分；本项累计最高得3分。</w:t>
            </w:r>
          </w:p>
          <w:p>
            <w:pPr>
              <w:widowControl/>
              <w:ind w:firstLine="360" w:firstLineChars="200"/>
              <w:jc w:val="left"/>
              <w:rPr>
                <w:rFonts w:ascii="宋体" w:hAnsi="宋体" w:cs="宋体"/>
                <w:sz w:val="18"/>
                <w:szCs w:val="18"/>
              </w:rPr>
            </w:pPr>
            <w:r>
              <w:rPr>
                <w:rFonts w:hint="eastAsia" w:ascii="宋体" w:hAnsi="宋体" w:cs="宋体"/>
                <w:sz w:val="18"/>
                <w:szCs w:val="18"/>
              </w:rPr>
              <w:t>需提交项目合同或中标通知书关键页复印件等证明资料。</w:t>
            </w:r>
          </w:p>
        </w:tc>
      </w:tr>
      <w:tr>
        <w:tblPrEx>
          <w:tblLayout w:type="fixed"/>
          <w:tblCellMar>
            <w:top w:w="0" w:type="dxa"/>
            <w:left w:w="108" w:type="dxa"/>
            <w:bottom w:w="0" w:type="dxa"/>
            <w:right w:w="108" w:type="dxa"/>
          </w:tblCellMar>
        </w:tblPrEx>
        <w:trPr>
          <w:trHeight w:val="512" w:hRule="atLeast"/>
        </w:trPr>
        <w:tc>
          <w:tcPr>
            <w:tcW w:w="96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企业资质</w:t>
            </w:r>
          </w:p>
        </w:tc>
        <w:tc>
          <w:tcPr>
            <w:tcW w:w="709"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2</w:t>
            </w:r>
          </w:p>
        </w:tc>
        <w:tc>
          <w:tcPr>
            <w:tcW w:w="5840"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投标人</w:t>
            </w:r>
            <w:r>
              <w:rPr>
                <w:rFonts w:hint="eastAsia" w:ascii="宋体" w:hAnsi="宋体" w:cs="宋体"/>
                <w:kern w:val="0"/>
                <w:sz w:val="18"/>
                <w:szCs w:val="18"/>
              </w:rPr>
              <w:t>具有高新技术企业证书得1</w:t>
            </w:r>
            <w:r>
              <w:rPr>
                <w:rFonts w:ascii="宋体" w:hAnsi="宋体" w:cs="宋体"/>
                <w:kern w:val="0"/>
                <w:sz w:val="18"/>
                <w:szCs w:val="18"/>
              </w:rPr>
              <w:t>分，</w:t>
            </w:r>
            <w:r>
              <w:rPr>
                <w:rFonts w:hint="eastAsia" w:ascii="宋体" w:hAnsi="宋体" w:cs="宋体"/>
                <w:kern w:val="0"/>
                <w:sz w:val="18"/>
                <w:szCs w:val="18"/>
              </w:rPr>
              <w:t>无</w:t>
            </w:r>
            <w:r>
              <w:rPr>
                <w:rFonts w:ascii="宋体" w:hAnsi="宋体" w:cs="宋体"/>
                <w:kern w:val="0"/>
                <w:sz w:val="18"/>
                <w:szCs w:val="18"/>
              </w:rPr>
              <w:t>不得分。</w:t>
            </w:r>
          </w:p>
          <w:p>
            <w:pPr>
              <w:jc w:val="left"/>
              <w:rPr>
                <w:rFonts w:ascii="宋体" w:hAnsi="宋体" w:cs="宋体"/>
                <w:kern w:val="0"/>
                <w:sz w:val="18"/>
                <w:szCs w:val="18"/>
              </w:rPr>
            </w:pPr>
            <w:r>
              <w:rPr>
                <w:rFonts w:hint="eastAsia" w:ascii="宋体" w:hAnsi="宋体" w:cs="宋体"/>
                <w:kern w:val="0"/>
                <w:sz w:val="18"/>
                <w:szCs w:val="18"/>
              </w:rPr>
              <w:t>2）具有</w:t>
            </w:r>
            <w:r>
              <w:rPr>
                <w:rFonts w:ascii="宋体" w:hAnsi="宋体" w:cs="宋体"/>
                <w:kern w:val="0"/>
                <w:sz w:val="18"/>
                <w:szCs w:val="18"/>
              </w:rPr>
              <w:t>质量管理体系认证证书</w:t>
            </w:r>
            <w:r>
              <w:rPr>
                <w:rFonts w:hint="eastAsia" w:ascii="宋体" w:hAnsi="宋体" w:cs="宋体"/>
                <w:kern w:val="0"/>
                <w:sz w:val="18"/>
                <w:szCs w:val="18"/>
              </w:rPr>
              <w:t>得1</w:t>
            </w:r>
            <w:r>
              <w:rPr>
                <w:rFonts w:ascii="宋体" w:hAnsi="宋体" w:cs="宋体"/>
                <w:kern w:val="0"/>
                <w:sz w:val="18"/>
                <w:szCs w:val="18"/>
              </w:rPr>
              <w:t>分，</w:t>
            </w:r>
            <w:r>
              <w:rPr>
                <w:rFonts w:hint="eastAsia" w:ascii="宋体" w:hAnsi="宋体" w:cs="宋体"/>
                <w:kern w:val="0"/>
                <w:sz w:val="18"/>
                <w:szCs w:val="18"/>
              </w:rPr>
              <w:t>无</w:t>
            </w:r>
            <w:r>
              <w:rPr>
                <w:rFonts w:ascii="宋体" w:hAnsi="宋体" w:cs="宋体"/>
                <w:kern w:val="0"/>
                <w:sz w:val="18"/>
                <w:szCs w:val="18"/>
              </w:rPr>
              <w:t>不得分。</w:t>
            </w:r>
          </w:p>
          <w:p>
            <w:pPr>
              <w:jc w:val="left"/>
              <w:rPr>
                <w:rFonts w:ascii="宋体" w:hAnsi="宋体" w:cs="宋体"/>
                <w:kern w:val="0"/>
                <w:sz w:val="18"/>
                <w:szCs w:val="18"/>
              </w:rPr>
            </w:pPr>
            <w:r>
              <w:rPr>
                <w:rFonts w:ascii="宋体" w:hAnsi="宋体" w:cs="宋体"/>
                <w:kern w:val="0"/>
                <w:sz w:val="18"/>
                <w:szCs w:val="18"/>
              </w:rPr>
              <w:t xml:space="preserve">投标人须提供相关资质证扫描件,并加盖投标人公章。 </w:t>
            </w:r>
          </w:p>
        </w:tc>
      </w:tr>
      <w:tr>
        <w:tblPrEx>
          <w:tblLayout w:type="fixed"/>
          <w:tblCellMar>
            <w:top w:w="0" w:type="dxa"/>
            <w:left w:w="108" w:type="dxa"/>
            <w:bottom w:w="0" w:type="dxa"/>
            <w:right w:w="108" w:type="dxa"/>
          </w:tblCellMar>
        </w:tblPrEx>
        <w:trPr>
          <w:trHeight w:val="512" w:hRule="atLeast"/>
        </w:trPr>
        <w:tc>
          <w:tcPr>
            <w:tcW w:w="96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kern w:val="0"/>
                <w:sz w:val="18"/>
                <w:szCs w:val="18"/>
                <w:lang w:bidi="en-US"/>
              </w:rPr>
              <w:t>项目负责人资质</w:t>
            </w: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kern w:val="0"/>
                <w:sz w:val="18"/>
                <w:szCs w:val="18"/>
                <w:lang w:bidi="en-US"/>
              </w:rPr>
              <w:t>3</w:t>
            </w:r>
          </w:p>
        </w:tc>
        <w:tc>
          <w:tcPr>
            <w:tcW w:w="5840"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项目负责人应具备扎实的理论知识和实践经验，项目负责人具有软件编程、自动化控制、信息系统等相关专业高级工程师(或相当于高级工程师)及以上专业技术职称得3分，否则不得分。注：项目负责人必须为投标单位人员，提供职称证书复印件，否则不予计分。</w:t>
            </w:r>
          </w:p>
          <w:p>
            <w:pPr>
              <w:adjustRightInd w:val="0"/>
              <w:snapToGrid w:val="0"/>
              <w:jc w:val="left"/>
              <w:rPr>
                <w:rFonts w:ascii="宋体" w:hAnsi="宋体" w:cs="宋体"/>
                <w:color w:val="FF0000"/>
                <w:sz w:val="18"/>
                <w:szCs w:val="18"/>
              </w:rPr>
            </w:pPr>
            <w:r>
              <w:rPr>
                <w:rFonts w:hint="eastAsia" w:ascii="宋体" w:hAnsi="宋体" w:cs="宋体"/>
                <w:color w:val="000000"/>
                <w:kern w:val="0"/>
                <w:sz w:val="18"/>
                <w:szCs w:val="18"/>
              </w:rPr>
              <w:t>本项最高得3分。</w:t>
            </w:r>
          </w:p>
        </w:tc>
      </w:tr>
      <w:tr>
        <w:tblPrEx>
          <w:tblLayout w:type="fixed"/>
          <w:tblCellMar>
            <w:top w:w="0" w:type="dxa"/>
            <w:left w:w="108" w:type="dxa"/>
            <w:bottom w:w="0" w:type="dxa"/>
            <w:right w:w="108" w:type="dxa"/>
          </w:tblCellMar>
        </w:tblPrEx>
        <w:trPr>
          <w:trHeight w:val="512" w:hRule="atLeast"/>
        </w:trPr>
        <w:tc>
          <w:tcPr>
            <w:tcW w:w="964"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sz w:val="18"/>
                <w:szCs w:val="18"/>
              </w:rPr>
            </w:pPr>
            <w:r>
              <w:rPr>
                <w:rFonts w:hint="eastAsia" w:ascii="宋体" w:hAnsi="宋体"/>
                <w:kern w:val="0"/>
                <w:sz w:val="18"/>
                <w:szCs w:val="18"/>
                <w:lang w:bidi="en-US"/>
              </w:rPr>
              <w:t>项目团队专业技术人员配备情况</w:t>
            </w:r>
          </w:p>
        </w:tc>
        <w:tc>
          <w:tcPr>
            <w:tcW w:w="709"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sz w:val="18"/>
                <w:szCs w:val="18"/>
              </w:rPr>
            </w:pPr>
            <w:r>
              <w:rPr>
                <w:rFonts w:hint="eastAsia" w:ascii="宋体" w:hAnsi="宋体"/>
                <w:kern w:val="0"/>
                <w:sz w:val="18"/>
                <w:szCs w:val="18"/>
                <w:lang w:bidi="en-US"/>
              </w:rPr>
              <w:t>5</w:t>
            </w:r>
          </w:p>
        </w:tc>
        <w:tc>
          <w:tcPr>
            <w:tcW w:w="5840" w:type="dxa"/>
            <w:tcBorders>
              <w:top w:val="nil"/>
              <w:left w:val="nil"/>
              <w:bottom w:val="single" w:color="auto" w:sz="4" w:space="0"/>
              <w:right w:val="single" w:color="auto" w:sz="4" w:space="0"/>
            </w:tcBorders>
          </w:tcPr>
          <w:p>
            <w:pPr>
              <w:widowControl/>
              <w:rPr>
                <w:rFonts w:ascii="宋体" w:hAnsi="宋体" w:cs="宋体"/>
                <w:color w:val="000000"/>
                <w:kern w:val="0"/>
                <w:sz w:val="18"/>
                <w:szCs w:val="18"/>
              </w:rPr>
            </w:pPr>
            <w:r>
              <w:rPr>
                <w:rFonts w:hint="eastAsia" w:ascii="宋体" w:hAnsi="宋体" w:cs="宋体"/>
                <w:color w:val="000000"/>
                <w:kern w:val="0"/>
                <w:sz w:val="18"/>
                <w:szCs w:val="18"/>
              </w:rPr>
              <w:t>横向对比投标人拟派项目团队专业技术人员情况，团队人员专业性强，专业齐全，人员配置合理，从优到差排名，第一名得5分，第二名得3分，第三名得1分。</w:t>
            </w:r>
          </w:p>
          <w:p>
            <w:pPr>
              <w:widowControl/>
              <w:rPr>
                <w:rFonts w:ascii="宋体" w:hAnsi="宋体" w:cs="宋体"/>
                <w:color w:val="000000"/>
                <w:kern w:val="0"/>
                <w:sz w:val="18"/>
                <w:szCs w:val="18"/>
              </w:rPr>
            </w:pPr>
            <w:r>
              <w:rPr>
                <w:rFonts w:hint="eastAsia" w:ascii="宋体" w:hAnsi="宋体" w:cs="宋体"/>
                <w:color w:val="000000"/>
                <w:kern w:val="0"/>
                <w:sz w:val="18"/>
                <w:szCs w:val="18"/>
              </w:rPr>
              <w:t>注：项目负责人必须为投标单位人员，需提供职称证书复印件佐证，否则不予计分。本项最高得5分。</w:t>
            </w:r>
          </w:p>
        </w:tc>
      </w:tr>
      <w:tr>
        <w:tblPrEx>
          <w:tblLayout w:type="fixed"/>
          <w:tblCellMar>
            <w:top w:w="0" w:type="dxa"/>
            <w:left w:w="108" w:type="dxa"/>
            <w:bottom w:w="0" w:type="dxa"/>
            <w:right w:w="108" w:type="dxa"/>
          </w:tblCellMar>
        </w:tblPrEx>
        <w:trPr>
          <w:trHeight w:val="810" w:hRule="atLeast"/>
        </w:trPr>
        <w:tc>
          <w:tcPr>
            <w:tcW w:w="96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技术部分（45分）</w:t>
            </w:r>
          </w:p>
          <w:p>
            <w:pPr>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tcPr>
          <w:p>
            <w:pPr>
              <w:jc w:val="center"/>
              <w:rPr>
                <w:rFonts w:ascii="宋体" w:hAnsi="宋体" w:cs="宋体"/>
                <w:color w:val="000000"/>
                <w:kern w:val="0"/>
                <w:sz w:val="18"/>
                <w:szCs w:val="18"/>
              </w:rPr>
            </w:pPr>
            <w:r>
              <w:rPr>
                <w:rFonts w:hint="eastAsia" w:ascii="宋体" w:hAnsi="宋体" w:cs="宋体"/>
                <w:color w:val="000000"/>
                <w:kern w:val="0"/>
                <w:sz w:val="18"/>
                <w:szCs w:val="18"/>
              </w:rPr>
              <w:t>对项目的理解和重点难点分析；</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8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对本项目深入理解，清楚明白项目工作内容，并对项目重点难点进行清晰透彻剖析，制定对应的应对处理方案。</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横向对比：优得6-8分，良得3-5，中得1-2分，未有相关内容得0分。</w:t>
            </w:r>
          </w:p>
        </w:tc>
      </w:tr>
      <w:tr>
        <w:tblPrEx>
          <w:tblLayout w:type="fixed"/>
          <w:tblCellMar>
            <w:top w:w="0" w:type="dxa"/>
            <w:left w:w="108" w:type="dxa"/>
            <w:bottom w:w="0" w:type="dxa"/>
            <w:right w:w="108" w:type="dxa"/>
          </w:tblCellMar>
        </w:tblPrEx>
        <w:trPr>
          <w:trHeight w:val="1059" w:hRule="atLeast"/>
        </w:trPr>
        <w:tc>
          <w:tcPr>
            <w:tcW w:w="964"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tcPr>
          <w:p>
            <w:pPr>
              <w:jc w:val="center"/>
              <w:rPr>
                <w:rFonts w:ascii="宋体" w:hAnsi="宋体" w:cs="宋体"/>
                <w:color w:val="000000"/>
                <w:kern w:val="0"/>
                <w:sz w:val="18"/>
                <w:szCs w:val="18"/>
              </w:rPr>
            </w:pPr>
            <w:r>
              <w:rPr>
                <w:rFonts w:hint="eastAsia" w:ascii="宋体" w:hAnsi="宋体" w:cs="宋体"/>
                <w:color w:val="000000"/>
                <w:kern w:val="0"/>
                <w:sz w:val="18"/>
                <w:szCs w:val="18"/>
              </w:rPr>
              <w:t>维保方案；</w:t>
            </w:r>
          </w:p>
        </w:tc>
        <w:tc>
          <w:tcPr>
            <w:tcW w:w="709" w:type="dxa"/>
            <w:tcBorders>
              <w:top w:val="nil"/>
              <w:left w:val="nil"/>
              <w:bottom w:val="single" w:color="auto" w:sz="4" w:space="0"/>
              <w:right w:val="single" w:color="auto" w:sz="4" w:space="0"/>
            </w:tcBorders>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5840" w:type="dxa"/>
            <w:tcBorders>
              <w:top w:val="nil"/>
              <w:left w:val="nil"/>
              <w:bottom w:val="single" w:color="auto" w:sz="4" w:space="0"/>
              <w:right w:val="single" w:color="auto" w:sz="4" w:space="0"/>
            </w:tcBorders>
            <w:shd w:val="clear" w:color="auto" w:fill="FFFFFF"/>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针对项目的指定专有维保方案，思路清晰，可操作性强，备品备件报价优惠，优于或满足采购人需求。</w:t>
            </w:r>
          </w:p>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横向对比：优得6-8分，良得3-5，中得1-2分，未有相关内容得0分。</w:t>
            </w:r>
          </w:p>
        </w:tc>
      </w:tr>
      <w:tr>
        <w:tblPrEx>
          <w:tblLayout w:type="fixed"/>
          <w:tblCellMar>
            <w:top w:w="0" w:type="dxa"/>
            <w:left w:w="108" w:type="dxa"/>
            <w:bottom w:w="0" w:type="dxa"/>
            <w:right w:w="108" w:type="dxa"/>
          </w:tblCellMar>
        </w:tblPrEx>
        <w:trPr>
          <w:trHeight w:val="1059" w:hRule="atLeast"/>
        </w:trPr>
        <w:tc>
          <w:tcPr>
            <w:tcW w:w="964"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tcPr>
          <w:p>
            <w:pPr>
              <w:jc w:val="center"/>
              <w:rPr>
                <w:rFonts w:ascii="宋体" w:hAnsi="宋体" w:cs="宋体"/>
                <w:color w:val="000000"/>
                <w:kern w:val="0"/>
                <w:sz w:val="18"/>
                <w:szCs w:val="18"/>
              </w:rPr>
            </w:pPr>
            <w:r>
              <w:rPr>
                <w:rFonts w:hint="eastAsia" w:ascii="宋体" w:hAnsi="宋体" w:cs="宋体"/>
                <w:color w:val="000000"/>
                <w:kern w:val="0"/>
                <w:sz w:val="18"/>
                <w:szCs w:val="18"/>
              </w:rPr>
              <w:t>系统重构及系统更新方案；</w:t>
            </w:r>
          </w:p>
        </w:tc>
        <w:tc>
          <w:tcPr>
            <w:tcW w:w="709" w:type="dxa"/>
            <w:tcBorders>
              <w:top w:val="nil"/>
              <w:left w:val="nil"/>
              <w:bottom w:val="single" w:color="auto" w:sz="4" w:space="0"/>
              <w:right w:val="single" w:color="auto" w:sz="4" w:space="0"/>
            </w:tcBorders>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5840" w:type="dxa"/>
            <w:tcBorders>
              <w:top w:val="nil"/>
              <w:left w:val="nil"/>
              <w:bottom w:val="single" w:color="auto" w:sz="4" w:space="0"/>
              <w:right w:val="single" w:color="auto" w:sz="4" w:space="0"/>
            </w:tcBorders>
            <w:shd w:val="clear" w:color="auto" w:fill="FFFFFF"/>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对系统重构及系统更新内容理解透彻，技术力量满足项目需求，方案详细，可操作性强，工期安排合理。</w:t>
            </w:r>
          </w:p>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横向对比：优得6-8分，良得3-5，中得1-2分，未有相关内容得0分。</w:t>
            </w:r>
          </w:p>
        </w:tc>
      </w:tr>
      <w:tr>
        <w:tblPrEx>
          <w:tblLayout w:type="fixed"/>
          <w:tblCellMar>
            <w:top w:w="0" w:type="dxa"/>
            <w:left w:w="108" w:type="dxa"/>
            <w:bottom w:w="0" w:type="dxa"/>
            <w:right w:w="108" w:type="dxa"/>
          </w:tblCellMar>
        </w:tblPrEx>
        <w:trPr>
          <w:trHeight w:val="1059" w:hRule="atLeast"/>
        </w:trPr>
        <w:tc>
          <w:tcPr>
            <w:tcW w:w="964"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tcPr>
          <w:p>
            <w:pPr>
              <w:jc w:val="center"/>
              <w:rPr>
                <w:rFonts w:ascii="宋体" w:hAnsi="宋体" w:cs="宋体"/>
                <w:color w:val="000000"/>
                <w:kern w:val="0"/>
                <w:sz w:val="18"/>
                <w:szCs w:val="18"/>
              </w:rPr>
            </w:pPr>
            <w:r>
              <w:rPr>
                <w:rFonts w:hint="eastAsia" w:ascii="宋体" w:hAnsi="宋体" w:cs="宋体"/>
                <w:color w:val="000000"/>
                <w:kern w:val="0"/>
                <w:sz w:val="18"/>
                <w:szCs w:val="18"/>
              </w:rPr>
              <w:t>系统重构及系统更新后质保服务方案</w:t>
            </w:r>
          </w:p>
        </w:tc>
        <w:tc>
          <w:tcPr>
            <w:tcW w:w="709" w:type="dxa"/>
            <w:tcBorders>
              <w:top w:val="nil"/>
              <w:left w:val="nil"/>
              <w:bottom w:val="single" w:color="auto" w:sz="4" w:space="0"/>
              <w:right w:val="single" w:color="auto" w:sz="4" w:space="0"/>
            </w:tcBorders>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5840" w:type="dxa"/>
            <w:tcBorders>
              <w:top w:val="nil"/>
              <w:left w:val="nil"/>
              <w:bottom w:val="single" w:color="auto" w:sz="4" w:space="0"/>
              <w:right w:val="single" w:color="auto" w:sz="4" w:space="0"/>
            </w:tcBorders>
            <w:shd w:val="clear" w:color="auto" w:fill="FFFFFF"/>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系统重构及系统更新后提供全面的质保服务，及时解决系统出现的各种问题。提供全部技术文件和源代码。并向采购人提供系统管理培训。质保期不少于1年。</w:t>
            </w:r>
          </w:p>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横向对比：优得6-8分，良得3-5，中得1-2分，未有相关内容得0分。</w:t>
            </w:r>
          </w:p>
        </w:tc>
      </w:tr>
      <w:tr>
        <w:tblPrEx>
          <w:tblLayout w:type="fixed"/>
          <w:tblCellMar>
            <w:top w:w="0" w:type="dxa"/>
            <w:left w:w="108" w:type="dxa"/>
            <w:bottom w:w="0" w:type="dxa"/>
            <w:right w:w="108" w:type="dxa"/>
          </w:tblCellMar>
        </w:tblPrEx>
        <w:trPr>
          <w:trHeight w:val="1059" w:hRule="atLeast"/>
        </w:trPr>
        <w:tc>
          <w:tcPr>
            <w:tcW w:w="964"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tcPr>
          <w:p>
            <w:pPr>
              <w:jc w:val="center"/>
              <w:rPr>
                <w:rFonts w:ascii="宋体" w:hAnsi="宋体" w:cs="宋体"/>
                <w:color w:val="000000"/>
                <w:kern w:val="0"/>
                <w:sz w:val="18"/>
                <w:szCs w:val="18"/>
              </w:rPr>
            </w:pPr>
            <w:r>
              <w:rPr>
                <w:rFonts w:hint="eastAsia" w:ascii="宋体" w:hAnsi="宋体" w:cs="宋体"/>
                <w:color w:val="000000"/>
                <w:kern w:val="0"/>
                <w:sz w:val="18"/>
                <w:szCs w:val="18"/>
              </w:rPr>
              <w:t>系统重构及更新过程中对系统</w:t>
            </w:r>
            <w:r>
              <w:rPr>
                <w:rFonts w:ascii="宋体" w:hAnsi="宋体" w:cs="宋体"/>
                <w:color w:val="000000"/>
                <w:kern w:val="0"/>
                <w:sz w:val="18"/>
                <w:szCs w:val="18"/>
              </w:rPr>
              <w:t>安全性</w:t>
            </w:r>
            <w:r>
              <w:rPr>
                <w:rFonts w:hint="eastAsia" w:ascii="宋体" w:hAnsi="宋体" w:cs="宋体"/>
                <w:color w:val="000000"/>
                <w:kern w:val="0"/>
                <w:sz w:val="18"/>
                <w:szCs w:val="18"/>
              </w:rPr>
              <w:t>以及数据备份的方案及相关措施；</w:t>
            </w:r>
          </w:p>
        </w:tc>
        <w:tc>
          <w:tcPr>
            <w:tcW w:w="709" w:type="dxa"/>
            <w:tcBorders>
              <w:top w:val="nil"/>
              <w:left w:val="nil"/>
              <w:bottom w:val="single" w:color="auto" w:sz="4" w:space="0"/>
              <w:right w:val="single" w:color="auto" w:sz="4" w:space="0"/>
            </w:tcBorders>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5840" w:type="dxa"/>
            <w:tcBorders>
              <w:top w:val="nil"/>
              <w:left w:val="nil"/>
              <w:bottom w:val="single" w:color="auto" w:sz="4" w:space="0"/>
              <w:right w:val="single" w:color="auto" w:sz="4" w:space="0"/>
            </w:tcBorders>
            <w:shd w:val="clear" w:color="auto" w:fill="FFFFFF"/>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系统重构及更新过程制定相应的系统数据备份方案，系统运行后备方案，保障原系统正常运行的同时无缝完成重构和更新。系统重构和更新后。</w:t>
            </w:r>
          </w:p>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横向对比：优得6-8分，良得3-5，中得1-2分，未有相关内容得0分。</w:t>
            </w:r>
          </w:p>
        </w:tc>
      </w:tr>
      <w:tr>
        <w:tblPrEx>
          <w:tblLayout w:type="fixed"/>
          <w:tblCellMar>
            <w:top w:w="0" w:type="dxa"/>
            <w:left w:w="108" w:type="dxa"/>
            <w:bottom w:w="0" w:type="dxa"/>
            <w:right w:w="108" w:type="dxa"/>
          </w:tblCellMar>
        </w:tblPrEx>
        <w:trPr>
          <w:trHeight w:val="555" w:hRule="atLeast"/>
        </w:trPr>
        <w:tc>
          <w:tcPr>
            <w:tcW w:w="964" w:type="dxa"/>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tcPr>
          <w:p>
            <w:pPr>
              <w:pStyle w:val="22"/>
              <w:ind w:left="4" w:firstLine="0" w:firstLineChars="0"/>
              <w:rPr>
                <w:rFonts w:cs="Times New Roman" w:asciiTheme="minorEastAsia" w:hAnsiTheme="minorEastAsia"/>
                <w:sz w:val="18"/>
                <w:szCs w:val="18"/>
              </w:rPr>
            </w:pPr>
            <w:r>
              <w:rPr>
                <w:rFonts w:cs="Times New Roman" w:asciiTheme="minorEastAsia" w:hAnsiTheme="minorEastAsia"/>
                <w:sz w:val="18"/>
                <w:szCs w:val="18"/>
              </w:rPr>
              <w:t>工期计划</w:t>
            </w:r>
            <w:r>
              <w:rPr>
                <w:rFonts w:hint="eastAsia" w:cs="Times New Roman" w:asciiTheme="minorEastAsia" w:hAnsiTheme="minorEastAsia"/>
                <w:sz w:val="18"/>
                <w:szCs w:val="18"/>
              </w:rPr>
              <w:t>；</w:t>
            </w:r>
          </w:p>
        </w:tc>
        <w:tc>
          <w:tcPr>
            <w:tcW w:w="709" w:type="dxa"/>
            <w:tcBorders>
              <w:top w:val="nil"/>
              <w:left w:val="nil"/>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5840" w:type="dxa"/>
            <w:tcBorders>
              <w:top w:val="nil"/>
              <w:left w:val="nil"/>
              <w:bottom w:val="single" w:color="auto" w:sz="4" w:space="0"/>
              <w:right w:val="single" w:color="auto" w:sz="4" w:space="0"/>
            </w:tcBorders>
            <w:shd w:val="clear" w:color="auto" w:fill="FFFFFF"/>
            <w:vAlign w:val="center"/>
          </w:tcPr>
          <w:p>
            <w:pPr>
              <w:adjustRightInd w:val="0"/>
              <w:snapToGrid w:val="0"/>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工期计划安排合理，响应或优于采购需求得5分，否则不得分。</w:t>
            </w:r>
          </w:p>
        </w:tc>
      </w:tr>
      <w:tr>
        <w:tblPrEx>
          <w:tblLayout w:type="fixed"/>
          <w:tblCellMar>
            <w:top w:w="0" w:type="dxa"/>
            <w:left w:w="108" w:type="dxa"/>
            <w:bottom w:w="0" w:type="dxa"/>
            <w:right w:w="108" w:type="dxa"/>
          </w:tblCellMar>
        </w:tblPrEx>
        <w:trPr>
          <w:trHeight w:val="1083" w:hRule="atLeast"/>
        </w:trPr>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价格部分（40分）</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报价</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0</w:t>
            </w:r>
          </w:p>
        </w:tc>
        <w:tc>
          <w:tcPr>
            <w:tcW w:w="5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取所有有效投标人的投标总报价的</w:t>
            </w:r>
            <w:r>
              <w:rPr>
                <w:rFonts w:hint="eastAsia" w:ascii="宋体" w:hAnsi="宋体" w:cs="宋体"/>
                <w:color w:val="FF0000"/>
                <w:kern w:val="0"/>
                <w:sz w:val="18"/>
                <w:szCs w:val="18"/>
              </w:rPr>
              <w:t>平均价</w:t>
            </w:r>
            <w:r>
              <w:rPr>
                <w:rFonts w:hint="eastAsia" w:ascii="宋体" w:hAnsi="宋体" w:cs="宋体"/>
                <w:color w:val="000000"/>
                <w:kern w:val="0"/>
                <w:sz w:val="18"/>
                <w:szCs w:val="18"/>
              </w:rPr>
              <w:t>的作为评标基准价。</w:t>
            </w:r>
          </w:p>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以评标基准价作为计算各有效投标总报价得分的基础，当有效投标总报价等于评标基准价时得4</w:t>
            </w:r>
            <w:r>
              <w:rPr>
                <w:rFonts w:ascii="宋体" w:hAnsi="宋体" w:cs="宋体"/>
                <w:color w:val="000000"/>
                <w:kern w:val="0"/>
                <w:sz w:val="18"/>
                <w:szCs w:val="18"/>
              </w:rPr>
              <w:t>0</w:t>
            </w:r>
            <w:r>
              <w:rPr>
                <w:rFonts w:hint="eastAsia" w:ascii="宋体" w:hAnsi="宋体" w:cs="宋体"/>
                <w:color w:val="000000"/>
                <w:kern w:val="0"/>
                <w:sz w:val="18"/>
                <w:szCs w:val="18"/>
              </w:rPr>
              <w:t>分；有效投标总报价与评标基准价之差，每上偏1%扣1.5分。每下偏1%扣1分</w:t>
            </w:r>
          </w:p>
        </w:tc>
      </w:tr>
      <w:bookmarkEnd w:id="0"/>
    </w:tbl>
    <w:p>
      <w:pPr>
        <w:spacing w:beforeLines="30" w:line="360" w:lineRule="auto"/>
        <w:rPr>
          <w:rFonts w:ascii="宋体" w:hAnsi="宋体" w:cs="Arial"/>
          <w:color w:val="000000"/>
          <w:sz w:val="30"/>
          <w:szCs w:val="30"/>
        </w:rPr>
      </w:pPr>
      <w:r>
        <w:rPr>
          <w:rFonts w:hint="eastAsia" w:ascii="宋体" w:hAnsi="宋体" w:cs="Arial"/>
          <w:color w:val="000000"/>
          <w:sz w:val="30"/>
          <w:szCs w:val="30"/>
        </w:rPr>
        <w:t>附件7</w:t>
      </w:r>
    </w:p>
    <w:p>
      <w:pPr>
        <w:jc w:val="center"/>
        <w:rPr>
          <w:b/>
          <w:sz w:val="36"/>
          <w:szCs w:val="36"/>
        </w:rPr>
      </w:pPr>
      <w:r>
        <w:rPr>
          <w:rFonts w:hint="eastAsia"/>
          <w:b/>
          <w:sz w:val="36"/>
          <w:szCs w:val="36"/>
        </w:rPr>
        <w:t>超算BA系统维保及逐步重构更新</w:t>
      </w:r>
    </w:p>
    <w:p>
      <w:pPr>
        <w:jc w:val="center"/>
        <w:rPr>
          <w:b/>
          <w:sz w:val="36"/>
          <w:szCs w:val="36"/>
        </w:rPr>
      </w:pPr>
      <w:r>
        <w:rPr>
          <w:rFonts w:hint="eastAsia"/>
          <w:b/>
          <w:sz w:val="36"/>
          <w:szCs w:val="36"/>
        </w:rPr>
        <w:t>采购需求书</w:t>
      </w:r>
    </w:p>
    <w:p>
      <w:pPr>
        <w:jc w:val="center"/>
        <w:rPr>
          <w:b/>
          <w:sz w:val="36"/>
          <w:szCs w:val="36"/>
        </w:rPr>
      </w:pPr>
      <w:r>
        <w:rPr>
          <w:rFonts w:hint="eastAsia"/>
          <w:b/>
          <w:sz w:val="36"/>
          <w:szCs w:val="36"/>
        </w:rPr>
        <w:t>第一部分维保服务采购需求</w:t>
      </w:r>
    </w:p>
    <w:p>
      <w:pPr>
        <w:numPr>
          <w:ilvl w:val="0"/>
          <w:numId w:val="11"/>
        </w:numPr>
        <w:spacing w:line="360" w:lineRule="auto"/>
        <w:outlineLvl w:val="1"/>
        <w:rPr>
          <w:rFonts w:asciiTheme="minorEastAsia" w:hAnsiTheme="minorEastAsia" w:eastAsiaTheme="minorEastAsia"/>
          <w:b/>
          <w:sz w:val="24"/>
        </w:rPr>
      </w:pPr>
      <w:r>
        <w:rPr>
          <w:rFonts w:hint="eastAsia" w:asciiTheme="minorEastAsia" w:hAnsiTheme="minorEastAsia" w:eastAsiaTheme="minorEastAsia"/>
          <w:b/>
          <w:sz w:val="24"/>
        </w:rPr>
        <w:t>工程概况</w:t>
      </w:r>
    </w:p>
    <w:p>
      <w:pPr>
        <w:spacing w:line="360" w:lineRule="auto"/>
        <w:rPr>
          <w:rFonts w:asciiTheme="minorEastAsia" w:hAnsiTheme="minorEastAsia" w:eastAsiaTheme="minorEastAsia"/>
          <w:bCs/>
          <w:sz w:val="24"/>
        </w:rPr>
      </w:pPr>
      <w:r>
        <w:rPr>
          <w:rFonts w:hint="eastAsia" w:asciiTheme="minorEastAsia" w:hAnsiTheme="minorEastAsia" w:eastAsiaTheme="minorEastAsia"/>
          <w:sz w:val="24"/>
        </w:rPr>
        <w:t>1.1工程名称：</w:t>
      </w:r>
      <w:r>
        <w:rPr>
          <w:rFonts w:hint="eastAsia" w:asciiTheme="minorEastAsia" w:hAnsiTheme="minorEastAsia" w:eastAsiaTheme="minorEastAsia"/>
          <w:kern w:val="0"/>
          <w:sz w:val="24"/>
        </w:rPr>
        <w:t>2022-2023年超算BA维保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1.2工程地点：广州大学城中山大学超级计算机中心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1.3工程项目简介：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本工程BA包括以下监控内容：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1）冷源系统（板式交换器、冷冻水泵、电动蝶阀、PID电动阀、冷冻水蓄冷罐、旁通阀）；</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2）空调通风系统；</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3）空调补水系统（补水箱、补水泵）、潜污泵；</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系统由工作站、网络控制器（或路由器）、现场控制器（DDC）、各类传感器及执行机构、控制层/管理层网络以及软件等构成，采用分布式智能式控制系统。</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系统工作站设于二楼监控中心，工作站运行全中文软件、配置电话拨号软件，实现远程控制。工作站、网络控制器/路由器等设备通过管理层网络相连，管理层网络采用以太网。</w:t>
      </w:r>
    </w:p>
    <w:p>
      <w:pPr>
        <w:numPr>
          <w:ilvl w:val="0"/>
          <w:numId w:val="11"/>
        </w:numPr>
        <w:spacing w:line="360" w:lineRule="auto"/>
        <w:outlineLvl w:val="1"/>
        <w:rPr>
          <w:rFonts w:asciiTheme="minorEastAsia" w:hAnsiTheme="minorEastAsia" w:eastAsiaTheme="minorEastAsia"/>
          <w:b/>
          <w:sz w:val="24"/>
        </w:rPr>
      </w:pPr>
      <w:r>
        <w:rPr>
          <w:rFonts w:hint="eastAsia" w:asciiTheme="minorEastAsia" w:hAnsiTheme="minorEastAsia" w:eastAsiaTheme="minorEastAsia"/>
          <w:b/>
          <w:sz w:val="24"/>
        </w:rPr>
        <w:t>项目的工作范围及内容</w:t>
      </w:r>
    </w:p>
    <w:p>
      <w:pPr>
        <w:pStyle w:val="22"/>
        <w:adjustRightInd w:val="0"/>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1、例常维护与保养</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提供以下维护项目：</w:t>
      </w:r>
    </w:p>
    <w:p>
      <w:pPr>
        <w:pStyle w:val="22"/>
        <w:adjustRightInd w:val="0"/>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1）、中控室内的主要设备保养，操作平台的保养及设备之间的连接检查等，主要操作包括以下：</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BA系统的电脑主机数据库维护。</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中央控制室内线路接驳检查、紧固。</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中央控室内设备的电源检查。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输入、输出设备功能检查（鼠标、键盘、打印机等）</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电脑设置文件检查。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BA系统及中央操作平台软件的检查。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BA通信接口检查。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检查每个系统在中央主操作平台上的反馈。</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通讯信号检查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主通信控制管理设备内清洁除尘。电源电池检查。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操作软件的备份。</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图形软件的备份。</w:t>
      </w:r>
    </w:p>
    <w:p>
      <w:pPr>
        <w:widowControl/>
        <w:spacing w:line="360" w:lineRule="auto"/>
        <w:jc w:val="left"/>
        <w:rPr>
          <w:rFonts w:cs="宋体" w:asciiTheme="minorEastAsia" w:hAnsiTheme="minorEastAsia" w:eastAsiaTheme="minorEastAsia"/>
          <w:color w:val="000000"/>
          <w:sz w:val="24"/>
        </w:rPr>
      </w:pPr>
      <w:r>
        <w:rPr>
          <w:rFonts w:hint="eastAsia"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）、现场直接式数字控制器</w:t>
      </w:r>
      <w:r>
        <w:rPr>
          <w:rFonts w:hint="eastAsia" w:asciiTheme="minorEastAsia" w:hAnsiTheme="minorEastAsia" w:eastAsiaTheme="minorEastAsia"/>
          <w:color w:val="000000"/>
          <w:kern w:val="0"/>
          <w:sz w:val="24"/>
        </w:rPr>
        <w:t>DDC</w:t>
      </w:r>
      <w:r>
        <w:rPr>
          <w:rFonts w:hint="eastAsia" w:cs="宋体" w:asciiTheme="minorEastAsia" w:hAnsiTheme="minorEastAsia" w:eastAsiaTheme="minorEastAsia"/>
          <w:color w:val="000000"/>
          <w:kern w:val="0"/>
          <w:sz w:val="24"/>
        </w:rPr>
        <w:t>、传感器、执行器的设备保养，主要操作包括以下：</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DDC箱内的清洁除尘。</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DDC箱电源检查。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DDC电脑设置文件检查。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DDC箱内接线的检查及紧固。</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DDC箱之间的网络接头的检查及紧固。</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DDC箱上传数据的检查。</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检查末端传感器工作是否正常，对异常的传感器进行补偿校正。</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检查末端执行器工作是否正常。</w:t>
      </w:r>
    </w:p>
    <w:p>
      <w:pPr>
        <w:pStyle w:val="22"/>
        <w:adjustRightInd w:val="0"/>
        <w:spacing w:line="360" w:lineRule="auto"/>
        <w:ind w:firstLine="480"/>
        <w:jc w:val="left"/>
        <w:rPr>
          <w:rFonts w:asciiTheme="minorEastAsia" w:hAnsiTheme="minorEastAsia"/>
          <w:sz w:val="24"/>
          <w:szCs w:val="24"/>
        </w:rPr>
      </w:pPr>
      <w:r>
        <w:rPr>
          <w:rFonts w:hint="eastAsia" w:asciiTheme="minorEastAsia" w:hAnsiTheme="minorEastAsia"/>
          <w:sz w:val="24"/>
          <w:szCs w:val="24"/>
        </w:rPr>
        <w:t>对控制程序进行跟踪检查并做必要的修正。</w:t>
      </w:r>
    </w:p>
    <w:p>
      <w:pPr>
        <w:pStyle w:val="22"/>
        <w:adjustRightInd w:val="0"/>
        <w:spacing w:line="360" w:lineRule="auto"/>
        <w:ind w:firstLine="0" w:firstLineChars="0"/>
        <w:jc w:val="left"/>
        <w:rPr>
          <w:rFonts w:asciiTheme="minorEastAsia" w:hAnsiTheme="minorEastAsia"/>
          <w:sz w:val="24"/>
          <w:szCs w:val="24"/>
        </w:rPr>
      </w:pPr>
      <w:r>
        <w:rPr>
          <w:rFonts w:hint="eastAsia" w:asciiTheme="minorEastAsia" w:hAnsiTheme="minorEastAsia"/>
          <w:color w:val="000000"/>
          <w:kern w:val="0"/>
          <w:sz w:val="24"/>
          <w:szCs w:val="24"/>
        </w:rPr>
        <w:t>3</w:t>
      </w:r>
      <w:r>
        <w:rPr>
          <w:rFonts w:hint="eastAsia" w:cs="宋体" w:asciiTheme="minorEastAsia" w:hAnsiTheme="minorEastAsia"/>
          <w:color w:val="000000"/>
          <w:kern w:val="0"/>
          <w:sz w:val="24"/>
          <w:szCs w:val="24"/>
        </w:rPr>
        <w:t>）、</w:t>
      </w:r>
      <w:r>
        <w:rPr>
          <w:rFonts w:hint="eastAsia" w:asciiTheme="minorEastAsia" w:hAnsiTheme="minorEastAsia"/>
          <w:sz w:val="24"/>
          <w:szCs w:val="24"/>
        </w:rPr>
        <w:t>维保内容详见附件《维护保养服务内容》， 维保设备清单见附件《费用清单》《维护设备点表》《维护设备清单》</w:t>
      </w:r>
    </w:p>
    <w:p>
      <w:pPr>
        <w:pStyle w:val="22"/>
        <w:adjustRightInd w:val="0"/>
        <w:spacing w:line="360" w:lineRule="auto"/>
        <w:ind w:firstLine="0" w:firstLineChars="0"/>
        <w:jc w:val="left"/>
        <w:rPr>
          <w:rFonts w:asciiTheme="minorEastAsia" w:hAnsiTheme="minorEastAsia"/>
          <w:sz w:val="24"/>
          <w:szCs w:val="24"/>
        </w:rPr>
      </w:pPr>
      <w:r>
        <w:rPr>
          <w:rFonts w:hint="eastAsia" w:asciiTheme="minorEastAsia" w:hAnsiTheme="minorEastAsia"/>
          <w:sz w:val="24"/>
          <w:szCs w:val="24"/>
        </w:rPr>
        <w:t>2、故障维修</w:t>
      </w:r>
    </w:p>
    <w:p>
      <w:pPr>
        <w:spacing w:line="360" w:lineRule="auto"/>
        <w:ind w:left="420" w:leftChars="200"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color w:val="000000"/>
          <w:kern w:val="0"/>
          <w:sz w:val="24"/>
        </w:rPr>
        <w:t>针对现场使用中可能出现的问题，将设置故障维修服务，以保证</w:t>
      </w:r>
      <w:r>
        <w:rPr>
          <w:rFonts w:hint="eastAsia" w:asciiTheme="minorEastAsia" w:hAnsiTheme="minorEastAsia" w:eastAsiaTheme="minorEastAsia"/>
          <w:color w:val="000000"/>
          <w:kern w:val="0"/>
          <w:sz w:val="24"/>
        </w:rPr>
        <w:t>BA</w:t>
      </w:r>
      <w:r>
        <w:rPr>
          <w:rFonts w:hint="eastAsia" w:cs="宋体" w:asciiTheme="minorEastAsia" w:hAnsiTheme="minorEastAsia" w:eastAsiaTheme="minorEastAsia"/>
          <w:color w:val="000000"/>
          <w:kern w:val="0"/>
          <w:sz w:val="24"/>
        </w:rPr>
        <w:t>系统的正常运行。故障发生时，甲方以电话或者传真的方式通知乙方，乙方收到甲方的报障通知后在</w:t>
      </w:r>
      <w:r>
        <w:rPr>
          <w:rFonts w:hint="eastAsia" w:asciiTheme="minorEastAsia" w:hAnsiTheme="minorEastAsia" w:eastAsiaTheme="minorEastAsia"/>
          <w:color w:val="000000"/>
          <w:kern w:val="0"/>
          <w:sz w:val="24"/>
        </w:rPr>
        <w:t>1</w:t>
      </w:r>
      <w:r>
        <w:rPr>
          <w:rFonts w:hint="eastAsia" w:cs="宋体" w:asciiTheme="minorEastAsia" w:hAnsiTheme="minorEastAsia" w:eastAsiaTheme="minorEastAsia"/>
          <w:color w:val="000000"/>
          <w:kern w:val="0"/>
          <w:sz w:val="24"/>
        </w:rPr>
        <w:t>个小时内做出响应，在</w:t>
      </w:r>
      <w:r>
        <w:rPr>
          <w:rFonts w:hint="eastAsia" w:asciiTheme="minorEastAsia" w:hAnsiTheme="minorEastAsia" w:eastAsiaTheme="minorEastAsia"/>
          <w:color w:val="000000"/>
          <w:kern w:val="0"/>
          <w:sz w:val="24"/>
        </w:rPr>
        <w:t>48小时</w:t>
      </w:r>
      <w:r>
        <w:rPr>
          <w:rFonts w:hint="eastAsia" w:cs="宋体" w:asciiTheme="minorEastAsia" w:hAnsiTheme="minorEastAsia" w:eastAsiaTheme="minorEastAsia"/>
          <w:color w:val="000000"/>
          <w:kern w:val="0"/>
          <w:sz w:val="24"/>
        </w:rPr>
        <w:t>内解决问题。</w:t>
      </w:r>
      <w:r>
        <w:rPr>
          <w:rFonts w:hint="eastAsia" w:cs="宋体" w:asciiTheme="minorEastAsia" w:hAnsiTheme="minorEastAsia" w:eastAsiaTheme="minorEastAsia"/>
          <w:bCs/>
          <w:sz w:val="24"/>
        </w:rPr>
        <w:t>服务方式：乙方到甲方设备所在现场进行保修，人工费及差旅费一切费用均由乙方承担。</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3、</w:t>
      </w:r>
      <w:r>
        <w:rPr>
          <w:rFonts w:hint="eastAsia" w:cs="宋体" w:asciiTheme="minorEastAsia" w:hAnsiTheme="minorEastAsia" w:eastAsiaTheme="minorEastAsia"/>
          <w:kern w:val="0"/>
          <w:sz w:val="24"/>
        </w:rPr>
        <w:t>维护服务标准</w:t>
      </w:r>
    </w:p>
    <w:p>
      <w:pPr>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定期巡查：每个月对维护涉及的项目进行2次全面巡查，及时发现故障、隐患，及时处理缺陷。</w:t>
      </w:r>
    </w:p>
    <w:p>
      <w:pPr>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定期全面维护：每年2次，对</w:t>
      </w:r>
      <w:r>
        <w:rPr>
          <w:rFonts w:hint="eastAsia" w:asciiTheme="minorEastAsia" w:hAnsiTheme="minorEastAsia" w:eastAsiaTheme="minorEastAsia"/>
          <w:sz w:val="24"/>
        </w:rPr>
        <w:t>维保内容</w:t>
      </w:r>
      <w:r>
        <w:rPr>
          <w:rFonts w:hint="eastAsia" w:cs="宋体" w:asciiTheme="minorEastAsia" w:hAnsiTheme="minorEastAsia" w:eastAsiaTheme="minorEastAsia"/>
          <w:color w:val="000000"/>
          <w:kern w:val="0"/>
          <w:sz w:val="24"/>
        </w:rPr>
        <w:t>涉及的系统进行全面备份。</w:t>
      </w:r>
    </w:p>
    <w:p>
      <w:pPr>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应急抢修：不限次数，自接到报修电话30分钟内到场，一般2小时完成维修，如不能完成，应作必要的隔离应急处理，避免影响扩大，影响正常生产。</w:t>
      </w:r>
    </w:p>
    <w:p>
      <w:pPr>
        <w:spacing w:line="360" w:lineRule="auto"/>
        <w:rPr>
          <w:rFonts w:cs="宋体" w:asciiTheme="minorEastAsia" w:hAnsiTheme="minorEastAsia" w:eastAsiaTheme="minorEastAsia"/>
          <w:color w:val="FF0000"/>
          <w:kern w:val="0"/>
          <w:sz w:val="24"/>
        </w:rPr>
      </w:pPr>
      <w:r>
        <w:rPr>
          <w:rFonts w:hint="eastAsia" w:cs="宋体" w:asciiTheme="minorEastAsia" w:hAnsiTheme="minorEastAsia" w:eastAsiaTheme="minorEastAsia"/>
          <w:color w:val="000000"/>
          <w:kern w:val="0"/>
          <w:sz w:val="24"/>
        </w:rPr>
        <w:t>4、如需更换设备或者零件</w:t>
      </w:r>
    </w:p>
    <w:p>
      <w:pPr>
        <w:spacing w:line="360" w:lineRule="auto"/>
        <w:ind w:firstLine="480" w:firstLineChars="200"/>
        <w:rPr>
          <w:rFonts w:cs="宋体" w:asciiTheme="minorEastAsia" w:hAnsiTheme="minorEastAsia" w:eastAsiaTheme="minorEastAsia"/>
          <w:bCs/>
          <w:sz w:val="24"/>
          <w:u w:val="single"/>
        </w:rPr>
      </w:pPr>
      <w:r>
        <w:rPr>
          <w:rFonts w:hint="eastAsia" w:cs="Wingdings" w:asciiTheme="minorEastAsia" w:hAnsiTheme="minorEastAsia" w:eastAsiaTheme="minorEastAsia"/>
          <w:color w:val="000000"/>
          <w:kern w:val="0"/>
          <w:sz w:val="24"/>
        </w:rPr>
        <w:t></w:t>
      </w:r>
      <w:r>
        <w:rPr>
          <w:rFonts w:hint="eastAsia" w:cs="宋体" w:asciiTheme="minorEastAsia" w:hAnsiTheme="minorEastAsia" w:eastAsiaTheme="minorEastAsia"/>
          <w:bCs/>
          <w:sz w:val="24"/>
          <w:u w:val="single"/>
        </w:rPr>
        <w:t xml:space="preserve">主要设备配置清单中，BA系统维保维修及升级所需的单项维修材料费200元以下（不含本数）部件、耗材已包含在项目费用中，乙方不再另外收费。 </w:t>
      </w:r>
    </w:p>
    <w:p>
      <w:pPr>
        <w:spacing w:line="360" w:lineRule="auto"/>
        <w:ind w:firstLine="480" w:firstLineChars="200"/>
        <w:rPr>
          <w:rFonts w:cs="宋体" w:asciiTheme="minorEastAsia" w:hAnsiTheme="minorEastAsia" w:eastAsiaTheme="minorEastAsia"/>
          <w:bCs/>
          <w:sz w:val="24"/>
          <w:u w:val="single"/>
        </w:rPr>
      </w:pPr>
      <w:r>
        <w:rPr>
          <w:rFonts w:hint="eastAsia" w:cs="Wingdings" w:asciiTheme="minorEastAsia" w:hAnsiTheme="minorEastAsia" w:eastAsiaTheme="minorEastAsia"/>
          <w:color w:val="000000"/>
          <w:kern w:val="0"/>
          <w:sz w:val="24"/>
        </w:rPr>
        <w:t></w:t>
      </w:r>
      <w:r>
        <w:rPr>
          <w:rFonts w:hint="eastAsia" w:cs="宋体" w:asciiTheme="minorEastAsia" w:hAnsiTheme="minorEastAsia" w:eastAsiaTheme="minorEastAsia"/>
          <w:bCs/>
          <w:sz w:val="24"/>
          <w:u w:val="single"/>
        </w:rPr>
        <w:t xml:space="preserve">单项维修材料费在200元以上（含本数）20000元以内（不含本数）的配件更换项目，按照报价清单免人工费更换，材料费由乙方负责；单项维修材料费在20000元以上（含本数）学校分散采购限额标准以内（不含本数）的，按甲方工程管理规定另行签订合同实施，但需遵守本合同结算原则。本合同维保清单内的设备及线路维修如甲方另行通过招标或议标方式采购，则根据招标（或议标）采购结果执行； </w:t>
      </w:r>
    </w:p>
    <w:p>
      <w:pPr>
        <w:spacing w:line="360" w:lineRule="auto"/>
        <w:ind w:firstLine="480" w:firstLineChars="200"/>
        <w:rPr>
          <w:rFonts w:cs="宋体" w:asciiTheme="minorEastAsia" w:hAnsiTheme="minorEastAsia" w:eastAsiaTheme="minorEastAsia"/>
          <w:bCs/>
          <w:sz w:val="24"/>
          <w:u w:val="single"/>
        </w:rPr>
      </w:pPr>
      <w:r>
        <w:rPr>
          <w:rFonts w:hint="eastAsia" w:cs="宋体" w:asciiTheme="minorEastAsia" w:hAnsiTheme="minorEastAsia" w:eastAsiaTheme="minorEastAsia"/>
          <w:bCs/>
          <w:sz w:val="24"/>
          <w:u w:val="single"/>
        </w:rPr>
        <w:t>单项维修材料费200元及以上相关维修材料费报价清单详见附件《备品备件清单》</w:t>
      </w:r>
    </w:p>
    <w:p>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5、服务频次</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按维护保养服务内要求，完成每月巡查检修，特殊情况（重大校事活动、极端天气等）需增加巡查次数。</w:t>
      </w:r>
    </w:p>
    <w:p>
      <w:pPr>
        <w:spacing w:line="360" w:lineRule="auto"/>
        <w:rPr>
          <w:rFonts w:cs="宋体" w:asciiTheme="minorEastAsia" w:hAnsiTheme="minorEastAsia" w:eastAsiaTheme="minorEastAsia"/>
          <w:color w:val="000000"/>
          <w:kern w:val="0"/>
          <w:sz w:val="24"/>
        </w:rPr>
      </w:pPr>
      <w:bookmarkStart w:id="1" w:name="OLE_LINK1"/>
      <w:r>
        <w:rPr>
          <w:rFonts w:hint="eastAsia" w:cs="宋体" w:asciiTheme="minorEastAsia" w:hAnsiTheme="minorEastAsia" w:eastAsiaTheme="minorEastAsia"/>
          <w:color w:val="000000"/>
          <w:kern w:val="0"/>
          <w:sz w:val="24"/>
        </w:rPr>
        <w:t>6、技术服务进度</w:t>
      </w:r>
      <w:bookmarkEnd w:id="1"/>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按双方确认的《维护保养服务内容》计划进度进行。</w:t>
      </w:r>
    </w:p>
    <w:p>
      <w:pPr>
        <w:tabs>
          <w:tab w:val="left" w:pos="1260"/>
          <w:tab w:val="left" w:pos="1575"/>
        </w:tabs>
        <w:adjustRightInd w:val="0"/>
        <w:snapToGrid w:val="0"/>
        <w:spacing w:line="360" w:lineRule="auto"/>
        <w:outlineLvl w:val="3"/>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r>
        <w:rPr>
          <w:rFonts w:hint="eastAsia" w:cs="宋体" w:asciiTheme="minorEastAsia" w:hAnsiTheme="minorEastAsia" w:eastAsiaTheme="minorEastAsia"/>
          <w:color w:val="000000"/>
          <w:kern w:val="0"/>
          <w:sz w:val="24"/>
        </w:rPr>
        <w:t>技术服务质量要求：</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急修零修及时率100%。</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设备计划维保及时率100%。</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生产安全责任事故为0。</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8、其它</w:t>
      </w:r>
    </w:p>
    <w:p>
      <w:pPr>
        <w:spacing w:line="360" w:lineRule="auto"/>
        <w:rPr>
          <w:rFonts w:cs="宋体" w:asciiTheme="minorEastAsia" w:hAnsiTheme="minorEastAsia" w:eastAsiaTheme="minorEastAsia"/>
          <w:b/>
          <w:bCs/>
          <w:sz w:val="24"/>
          <w:u w:val="single"/>
        </w:rPr>
      </w:pPr>
      <w:r>
        <w:rPr>
          <w:rFonts w:hint="eastAsia" w:cs="宋体" w:asciiTheme="minorEastAsia" w:hAnsiTheme="minorEastAsia" w:eastAsiaTheme="minorEastAsia"/>
          <w:b/>
          <w:sz w:val="24"/>
        </w:rPr>
        <w:t>为确保BA系统正常运行，项目的工作范围及内容范围不限于以上内容。</w:t>
      </w:r>
    </w:p>
    <w:p>
      <w:pPr>
        <w:numPr>
          <w:ilvl w:val="0"/>
          <w:numId w:val="11"/>
        </w:numPr>
        <w:spacing w:line="360" w:lineRule="auto"/>
        <w:rPr>
          <w:rFonts w:asciiTheme="minorEastAsia" w:hAnsiTheme="minorEastAsia" w:eastAsiaTheme="minorEastAsia"/>
          <w:b/>
          <w:sz w:val="24"/>
        </w:rPr>
      </w:pPr>
      <w:r>
        <w:rPr>
          <w:rFonts w:hint="eastAsia" w:asciiTheme="minorEastAsia" w:hAnsiTheme="minorEastAsia" w:eastAsiaTheme="minorEastAsia"/>
          <w:b/>
          <w:bCs/>
          <w:color w:val="000000"/>
          <w:sz w:val="24"/>
        </w:rPr>
        <w:t>保密责任</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双方应保守通过签订和履行本合同而获取的对方之商业及技术秘密，包括合同文本，相关技术文件、相关数据，以及其他有关信息。任何一方违反上述约定的，应赔偿合同守约方的损失。本保密条款不因合同终止而终止。</w:t>
      </w:r>
    </w:p>
    <w:p>
      <w:pPr>
        <w:numPr>
          <w:ilvl w:val="0"/>
          <w:numId w:val="11"/>
        </w:numPr>
        <w:rPr>
          <w:rFonts w:asciiTheme="minorEastAsia" w:hAnsiTheme="minorEastAsia" w:eastAsiaTheme="minorEastAsia"/>
          <w:b/>
          <w:sz w:val="24"/>
        </w:rPr>
      </w:pPr>
      <w:r>
        <w:rPr>
          <w:rFonts w:hint="eastAsia" w:asciiTheme="minorEastAsia" w:hAnsiTheme="minorEastAsia" w:eastAsiaTheme="minorEastAsia"/>
          <w:b/>
          <w:sz w:val="24"/>
        </w:rPr>
        <w:t>工程量说明</w:t>
      </w:r>
    </w:p>
    <w:tbl>
      <w:tblPr>
        <w:tblStyle w:val="13"/>
        <w:tblpPr w:leftFromText="180" w:rightFromText="180" w:vertAnchor="text" w:horzAnchor="page" w:tblpX="2369" w:tblpY="245"/>
        <w:tblW w:w="5307" w:type="dxa"/>
        <w:tblInd w:w="0" w:type="dxa"/>
        <w:tblLayout w:type="fixed"/>
        <w:tblCellMar>
          <w:top w:w="0" w:type="dxa"/>
          <w:left w:w="108" w:type="dxa"/>
          <w:bottom w:w="0" w:type="dxa"/>
          <w:right w:w="108" w:type="dxa"/>
        </w:tblCellMar>
      </w:tblPr>
      <w:tblGrid>
        <w:gridCol w:w="957"/>
        <w:gridCol w:w="2709"/>
        <w:gridCol w:w="965"/>
        <w:gridCol w:w="676"/>
      </w:tblGrid>
      <w:tr>
        <w:tblPrEx>
          <w:tblLayout w:type="fixed"/>
          <w:tblCellMar>
            <w:top w:w="0" w:type="dxa"/>
            <w:left w:w="108" w:type="dxa"/>
            <w:bottom w:w="0" w:type="dxa"/>
            <w:right w:w="108" w:type="dxa"/>
          </w:tblCellMar>
        </w:tblPrEx>
        <w:trPr>
          <w:trHeight w:val="270" w:hRule="atLeast"/>
        </w:trPr>
        <w:tc>
          <w:tcPr>
            <w:tcW w:w="957"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2709" w:type="dxa"/>
            <w:tcBorders>
              <w:top w:val="single" w:color="auto" w:sz="4" w:space="0"/>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项目名称</w:t>
            </w:r>
          </w:p>
        </w:tc>
        <w:tc>
          <w:tcPr>
            <w:tcW w:w="965" w:type="dxa"/>
            <w:tcBorders>
              <w:top w:val="single" w:color="auto" w:sz="4" w:space="0"/>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数量</w:t>
            </w:r>
          </w:p>
        </w:tc>
        <w:tc>
          <w:tcPr>
            <w:tcW w:w="676" w:type="dxa"/>
            <w:tcBorders>
              <w:top w:val="single" w:color="auto" w:sz="4" w:space="0"/>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单位</w:t>
            </w:r>
          </w:p>
        </w:tc>
      </w:tr>
      <w:tr>
        <w:tblPrEx>
          <w:tblLayout w:type="fixed"/>
          <w:tblCellMar>
            <w:top w:w="0" w:type="dxa"/>
            <w:left w:w="108" w:type="dxa"/>
            <w:bottom w:w="0" w:type="dxa"/>
            <w:right w:w="108" w:type="dxa"/>
          </w:tblCellMar>
        </w:tblPrEx>
        <w:trPr>
          <w:trHeight w:val="270" w:hRule="atLeast"/>
        </w:trPr>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BA系统维护点数</w:t>
            </w:r>
          </w:p>
        </w:tc>
        <w:tc>
          <w:tcPr>
            <w:tcW w:w="9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6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w:t>
            </w:r>
          </w:p>
        </w:tc>
      </w:tr>
      <w:tr>
        <w:tblPrEx>
          <w:tblLayout w:type="fixed"/>
          <w:tblCellMar>
            <w:top w:w="0" w:type="dxa"/>
            <w:left w:w="108" w:type="dxa"/>
            <w:bottom w:w="0" w:type="dxa"/>
            <w:right w:w="108" w:type="dxa"/>
          </w:tblCellMar>
        </w:tblPrEx>
        <w:trPr>
          <w:trHeight w:val="270" w:hRule="atLeast"/>
        </w:trPr>
        <w:tc>
          <w:tcPr>
            <w:tcW w:w="9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系统通讯接口</w:t>
            </w:r>
          </w:p>
        </w:tc>
        <w:tc>
          <w:tcPr>
            <w:tcW w:w="96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Tahoma" w:asciiTheme="minorEastAsia" w:hAnsiTheme="minorEastAsia" w:eastAsiaTheme="minorEastAsia"/>
                <w:kern w:val="0"/>
                <w:szCs w:val="21"/>
              </w:rPr>
              <w:t>1</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w:t>
            </w:r>
          </w:p>
        </w:tc>
      </w:tr>
      <w:tr>
        <w:tblPrEx>
          <w:tblLayout w:type="fixed"/>
          <w:tblCellMar>
            <w:top w:w="0" w:type="dxa"/>
            <w:left w:w="108" w:type="dxa"/>
            <w:bottom w:w="0" w:type="dxa"/>
            <w:right w:w="108" w:type="dxa"/>
          </w:tblCellMar>
        </w:tblPrEx>
        <w:trPr>
          <w:trHeight w:val="270" w:hRule="atLeast"/>
        </w:trPr>
        <w:tc>
          <w:tcPr>
            <w:tcW w:w="9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备品备件</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1</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w:t>
            </w:r>
          </w:p>
        </w:tc>
      </w:tr>
      <w:tr>
        <w:tblPrEx>
          <w:tblLayout w:type="fixed"/>
          <w:tblCellMar>
            <w:top w:w="0" w:type="dxa"/>
            <w:left w:w="108" w:type="dxa"/>
            <w:bottom w:w="0" w:type="dxa"/>
            <w:right w:w="108" w:type="dxa"/>
          </w:tblCellMar>
        </w:tblPrEx>
        <w:trPr>
          <w:trHeight w:val="270" w:hRule="atLeast"/>
        </w:trPr>
        <w:tc>
          <w:tcPr>
            <w:tcW w:w="9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其他费用</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1</w:t>
            </w:r>
          </w:p>
        </w:tc>
        <w:tc>
          <w:tcPr>
            <w:tcW w:w="6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w:t>
            </w:r>
          </w:p>
        </w:tc>
      </w:tr>
    </w:tbl>
    <w:p>
      <w:pPr>
        <w:jc w:val="center"/>
        <w:rPr>
          <w:rFonts w:asciiTheme="minorEastAsia" w:hAnsiTheme="minorEastAsia" w:eastAsiaTheme="minorEastAsia"/>
          <w:b/>
          <w:sz w:val="24"/>
        </w:rPr>
      </w:pPr>
    </w:p>
    <w:p>
      <w:pPr>
        <w:rPr>
          <w:rFonts w:cs="宋体" w:asciiTheme="minorEastAsia" w:hAnsiTheme="minorEastAsia" w:eastAsiaTheme="minorEastAsia"/>
          <w:b/>
          <w:kern w:val="0"/>
          <w:sz w:val="24"/>
        </w:rPr>
      </w:pPr>
    </w:p>
    <w:p>
      <w:pPr>
        <w:rPr>
          <w:rFonts w:cs="宋体" w:asciiTheme="minorEastAsia" w:hAnsiTheme="minorEastAsia" w:eastAsiaTheme="minorEastAsia"/>
          <w:b/>
          <w:kern w:val="0"/>
          <w:sz w:val="24"/>
        </w:rPr>
      </w:pPr>
    </w:p>
    <w:p>
      <w:pPr>
        <w:rPr>
          <w:rFonts w:cs="宋体" w:asciiTheme="minorEastAsia" w:hAnsiTheme="minorEastAsia" w:eastAsiaTheme="minorEastAsia"/>
          <w:b/>
          <w:kern w:val="0"/>
          <w:sz w:val="24"/>
        </w:rPr>
      </w:pPr>
    </w:p>
    <w:p>
      <w:pPr>
        <w:rPr>
          <w:rFonts w:cs="宋体" w:asciiTheme="minorEastAsia" w:hAnsiTheme="minorEastAsia" w:eastAsiaTheme="minorEastAsia"/>
          <w:b/>
          <w:kern w:val="0"/>
          <w:sz w:val="24"/>
        </w:rPr>
      </w:pPr>
    </w:p>
    <w:p>
      <w:pPr>
        <w:rPr>
          <w:rFonts w:cs="宋体" w:asciiTheme="minorEastAsia" w:hAnsiTheme="minorEastAsia" w:eastAsiaTheme="minorEastAsia"/>
          <w:b/>
          <w:kern w:val="0"/>
          <w:sz w:val="24"/>
        </w:rPr>
      </w:pP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五、工期</w:t>
      </w:r>
    </w:p>
    <w:p>
      <w:pPr>
        <w:adjustRightInd w:val="0"/>
        <w:snapToGrid w:val="0"/>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highlight w:val="yellow"/>
        </w:rPr>
        <w:t>超算BA系统2年维保，</w:t>
      </w:r>
      <w:r>
        <w:rPr>
          <w:rFonts w:hint="eastAsia" w:cs="宋体" w:asciiTheme="minorEastAsia" w:hAnsiTheme="minorEastAsia" w:eastAsiaTheme="minorEastAsia"/>
          <w:sz w:val="24"/>
        </w:rPr>
        <w:t>合同签订之日起至2023年12月31日，</w:t>
      </w:r>
      <w:r>
        <w:rPr>
          <w:rFonts w:hint="eastAsia" w:cs="宋体" w:asciiTheme="minorEastAsia" w:hAnsiTheme="minorEastAsia" w:eastAsiaTheme="minorEastAsia"/>
          <w:b/>
          <w:color w:val="FF0000"/>
          <w:sz w:val="24"/>
        </w:rPr>
        <w:t>若我司未与超算续签2023年超算BA维保合同，终止日期为2022年12月31日</w:t>
      </w:r>
      <w:r>
        <w:rPr>
          <w:rFonts w:hint="eastAsia" w:cs="宋体" w:asciiTheme="minorEastAsia" w:hAnsiTheme="minorEastAsia" w:eastAsiaTheme="minorEastAsia"/>
          <w:b/>
          <w:sz w:val="24"/>
        </w:rPr>
        <w:t>。</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highlight w:val="yellow"/>
        </w:rPr>
        <w:t>超算BA系统重构及系统更新施工工期，合同签订之日起至2022年12月31日，每周周二至周五按超算需求实施。</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b/>
          <w:sz w:val="24"/>
        </w:rPr>
        <w:t>六、</w:t>
      </w:r>
      <w:r>
        <w:rPr>
          <w:rFonts w:hint="eastAsia" w:cs="宋体" w:asciiTheme="minorEastAsia" w:hAnsiTheme="minorEastAsia" w:eastAsiaTheme="minorEastAsia"/>
          <w:b/>
          <w:sz w:val="24"/>
        </w:rPr>
        <w:t>维修、保养服务的要求与验收</w:t>
      </w:r>
    </w:p>
    <w:p>
      <w:pPr>
        <w:pStyle w:val="22"/>
        <w:spacing w:line="360" w:lineRule="auto"/>
        <w:ind w:firstLine="0" w:firstLineChars="0"/>
        <w:jc w:val="left"/>
        <w:rPr>
          <w:rFonts w:cs="宋体" w:asciiTheme="minorEastAsia" w:hAnsiTheme="minorEastAsia"/>
          <w:bCs/>
          <w:sz w:val="24"/>
          <w:szCs w:val="24"/>
        </w:rPr>
      </w:pPr>
      <w:r>
        <w:rPr>
          <w:rFonts w:hint="eastAsia" w:cs="宋体" w:asciiTheme="minorEastAsia" w:hAnsiTheme="minorEastAsia"/>
          <w:bCs/>
          <w:sz w:val="24"/>
          <w:szCs w:val="24"/>
        </w:rPr>
        <w:t>6.1 维保服务作业应符合国家、地方、行业规范，确保仪器设备处于技术状态良好、安全、稳定、持续运行的要求。</w:t>
      </w:r>
    </w:p>
    <w:p>
      <w:pPr>
        <w:pStyle w:val="22"/>
        <w:spacing w:line="360" w:lineRule="auto"/>
        <w:ind w:firstLine="0" w:firstLineChars="0"/>
        <w:jc w:val="left"/>
        <w:rPr>
          <w:rFonts w:cs="宋体" w:asciiTheme="minorEastAsia" w:hAnsiTheme="minorEastAsia"/>
          <w:bCs/>
          <w:sz w:val="24"/>
          <w:szCs w:val="24"/>
        </w:rPr>
      </w:pPr>
      <w:r>
        <w:rPr>
          <w:rFonts w:hint="eastAsia" w:cs="宋体" w:asciiTheme="minorEastAsia" w:hAnsiTheme="minorEastAsia"/>
          <w:bCs/>
          <w:sz w:val="24"/>
          <w:szCs w:val="24"/>
        </w:rPr>
        <w:t>6.2 验收标准：服务验收以甲乙双方共同确认的仪器处于正常工作状态为准。</w:t>
      </w:r>
    </w:p>
    <w:p>
      <w:pPr>
        <w:pStyle w:val="22"/>
        <w:spacing w:line="360" w:lineRule="auto"/>
        <w:ind w:firstLine="0" w:firstLineChars="0"/>
        <w:jc w:val="left"/>
        <w:rPr>
          <w:rFonts w:cs="宋体" w:asciiTheme="minorEastAsia" w:hAnsiTheme="minorEastAsia"/>
          <w:bCs/>
          <w:sz w:val="24"/>
          <w:szCs w:val="24"/>
        </w:rPr>
      </w:pPr>
      <w:r>
        <w:rPr>
          <w:rFonts w:hint="eastAsia" w:cs="宋体" w:asciiTheme="minorEastAsia" w:hAnsiTheme="minorEastAsia"/>
          <w:bCs/>
          <w:sz w:val="24"/>
          <w:szCs w:val="24"/>
        </w:rPr>
        <w:t>6.3 每次维保服务工作结束并得到甲方认可后，双方均需填写并签署维保报告一式两份，甲乙各一份。乙方每次维护后应对设备的现状、甲方使用中需要注意的内容写入维保报告。</w:t>
      </w:r>
    </w:p>
    <w:p>
      <w:pPr>
        <w:tabs>
          <w:tab w:val="left" w:pos="540"/>
          <w:tab w:val="left" w:pos="720"/>
        </w:tabs>
        <w:ind w:left="560"/>
        <w:rPr>
          <w:rFonts w:cs="宋体" w:asciiTheme="minorEastAsia" w:hAnsiTheme="minorEastAsia" w:eastAsiaTheme="minorEastAsia"/>
          <w:sz w:val="24"/>
        </w:rPr>
      </w:pPr>
    </w:p>
    <w:p>
      <w:pPr>
        <w:widowControl/>
        <w:jc w:val="left"/>
        <w:rPr>
          <w:rFonts w:cs="宋体" w:asciiTheme="minorEastAsia" w:hAnsiTheme="minorEastAsia" w:eastAsiaTheme="minorEastAsia"/>
          <w:kern w:val="0"/>
          <w:sz w:val="24"/>
        </w:rPr>
      </w:pPr>
      <w:r>
        <w:rPr>
          <w:rFonts w:hint="eastAsia" w:asciiTheme="minorEastAsia" w:hAnsiTheme="minorEastAsia" w:eastAsiaTheme="minorEastAsia"/>
          <w:sz w:val="24"/>
        </w:rPr>
        <w:t>附件：维护设备清单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955"/>
        <w:gridCol w:w="396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3969"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型号</w:t>
            </w:r>
          </w:p>
        </w:tc>
        <w:tc>
          <w:tcPr>
            <w:tcW w:w="1468"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工作站（PC）</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2台</w:t>
            </w:r>
          </w:p>
        </w:tc>
        <w:tc>
          <w:tcPr>
            <w:tcW w:w="3969" w:type="dxa"/>
            <w:shd w:val="clear" w:color="auto" w:fill="auto"/>
          </w:tcPr>
          <w:p>
            <w:pPr>
              <w:rPr>
                <w:rFonts w:asciiTheme="minorEastAsia" w:hAnsiTheme="minorEastAsia" w:eastAsiaTheme="minorEastAsia"/>
                <w:sz w:val="18"/>
                <w:szCs w:val="18"/>
              </w:rPr>
            </w:pPr>
            <w:r>
              <w:rPr>
                <w:rFonts w:hint="eastAsia" w:cs="宋体" w:asciiTheme="minorEastAsia" w:hAnsiTheme="minorEastAsia" w:eastAsiaTheme="minorEastAsia"/>
                <w:color w:val="000000"/>
                <w:sz w:val="18"/>
                <w:szCs w:val="18"/>
              </w:rPr>
              <w:t>Dell，Automation Server 网络控制服务器1台</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系统软件</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1套</w:t>
            </w:r>
          </w:p>
        </w:tc>
        <w:tc>
          <w:tcPr>
            <w:tcW w:w="3969"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Struxureware软件平台</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DDC控制箱</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9个</w:t>
            </w:r>
          </w:p>
        </w:tc>
        <w:tc>
          <w:tcPr>
            <w:tcW w:w="3969" w:type="dxa"/>
            <w:shd w:val="clear" w:color="auto" w:fill="auto"/>
          </w:tcPr>
          <w:p>
            <w:pPr>
              <w:rPr>
                <w:rFonts w:asciiTheme="minorEastAsia" w:hAnsiTheme="minorEastAsia" w:eastAsiaTheme="minorEastAsia"/>
                <w:sz w:val="18"/>
                <w:szCs w:val="18"/>
              </w:rPr>
            </w:pPr>
            <w:r>
              <w:rPr>
                <w:rFonts w:hint="eastAsia" w:cs="宋体" w:asciiTheme="minorEastAsia" w:hAnsiTheme="minorEastAsia" w:eastAsiaTheme="minorEastAsia"/>
                <w:color w:val="000000"/>
                <w:sz w:val="18"/>
                <w:szCs w:val="18"/>
              </w:rPr>
              <w:t>含相应I/O控制模块、数字控制器、电源模块等</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水位开关</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16个</w:t>
            </w:r>
          </w:p>
        </w:tc>
        <w:tc>
          <w:tcPr>
            <w:tcW w:w="3969"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MA/MAC3</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室外温湿度传感器</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1个</w:t>
            </w:r>
          </w:p>
        </w:tc>
        <w:tc>
          <w:tcPr>
            <w:tcW w:w="3969"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VER/HO3XVSTN</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电动调节阀</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12个</w:t>
            </w:r>
          </w:p>
        </w:tc>
        <w:tc>
          <w:tcPr>
            <w:tcW w:w="3969" w:type="dxa"/>
            <w:shd w:val="clear" w:color="auto" w:fill="auto"/>
          </w:tcPr>
          <w:p>
            <w:pPr>
              <w:rPr>
                <w:rFonts w:asciiTheme="minorEastAsia" w:hAnsiTheme="minorEastAsia" w:eastAsiaTheme="minorEastAsia"/>
                <w:sz w:val="18"/>
                <w:szCs w:val="18"/>
              </w:rPr>
            </w:pPr>
          </w:p>
        </w:tc>
        <w:tc>
          <w:tcPr>
            <w:tcW w:w="1468"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空调专业提供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气流压差开关</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13个</w:t>
            </w:r>
          </w:p>
        </w:tc>
        <w:tc>
          <w:tcPr>
            <w:tcW w:w="3969" w:type="dxa"/>
            <w:shd w:val="clear" w:color="auto" w:fill="auto"/>
          </w:tcPr>
          <w:p>
            <w:pPr>
              <w:rPr>
                <w:rFonts w:asciiTheme="minorEastAsia" w:hAnsiTheme="minorEastAsia" w:eastAsiaTheme="minorEastAsia"/>
                <w:sz w:val="18"/>
                <w:szCs w:val="18"/>
              </w:rPr>
            </w:pP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风管温度传感器</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13个</w:t>
            </w:r>
          </w:p>
        </w:tc>
        <w:tc>
          <w:tcPr>
            <w:tcW w:w="3969"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STD100</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电动蝶阀</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18个</w:t>
            </w:r>
          </w:p>
        </w:tc>
        <w:tc>
          <w:tcPr>
            <w:tcW w:w="3969" w:type="dxa"/>
            <w:shd w:val="clear" w:color="auto" w:fill="auto"/>
          </w:tcPr>
          <w:p>
            <w:pPr>
              <w:rPr>
                <w:rFonts w:asciiTheme="minorEastAsia" w:hAnsiTheme="minorEastAsia" w:eastAsiaTheme="minorEastAsia"/>
                <w:sz w:val="18"/>
                <w:szCs w:val="18"/>
              </w:rPr>
            </w:pPr>
          </w:p>
        </w:tc>
        <w:tc>
          <w:tcPr>
            <w:tcW w:w="1468"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空调专业提供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水管温度传感器</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28个</w:t>
            </w:r>
          </w:p>
        </w:tc>
        <w:tc>
          <w:tcPr>
            <w:tcW w:w="3969"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SD910</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水管压力传感器</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4个</w:t>
            </w:r>
          </w:p>
        </w:tc>
        <w:tc>
          <w:tcPr>
            <w:tcW w:w="3969"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1600Kpa</w:t>
            </w:r>
          </w:p>
        </w:tc>
        <w:tc>
          <w:tcPr>
            <w:tcW w:w="1468" w:type="dxa"/>
            <w:shd w:val="clear" w:color="auto" w:fill="auto"/>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水流指示计</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2个</w:t>
            </w:r>
          </w:p>
        </w:tc>
        <w:tc>
          <w:tcPr>
            <w:tcW w:w="3969" w:type="dxa"/>
            <w:shd w:val="clear" w:color="auto" w:fill="auto"/>
          </w:tcPr>
          <w:p>
            <w:pPr>
              <w:rPr>
                <w:rFonts w:asciiTheme="minorEastAsia" w:hAnsiTheme="minorEastAsia" w:eastAsiaTheme="minorEastAsia"/>
                <w:sz w:val="18"/>
                <w:szCs w:val="18"/>
              </w:rPr>
            </w:pPr>
          </w:p>
        </w:tc>
        <w:tc>
          <w:tcPr>
            <w:tcW w:w="1468"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空调专业提供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电磁式流量计</w:t>
            </w:r>
          </w:p>
        </w:tc>
        <w:tc>
          <w:tcPr>
            <w:tcW w:w="955"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按实</w:t>
            </w:r>
          </w:p>
        </w:tc>
        <w:tc>
          <w:tcPr>
            <w:tcW w:w="3969" w:type="dxa"/>
            <w:shd w:val="clear" w:color="auto" w:fill="auto"/>
          </w:tcPr>
          <w:p>
            <w:pPr>
              <w:rPr>
                <w:rFonts w:asciiTheme="minorEastAsia" w:hAnsiTheme="minorEastAsia" w:eastAsiaTheme="minorEastAsia"/>
                <w:sz w:val="18"/>
                <w:szCs w:val="18"/>
              </w:rPr>
            </w:pPr>
          </w:p>
        </w:tc>
        <w:tc>
          <w:tcPr>
            <w:tcW w:w="1468"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空调专业提供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空调机配电箱</w:t>
            </w:r>
          </w:p>
        </w:tc>
        <w:tc>
          <w:tcPr>
            <w:tcW w:w="955" w:type="dxa"/>
            <w:shd w:val="clear" w:color="auto" w:fill="auto"/>
          </w:tcPr>
          <w:p>
            <w:pPr>
              <w:rPr>
                <w:rFonts w:asciiTheme="minorEastAsia" w:hAnsiTheme="minorEastAsia" w:eastAsiaTheme="minorEastAsia"/>
                <w:sz w:val="18"/>
                <w:szCs w:val="18"/>
              </w:rPr>
            </w:pPr>
          </w:p>
        </w:tc>
        <w:tc>
          <w:tcPr>
            <w:tcW w:w="3969" w:type="dxa"/>
            <w:shd w:val="clear" w:color="auto" w:fill="auto"/>
          </w:tcPr>
          <w:p>
            <w:pPr>
              <w:rPr>
                <w:rFonts w:asciiTheme="minorEastAsia" w:hAnsiTheme="minorEastAsia" w:eastAsiaTheme="minorEastAsia"/>
                <w:sz w:val="18"/>
                <w:szCs w:val="18"/>
              </w:rPr>
            </w:pPr>
          </w:p>
        </w:tc>
        <w:tc>
          <w:tcPr>
            <w:tcW w:w="1468"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见电气施工图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数据接口</w:t>
            </w:r>
          </w:p>
        </w:tc>
        <w:tc>
          <w:tcPr>
            <w:tcW w:w="955" w:type="dxa"/>
            <w:shd w:val="clear" w:color="auto" w:fill="auto"/>
          </w:tcPr>
          <w:p>
            <w:pPr>
              <w:rPr>
                <w:rFonts w:asciiTheme="minorEastAsia" w:hAnsiTheme="minorEastAsia" w:eastAsiaTheme="minorEastAsia"/>
                <w:sz w:val="18"/>
                <w:szCs w:val="18"/>
              </w:rPr>
            </w:pPr>
          </w:p>
        </w:tc>
        <w:tc>
          <w:tcPr>
            <w:tcW w:w="3969" w:type="dxa"/>
            <w:shd w:val="clear" w:color="auto" w:fill="auto"/>
          </w:tcPr>
          <w:p>
            <w:pPr>
              <w:rPr>
                <w:rFonts w:asciiTheme="minorEastAsia" w:hAnsiTheme="minorEastAsia" w:eastAsiaTheme="minorEastAsia"/>
                <w:sz w:val="18"/>
                <w:szCs w:val="18"/>
              </w:rPr>
            </w:pPr>
          </w:p>
        </w:tc>
        <w:tc>
          <w:tcPr>
            <w:tcW w:w="1468" w:type="dxa"/>
            <w:shd w:val="clear" w:color="auto" w:fill="auto"/>
          </w:tcPr>
          <w:p>
            <w:pPr>
              <w:rPr>
                <w:rFonts w:asciiTheme="minorEastAsia" w:hAnsiTheme="minorEastAsia" w:eastAsiaTheme="minorEastAsia"/>
                <w:sz w:val="18"/>
                <w:szCs w:val="18"/>
              </w:rPr>
            </w:pPr>
          </w:p>
        </w:tc>
      </w:tr>
    </w:tbl>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维护设备点表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276"/>
        <w:gridCol w:w="1134"/>
        <w:gridCol w:w="567"/>
        <w:gridCol w:w="567"/>
        <w:gridCol w:w="567"/>
        <w:gridCol w:w="567"/>
        <w:gridCol w:w="56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DDC编号</w:t>
            </w:r>
          </w:p>
        </w:tc>
        <w:tc>
          <w:tcPr>
            <w:tcW w:w="1134"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监控设备</w:t>
            </w:r>
          </w:p>
        </w:tc>
        <w:tc>
          <w:tcPr>
            <w:tcW w:w="567"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2268" w:type="dxa"/>
            <w:gridSpan w:val="4"/>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监控点</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监控内容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vMerge w:val="continue"/>
            <w:shd w:val="clear" w:color="auto" w:fill="auto"/>
          </w:tcPr>
          <w:p>
            <w:pPr>
              <w:rPr>
                <w:rFonts w:asciiTheme="minorEastAsia" w:hAnsiTheme="minorEastAsia" w:eastAsiaTheme="minorEastAsia"/>
                <w:szCs w:val="21"/>
              </w:rPr>
            </w:pPr>
          </w:p>
        </w:tc>
        <w:tc>
          <w:tcPr>
            <w:tcW w:w="567" w:type="dxa"/>
            <w:vMerge w:val="continue"/>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AI</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DI</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AO</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DO</w:t>
            </w:r>
          </w:p>
        </w:tc>
        <w:tc>
          <w:tcPr>
            <w:tcW w:w="288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DDC-B1-1a</w:t>
            </w:r>
          </w:p>
          <w:p>
            <w:pPr>
              <w:rPr>
                <w:rFonts w:asciiTheme="minorEastAsia" w:hAnsiTheme="minorEastAsia" w:eastAsiaTheme="minorEastAsia"/>
                <w:szCs w:val="21"/>
              </w:rPr>
            </w:pPr>
            <w:r>
              <w:rPr>
                <w:rFonts w:hint="eastAsia" w:asciiTheme="minorEastAsia" w:hAnsiTheme="minorEastAsia" w:eastAsiaTheme="minorEastAsia"/>
                <w:szCs w:val="21"/>
              </w:rPr>
              <w:t>DDC-B1-1b</w:t>
            </w:r>
          </w:p>
          <w:p>
            <w:pPr>
              <w:rPr>
                <w:rFonts w:asciiTheme="minorEastAsia" w:hAnsiTheme="minorEastAsia" w:eastAsiaTheme="minorEastAsia"/>
                <w:szCs w:val="21"/>
              </w:rPr>
            </w:pPr>
            <w:r>
              <w:rPr>
                <w:rFonts w:hint="eastAsia" w:asciiTheme="minorEastAsia" w:hAnsiTheme="minorEastAsia" w:eastAsiaTheme="minorEastAsia"/>
                <w:szCs w:val="21"/>
              </w:rPr>
              <w:t>DDC-B1-1c</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板式热交换器</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48</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288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智能换热机组</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开/关控制，2个RS48通信接口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冷冻水泵</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56</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28</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运行状态、故障状态、手、自动状态，开/关控制、变频状态、变频控制、变频器故障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PID电动阀</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12</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12</w:t>
            </w:r>
          </w:p>
        </w:tc>
        <w:tc>
          <w:tcPr>
            <w:tcW w:w="567" w:type="dxa"/>
            <w:shd w:val="clear" w:color="auto" w:fill="auto"/>
          </w:tcPr>
          <w:p>
            <w:pPr>
              <w:rPr>
                <w:rFonts w:asciiTheme="minorEastAsia" w:hAnsiTheme="minorEastAsia" w:eastAsiaTheme="minorEastAsia"/>
                <w:szCs w:val="21"/>
              </w:rPr>
            </w:pP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蝶阀开度状态、蝶阀开度控制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电动蝶阀</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18</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36</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36</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蝶阀开/关状态、蝶阀开/关控制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蓄冷罐测温仪</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8个RS485通信接口，每个蓄冷罐提供12个温度点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供回水及环境</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23</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5</w:t>
            </w:r>
          </w:p>
        </w:tc>
        <w:tc>
          <w:tcPr>
            <w:tcW w:w="567" w:type="dxa"/>
            <w:shd w:val="clear" w:color="auto" w:fill="auto"/>
          </w:tcPr>
          <w:p>
            <w:pPr>
              <w:rPr>
                <w:rFonts w:asciiTheme="minorEastAsia" w:hAnsiTheme="minorEastAsia" w:eastAsiaTheme="minorEastAsia"/>
                <w:szCs w:val="21"/>
              </w:rPr>
            </w:pP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冷冻水总供回水温度、压力，总回水流量，旁通压差控制器、旁通压差阀位置、室外温湿度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97</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92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31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74</w:t>
            </w:r>
          </w:p>
        </w:tc>
        <w:tc>
          <w:tcPr>
            <w:tcW w:w="288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DDC-1-2</w:t>
            </w:r>
          </w:p>
          <w:p>
            <w:pPr>
              <w:rPr>
                <w:rFonts w:asciiTheme="minorEastAsia" w:hAnsiTheme="minorEastAsia" w:eastAsiaTheme="minorEastAsia"/>
                <w:szCs w:val="21"/>
              </w:rPr>
            </w:pPr>
            <w:r>
              <w:rPr>
                <w:rFonts w:hint="eastAsia" w:asciiTheme="minorEastAsia" w:hAnsiTheme="minorEastAsia" w:eastAsiaTheme="minorEastAsia"/>
                <w:szCs w:val="21"/>
              </w:rPr>
              <w:t>DDC-B1-2a</w:t>
            </w:r>
          </w:p>
          <w:p>
            <w:pPr>
              <w:rPr>
                <w:rFonts w:asciiTheme="minorEastAsia" w:hAnsiTheme="minorEastAsia" w:eastAsiaTheme="minorEastAsia"/>
                <w:szCs w:val="21"/>
              </w:rPr>
            </w:pPr>
            <w:r>
              <w:rPr>
                <w:rFonts w:hint="eastAsia" w:asciiTheme="minorEastAsia" w:hAnsiTheme="minorEastAsia" w:eastAsiaTheme="minorEastAsia"/>
                <w:szCs w:val="21"/>
              </w:rPr>
              <w:t>DDC-B1-2b</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潜污泵</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28</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84</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运行状态、手、自动状态、故障状态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污水池</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14</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14</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超高水位报警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空调补水泵</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12</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运行状态、手、自动状态、故障状态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空调补水箱</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超高/超低水位报警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空调机</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3</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6</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3</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6</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运行状态、手、自动状态、故障状态、开/关控制、回风温度、滤网堵塞报警、二通阀控制、二通阀位置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6</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124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3</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6</w:t>
            </w:r>
          </w:p>
        </w:tc>
        <w:tc>
          <w:tcPr>
            <w:tcW w:w="288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3</w:t>
            </w: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DDC1-1</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空调机</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16</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运行状态、手、自动状态、故障状态、开/关控制、回风温度、滤网堵塞报警、二通阀控制、二通阀位置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16</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288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DDC1-2</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空调机</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16</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运行状态、手、自动状态、故障状态、开/关控制、回风温度、滤网堵塞报警、二通阀控制、二通阀位置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16</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288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5</w:t>
            </w:r>
          </w:p>
        </w:tc>
        <w:tc>
          <w:tcPr>
            <w:tcW w:w="127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DDC3-1</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新风机</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运行状态、手、自动状态、故障状态、开/关控制、回风温度、滤网堵塞报警、二通阀控制、二通阀位置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shd w:val="clear" w:color="auto" w:fill="auto"/>
          </w:tcPr>
          <w:p>
            <w:pPr>
              <w:rPr>
                <w:rFonts w:asciiTheme="minorEastAsia" w:hAnsiTheme="minorEastAsia" w:eastAsiaTheme="minorEastAsia"/>
                <w:szCs w:val="21"/>
              </w:rPr>
            </w:pPr>
          </w:p>
        </w:tc>
        <w:tc>
          <w:tcPr>
            <w:tcW w:w="1276" w:type="dxa"/>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88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6</w:t>
            </w:r>
          </w:p>
        </w:tc>
        <w:tc>
          <w:tcPr>
            <w:tcW w:w="127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DDC3-2</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新风机</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8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运行状态、手、自动状态、故障状态、开/关控制、回风温度、滤网堵塞报警、二通阀控制、二通阀位置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shd w:val="clear" w:color="auto" w:fill="auto"/>
          </w:tcPr>
          <w:p>
            <w:pPr>
              <w:rPr>
                <w:rFonts w:asciiTheme="minorEastAsia" w:hAnsiTheme="minorEastAsia" w:eastAsiaTheme="minorEastAsia"/>
                <w:szCs w:val="21"/>
              </w:rPr>
            </w:pPr>
          </w:p>
        </w:tc>
        <w:tc>
          <w:tcPr>
            <w:tcW w:w="1276" w:type="dxa"/>
            <w:shd w:val="clear" w:color="auto" w:fill="auto"/>
          </w:tcPr>
          <w:p>
            <w:pPr>
              <w:rPr>
                <w:rFonts w:asciiTheme="minorEastAsia" w:hAnsiTheme="minorEastAsia" w:eastAsiaTheme="minorEastAsia"/>
                <w:szCs w:val="21"/>
              </w:rPr>
            </w:pP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567" w:type="dxa"/>
            <w:shd w:val="clear" w:color="auto" w:fill="auto"/>
          </w:tcPr>
          <w:p>
            <w:pPr>
              <w:rPr>
                <w:rFonts w:asciiTheme="minorEastAsia" w:hAnsiTheme="minorEastAsia" w:eastAsiaTheme="minorEastAsia"/>
                <w:szCs w:val="21"/>
              </w:rPr>
            </w:pP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56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885" w:type="dxa"/>
            <w:shd w:val="clear" w:color="auto" w:fill="auto"/>
          </w:tcPr>
          <w:p>
            <w:pPr>
              <w:rPr>
                <w:rFonts w:asciiTheme="minorEastAsia" w:hAnsiTheme="minorEastAsia" w:eastAsiaTheme="minorEastAsia"/>
                <w:szCs w:val="21"/>
              </w:rPr>
            </w:pPr>
          </w:p>
        </w:tc>
      </w:tr>
    </w:tbl>
    <w:p>
      <w:pPr>
        <w:rPr>
          <w:rFonts w:cs="宋体" w:asciiTheme="minorEastAsia" w:hAnsiTheme="minorEastAsia" w:eastAsiaTheme="minorEastAsia"/>
          <w:kern w:val="0"/>
          <w:sz w:val="24"/>
        </w:rPr>
        <w:sectPr>
          <w:pgSz w:w="11906" w:h="16838"/>
          <w:pgMar w:top="567" w:right="1800" w:bottom="1135" w:left="1800" w:header="851" w:footer="992" w:gutter="0"/>
          <w:cols w:space="425" w:num="1"/>
          <w:docGrid w:type="lines" w:linePitch="312" w:charSpace="0"/>
        </w:sectPr>
      </w:pPr>
    </w:p>
    <w:p>
      <w:pPr>
        <w:rPr>
          <w:rFonts w:cs="宋体" w:asciiTheme="minorEastAsia" w:hAnsiTheme="minorEastAsia" w:eastAsiaTheme="minorEastAsia"/>
          <w:b/>
          <w:sz w:val="24"/>
        </w:rPr>
      </w:pPr>
      <w:r>
        <w:rPr>
          <w:rFonts w:hint="eastAsia" w:cs="宋体" w:asciiTheme="minorEastAsia" w:hAnsiTheme="minorEastAsia" w:eastAsiaTheme="minorEastAsia"/>
          <w:b/>
          <w:sz w:val="24"/>
        </w:rPr>
        <w:t>《维护保养服务内容》</w:t>
      </w:r>
    </w:p>
    <w:tbl>
      <w:tblPr>
        <w:tblStyle w:val="13"/>
        <w:tblpPr w:leftFromText="180" w:rightFromText="180" w:vertAnchor="text" w:horzAnchor="margin" w:tblpXSpec="center" w:tblpY="380"/>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71"/>
        <w:gridCol w:w="4738"/>
        <w:gridCol w:w="4536"/>
        <w:gridCol w:w="709"/>
        <w:gridCol w:w="24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850" w:type="dxa"/>
            <w:gridSpan w:val="7"/>
            <w:noWrap/>
            <w:vAlign w:val="center"/>
          </w:tcPr>
          <w:p>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维护保养服务内容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20" w:type="dxa"/>
            <w:noWrap/>
            <w:vAlign w:val="center"/>
          </w:tcPr>
          <w:p>
            <w:pPr>
              <w:widowControl/>
              <w:ind w:firstLine="40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类别</w:t>
            </w:r>
          </w:p>
        </w:tc>
        <w:tc>
          <w:tcPr>
            <w:tcW w:w="771" w:type="dxa"/>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设备名称</w:t>
            </w:r>
          </w:p>
        </w:tc>
        <w:tc>
          <w:tcPr>
            <w:tcW w:w="4738" w:type="dxa"/>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主要设备清单</w:t>
            </w:r>
          </w:p>
        </w:tc>
        <w:tc>
          <w:tcPr>
            <w:tcW w:w="4536" w:type="dxa"/>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定期巡查</w:t>
            </w:r>
          </w:p>
        </w:tc>
        <w:tc>
          <w:tcPr>
            <w:tcW w:w="709" w:type="dxa"/>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定期维护</w:t>
            </w:r>
          </w:p>
        </w:tc>
        <w:tc>
          <w:tcPr>
            <w:tcW w:w="2409" w:type="dxa"/>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应急抢修</w:t>
            </w:r>
          </w:p>
        </w:tc>
        <w:tc>
          <w:tcPr>
            <w:tcW w:w="567" w:type="dxa"/>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1120" w:type="dxa"/>
            <w:vMerge w:val="restart"/>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BA系统</w:t>
            </w:r>
          </w:p>
        </w:tc>
        <w:tc>
          <w:tcPr>
            <w:tcW w:w="771"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主机服务器设备</w:t>
            </w:r>
          </w:p>
        </w:tc>
        <w:tc>
          <w:tcPr>
            <w:tcW w:w="4738" w:type="dxa"/>
            <w:noWrap/>
            <w:vAlign w:val="center"/>
          </w:tcPr>
          <w:p>
            <w:pPr>
              <w:widowControl/>
              <w:numPr>
                <w:ilvl w:val="0"/>
                <w:numId w:val="12"/>
              </w:num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监控PC机1台</w:t>
            </w:r>
          </w:p>
          <w:p>
            <w:pPr>
              <w:widowControl/>
              <w:numPr>
                <w:ilvl w:val="0"/>
                <w:numId w:val="12"/>
              </w:num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Struxureware 网络服务器1台</w:t>
            </w:r>
          </w:p>
        </w:tc>
        <w:tc>
          <w:tcPr>
            <w:tcW w:w="4536" w:type="dxa"/>
            <w:vMerge w:val="restart"/>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1、楼宇自控系统各子项工作状态的检修保养（每季度1次）</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为保证楼宇自控内各子系统能够正常运转，各项运转指标符合现场设备安全要求、环保节能要求的目标，每季度对子系统进行各项运行参数及指标检查比对，发现问题及时改正。</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1）空调系统：空调系统软件程序符合设计要求及现场工作要求，夏季和冬季运行前程序检查，各控制信号输出正确、监视信号反馈与现场实际值偏差小于5％。</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2）新风系统：新风系统软件程序符合设计要求及现场工作要求，夏季和冬季运行前程序检查，各控制信号输出正确、监视信号反馈与现场实际值偏差小于5％</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3）给排水系统：检查程序的有效性，可以正常监视液位状态，正确启停污水泵。</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4）冷冻系统：检查冷冻系统的各项监视参数，检查程序的有效性，保证系统监视各项参数与现场值无偏差。</w:t>
            </w:r>
          </w:p>
          <w:p>
            <w:pPr>
              <w:widowControl/>
              <w:jc w:val="left"/>
              <w:rPr>
                <w:rFonts w:cs="宋体" w:asciiTheme="minorEastAsia" w:hAnsiTheme="minorEastAsia" w:eastAsiaTheme="minorEastAsia"/>
                <w:color w:val="000000"/>
                <w:kern w:val="0"/>
                <w:szCs w:val="21"/>
              </w:rPr>
            </w:pP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2、数据的备份及软件维护服务</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1）室外温湿度、供回水温度历史曲线、运行数据的导出（建议每月一次）；</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2）备份工作站的数据并存档，每季度进行一次数据备份；</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3）软件维保服务应包括针对现场软件Bug的解决与适应性改进工作。</w:t>
            </w:r>
          </w:p>
          <w:p>
            <w:pPr>
              <w:widowControl/>
              <w:jc w:val="left"/>
              <w:rPr>
                <w:rFonts w:cs="宋体" w:asciiTheme="minorEastAsia" w:hAnsiTheme="minorEastAsia" w:eastAsiaTheme="minorEastAsia"/>
                <w:color w:val="000000"/>
                <w:kern w:val="0"/>
                <w:szCs w:val="21"/>
              </w:rPr>
            </w:pPr>
          </w:p>
        </w:tc>
        <w:tc>
          <w:tcPr>
            <w:tcW w:w="709" w:type="dxa"/>
            <w:noWrap/>
            <w:vAlign w:val="center"/>
          </w:tcPr>
          <w:p>
            <w:pPr>
              <w:widowControl/>
              <w:jc w:val="left"/>
              <w:rPr>
                <w:rFonts w:cs="宋体" w:asciiTheme="minorEastAsia" w:hAnsiTheme="minorEastAsia" w:eastAsiaTheme="minorEastAsia"/>
                <w:color w:val="000000"/>
                <w:kern w:val="0"/>
                <w:szCs w:val="21"/>
              </w:rPr>
            </w:pPr>
          </w:p>
        </w:tc>
        <w:tc>
          <w:tcPr>
            <w:tcW w:w="2409" w:type="dxa"/>
            <w:noWrap/>
            <w:vAlign w:val="center"/>
          </w:tcPr>
          <w:p>
            <w:pPr>
              <w:widowControl/>
              <w:jc w:val="left"/>
              <w:rPr>
                <w:rFonts w:cs="宋体" w:asciiTheme="minorEastAsia" w:hAnsiTheme="minorEastAsia" w:eastAsiaTheme="minorEastAsia"/>
                <w:color w:val="000000"/>
                <w:kern w:val="0"/>
                <w:szCs w:val="21"/>
              </w:rPr>
            </w:pPr>
          </w:p>
        </w:tc>
        <w:tc>
          <w:tcPr>
            <w:tcW w:w="567" w:type="dxa"/>
            <w:noWrap/>
            <w:vAlign w:val="center"/>
          </w:tcPr>
          <w:p>
            <w:pPr>
              <w:widowControl/>
              <w:jc w:val="left"/>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1120" w:type="dxa"/>
            <w:vMerge w:val="continue"/>
            <w:noWrap/>
            <w:vAlign w:val="center"/>
          </w:tcPr>
          <w:p>
            <w:pPr>
              <w:widowControl/>
              <w:jc w:val="center"/>
              <w:rPr>
                <w:rFonts w:cs="宋体" w:asciiTheme="minorEastAsia" w:hAnsiTheme="minorEastAsia" w:eastAsiaTheme="minorEastAsia"/>
                <w:color w:val="000000"/>
                <w:kern w:val="0"/>
                <w:szCs w:val="21"/>
              </w:rPr>
            </w:pPr>
          </w:p>
        </w:tc>
        <w:tc>
          <w:tcPr>
            <w:tcW w:w="771"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系统软件平台</w:t>
            </w:r>
          </w:p>
        </w:tc>
        <w:tc>
          <w:tcPr>
            <w:tcW w:w="4738" w:type="dxa"/>
            <w:noWrap/>
            <w:vAlign w:val="center"/>
          </w:tcPr>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施耐德</w:t>
            </w:r>
            <w:r>
              <w:rPr>
                <w:rFonts w:hint="eastAsia" w:cs="宋体" w:asciiTheme="minorEastAsia" w:hAnsiTheme="minorEastAsia" w:eastAsiaTheme="minorEastAsia"/>
                <w:color w:val="000000"/>
                <w:kern w:val="0"/>
                <w:szCs w:val="21"/>
              </w:rPr>
              <w:t>Struxureware软件平台1套，包括：</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r>
              <w:rPr>
                <w:rFonts w:cs="宋体" w:asciiTheme="minorEastAsia" w:hAnsiTheme="minorEastAsia" w:eastAsiaTheme="minorEastAsia"/>
                <w:color w:val="000000"/>
                <w:kern w:val="0"/>
                <w:szCs w:val="21"/>
              </w:rPr>
              <w:t>楼控系统工作站软件（WS）</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2.智能换</w:t>
            </w:r>
            <w:r>
              <w:rPr>
                <w:rFonts w:cs="宋体" w:asciiTheme="minorEastAsia" w:hAnsiTheme="minorEastAsia" w:eastAsiaTheme="minorEastAsia"/>
                <w:color w:val="000000"/>
                <w:kern w:val="0"/>
                <w:szCs w:val="21"/>
              </w:rPr>
              <w:t>热机组接口网关（Gateway）</w:t>
            </w:r>
          </w:p>
          <w:p>
            <w:pPr>
              <w:widowControl/>
              <w:jc w:val="lef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蓄冷罐测温仪接口网关（Gateway）</w:t>
            </w:r>
            <w:r>
              <w:rPr>
                <w:rFonts w:cs="宋体" w:asciiTheme="minorEastAsia" w:hAnsiTheme="minorEastAsia" w:eastAsiaTheme="minorEastAsia"/>
                <w:color w:val="000000"/>
                <w:kern w:val="0"/>
                <w:szCs w:val="21"/>
              </w:rPr>
              <w:tab/>
            </w:r>
          </w:p>
        </w:tc>
        <w:tc>
          <w:tcPr>
            <w:tcW w:w="4536" w:type="dxa"/>
            <w:vMerge w:val="continue"/>
            <w:noWrap/>
            <w:vAlign w:val="center"/>
          </w:tcPr>
          <w:p>
            <w:pPr>
              <w:widowControl/>
              <w:jc w:val="left"/>
              <w:rPr>
                <w:rFonts w:cs="宋体" w:asciiTheme="minorEastAsia" w:hAnsiTheme="minorEastAsia" w:eastAsiaTheme="minorEastAsia"/>
                <w:color w:val="000000"/>
                <w:kern w:val="0"/>
                <w:szCs w:val="21"/>
              </w:rPr>
            </w:pPr>
          </w:p>
        </w:tc>
        <w:tc>
          <w:tcPr>
            <w:tcW w:w="709" w:type="dxa"/>
            <w:noWrap/>
            <w:vAlign w:val="center"/>
          </w:tcPr>
          <w:p>
            <w:pPr>
              <w:widowControl/>
              <w:jc w:val="left"/>
              <w:rPr>
                <w:rFonts w:cs="宋体" w:asciiTheme="minorEastAsia" w:hAnsiTheme="minorEastAsia" w:eastAsiaTheme="minorEastAsia"/>
                <w:color w:val="000000"/>
                <w:kern w:val="0"/>
                <w:szCs w:val="21"/>
              </w:rPr>
            </w:pPr>
          </w:p>
        </w:tc>
        <w:tc>
          <w:tcPr>
            <w:tcW w:w="2409" w:type="dxa"/>
            <w:vMerge w:val="restart"/>
            <w:noWrap/>
            <w:vAlign w:val="center"/>
          </w:tcPr>
          <w:p>
            <w:pPr>
              <w:widowControl/>
              <w:numPr>
                <w:ilvl w:val="0"/>
                <w:numId w:val="13"/>
              </w:num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维保单位在接到报修通知后，将在半小时内赶到现场（7X24小时），负责免费维修及抢修，并尽快排除故障直至系统运行正常。（维修原则：网络控制器，控制电脑故障应于4小时内修复：现场控制器，扩展模块故障应于8小时内修复。</w:t>
            </w:r>
          </w:p>
          <w:p>
            <w:pPr>
              <w:widowControl/>
              <w:jc w:val="left"/>
              <w:rPr>
                <w:rFonts w:cs="宋体" w:asciiTheme="minorEastAsia" w:hAnsiTheme="minorEastAsia" w:eastAsiaTheme="minorEastAsia"/>
                <w:color w:val="000000"/>
                <w:kern w:val="0"/>
                <w:szCs w:val="21"/>
              </w:rPr>
            </w:pP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弱电供电线路的维护保养内容包括电源端接检查、极性检查、空开检查、保险丝检查、压降测试、线路整理等，可随DDC控制器维护同步进行。当发生供电线路故障时，先检查DDC箱体内部，确诊线路中间出现断路、短路等现象时，进行线路检修，必要时重新穿线。</w:t>
            </w:r>
          </w:p>
        </w:tc>
        <w:tc>
          <w:tcPr>
            <w:tcW w:w="567" w:type="dxa"/>
            <w:noWrap/>
            <w:vAlign w:val="center"/>
          </w:tcPr>
          <w:p>
            <w:pPr>
              <w:widowControl/>
              <w:jc w:val="left"/>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20" w:type="dxa"/>
            <w:vMerge w:val="continue"/>
            <w:noWrap/>
            <w:vAlign w:val="center"/>
          </w:tcPr>
          <w:p>
            <w:pPr>
              <w:widowControl/>
              <w:jc w:val="center"/>
              <w:rPr>
                <w:rFonts w:cs="宋体" w:asciiTheme="minorEastAsia" w:hAnsiTheme="minorEastAsia" w:eastAsiaTheme="minorEastAsia"/>
                <w:color w:val="000000"/>
                <w:kern w:val="0"/>
                <w:szCs w:val="21"/>
              </w:rPr>
            </w:pPr>
          </w:p>
        </w:tc>
        <w:tc>
          <w:tcPr>
            <w:tcW w:w="771"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DDC控制箱</w:t>
            </w:r>
          </w:p>
        </w:tc>
        <w:tc>
          <w:tcPr>
            <w:tcW w:w="4738"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9个，包括相关控制模块：</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1)电源模块PS-24V：Power Supply 24 VAC/VDC</w:t>
            </w:r>
            <w:r>
              <w:rPr>
                <w:rFonts w:hint="eastAsia" w:cs="宋体" w:asciiTheme="minorEastAsia" w:hAnsiTheme="minorEastAsia" w:eastAsiaTheme="minorEastAsia"/>
                <w:color w:val="000000"/>
                <w:kern w:val="0"/>
                <w:szCs w:val="21"/>
              </w:rPr>
              <w:t>（含相关变压器及接线端子）</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2)I/O模块8AO：AO-V-8 8Analog Out Voltage</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3)I/O模块12DO：DO-FA-12 12 Dig Out FormA</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4)I/O模块16DI：DI-16 16 Digital In</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5)I/O模块16UI：UI-16 16 Universal In</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6)网络控制服务器安装底座：TB-AS-W1 Term BAe AS W1</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7)电源模块安装底座：TB-PS-W1 Term BAe Pwr Sup W1</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8)I/O模块安装底座：TB-IO-W1 Term BAe I/O W1</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9)信号连接线缆：S-Cable, 1.5 m, angle</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10)Lonworks直接数字控制器：El.Part TAC Xenta 401:C</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11)LonworksI/O模块：El.Part TAC Xenta 411 UNCONF</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12)Lonworks直接数字控制器：El.Part TAC Xenta 281/N/P V3</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13)200/300端子底座：Term.Part TAC Xenta 280/300</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14)400端子底座：Term.Part TAC Xenta 400</w:t>
            </w:r>
          </w:p>
          <w:p>
            <w:pPr>
              <w:widowControl/>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15)LonWorks网络终端模块：LonWorks Termination Module</w:t>
            </w:r>
          </w:p>
        </w:tc>
        <w:tc>
          <w:tcPr>
            <w:tcW w:w="4536"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 确认控制器交流电源(AC220V)供应是否正常</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 确认控制器插件是否接触良好</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 确认控制器箱内接线是否松动,脱落</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 对控制器清洁除尘</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 确认控制箱内设备是否变形,发热,损伤</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6) 确认控制器硬件功能测试(对控制器中的每个控制点进行测量,使得控制点和现场控制设备的连线准确无误)</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（每季度1次）</w:t>
            </w:r>
          </w:p>
        </w:tc>
        <w:tc>
          <w:tcPr>
            <w:tcW w:w="709" w:type="dxa"/>
            <w:noWrap/>
            <w:vAlign w:val="center"/>
          </w:tcPr>
          <w:p>
            <w:pPr>
              <w:widowControl/>
              <w:jc w:val="left"/>
              <w:rPr>
                <w:rFonts w:cs="宋体" w:asciiTheme="minorEastAsia" w:hAnsiTheme="minorEastAsia" w:eastAsiaTheme="minorEastAsia"/>
                <w:color w:val="000000"/>
                <w:kern w:val="0"/>
                <w:szCs w:val="21"/>
              </w:rPr>
            </w:pPr>
          </w:p>
        </w:tc>
        <w:tc>
          <w:tcPr>
            <w:tcW w:w="2409" w:type="dxa"/>
            <w:vMerge w:val="continue"/>
            <w:noWrap/>
            <w:vAlign w:val="center"/>
          </w:tcPr>
          <w:p>
            <w:pPr>
              <w:widowControl/>
              <w:jc w:val="left"/>
              <w:rPr>
                <w:rFonts w:cs="宋体" w:asciiTheme="minorEastAsia" w:hAnsiTheme="minorEastAsia" w:eastAsiaTheme="minorEastAsia"/>
                <w:color w:val="000000"/>
                <w:kern w:val="0"/>
                <w:szCs w:val="21"/>
              </w:rPr>
            </w:pPr>
          </w:p>
        </w:tc>
        <w:tc>
          <w:tcPr>
            <w:tcW w:w="567" w:type="dxa"/>
            <w:noWrap/>
            <w:vAlign w:val="center"/>
          </w:tcPr>
          <w:p>
            <w:pPr>
              <w:widowControl/>
              <w:jc w:val="left"/>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1120" w:type="dxa"/>
            <w:vMerge w:val="continue"/>
            <w:noWrap/>
            <w:vAlign w:val="center"/>
          </w:tcPr>
          <w:p>
            <w:pPr>
              <w:widowControl/>
              <w:jc w:val="center"/>
              <w:rPr>
                <w:rFonts w:cs="宋体" w:asciiTheme="minorEastAsia" w:hAnsiTheme="minorEastAsia" w:eastAsiaTheme="minorEastAsia"/>
                <w:color w:val="000000"/>
                <w:kern w:val="0"/>
                <w:szCs w:val="21"/>
              </w:rPr>
            </w:pPr>
          </w:p>
        </w:tc>
        <w:tc>
          <w:tcPr>
            <w:tcW w:w="771"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传感器</w:t>
            </w:r>
          </w:p>
        </w:tc>
        <w:tc>
          <w:tcPr>
            <w:tcW w:w="4738"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1)风管温度传感器：Sensor Temp Duct STD100-100，13个</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2)滤网压差开关：SPD910-300Pa，13个</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3)水管温度传感器：Sensor Temp Pipe STP100-100，28个</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4)液位开关：MAC3，16个</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5)室外温湿度传感器：Humidity Temp Out Door t3% 0-5/10V,1.8K，1个</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6）包括各项受BA系统监控控制的供冷水系统设备（包括PID阀、电动蝶阀、液体压力传感器、插入式电磁水流量传感器等等）的监控情况</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7）所有设备、传感器到DDC控制箱的通信线路</w:t>
            </w:r>
          </w:p>
        </w:tc>
        <w:tc>
          <w:tcPr>
            <w:tcW w:w="4536" w:type="dxa"/>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确认器件是否缺损,受潮 </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 确认外观及装置内外环境</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 确认设备功能检测及检测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 确认输入电源、DC/AC电源、DDC检测电源的电压电源状态</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 确认各端子连接器连接状态</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6) 确认设备与控制器直接的通讯联络</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7) 确认器件内外清洁</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8) 确认器件安装是否松动</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9）确认各监控点位设备能否正常监控、控制</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（每季度1次）</w:t>
            </w:r>
          </w:p>
          <w:p>
            <w:pPr>
              <w:widowControl/>
              <w:jc w:val="left"/>
              <w:rPr>
                <w:rFonts w:cs="宋体" w:asciiTheme="minorEastAsia" w:hAnsiTheme="minorEastAsia" w:eastAsiaTheme="minorEastAsia"/>
                <w:color w:val="000000"/>
                <w:kern w:val="0"/>
                <w:szCs w:val="21"/>
              </w:rPr>
            </w:pPr>
          </w:p>
        </w:tc>
        <w:tc>
          <w:tcPr>
            <w:tcW w:w="709" w:type="dxa"/>
            <w:noWrap/>
            <w:vAlign w:val="center"/>
          </w:tcPr>
          <w:p>
            <w:pPr>
              <w:widowControl/>
              <w:jc w:val="left"/>
              <w:rPr>
                <w:rFonts w:cs="宋体" w:asciiTheme="minorEastAsia" w:hAnsiTheme="minorEastAsia" w:eastAsiaTheme="minorEastAsia"/>
                <w:color w:val="000000"/>
                <w:kern w:val="0"/>
                <w:szCs w:val="21"/>
              </w:rPr>
            </w:pPr>
          </w:p>
        </w:tc>
        <w:tc>
          <w:tcPr>
            <w:tcW w:w="2409" w:type="dxa"/>
            <w:vMerge w:val="continue"/>
            <w:noWrap/>
            <w:vAlign w:val="center"/>
          </w:tcPr>
          <w:p>
            <w:pPr>
              <w:widowControl/>
              <w:jc w:val="left"/>
              <w:rPr>
                <w:rFonts w:cs="宋体" w:asciiTheme="minorEastAsia" w:hAnsiTheme="minorEastAsia" w:eastAsiaTheme="minorEastAsia"/>
                <w:color w:val="000000"/>
                <w:kern w:val="0"/>
                <w:szCs w:val="21"/>
              </w:rPr>
            </w:pPr>
          </w:p>
        </w:tc>
        <w:tc>
          <w:tcPr>
            <w:tcW w:w="567" w:type="dxa"/>
            <w:noWrap/>
            <w:vAlign w:val="center"/>
          </w:tcPr>
          <w:p>
            <w:pPr>
              <w:widowControl/>
              <w:jc w:val="left"/>
              <w:rPr>
                <w:rFonts w:cs="宋体" w:asciiTheme="minorEastAsia" w:hAnsiTheme="minorEastAsia" w:eastAsiaTheme="minorEastAsia"/>
                <w:color w:val="000000"/>
                <w:kern w:val="0"/>
                <w:szCs w:val="21"/>
              </w:rPr>
            </w:pPr>
          </w:p>
        </w:tc>
      </w:tr>
    </w:tbl>
    <w:p>
      <w:pPr>
        <w:rPr>
          <w:rFonts w:cs="宋体" w:asciiTheme="minorEastAsia" w:hAnsiTheme="minorEastAsia" w:eastAsiaTheme="minorEastAsia"/>
          <w:kern w:val="0"/>
          <w:sz w:val="24"/>
        </w:rPr>
        <w:sectPr>
          <w:pgSz w:w="16838" w:h="11906" w:orient="landscape"/>
          <w:pgMar w:top="1800" w:right="567" w:bottom="1800" w:left="1135" w:header="851" w:footer="992" w:gutter="0"/>
          <w:cols w:space="425" w:num="1"/>
          <w:docGrid w:type="lines" w:linePitch="312" w:charSpace="0"/>
        </w:sectPr>
      </w:pPr>
    </w:p>
    <w:p>
      <w:pPr>
        <w:jc w:val="center"/>
        <w:rPr>
          <w:rFonts w:asciiTheme="minorEastAsia" w:hAnsiTheme="minorEastAsia" w:eastAsiaTheme="minorEastAsia"/>
          <w:b/>
          <w:sz w:val="24"/>
        </w:rPr>
      </w:pPr>
    </w:p>
    <w:tbl>
      <w:tblPr>
        <w:tblStyle w:val="13"/>
        <w:tblW w:w="9720" w:type="dxa"/>
        <w:tblInd w:w="-707" w:type="dxa"/>
        <w:tblLayout w:type="fixed"/>
        <w:tblCellMar>
          <w:top w:w="0" w:type="dxa"/>
          <w:left w:w="108" w:type="dxa"/>
          <w:bottom w:w="0" w:type="dxa"/>
          <w:right w:w="108" w:type="dxa"/>
        </w:tblCellMar>
      </w:tblPr>
      <w:tblGrid>
        <w:gridCol w:w="566"/>
        <w:gridCol w:w="4532"/>
        <w:gridCol w:w="2238"/>
        <w:gridCol w:w="2384"/>
      </w:tblGrid>
      <w:tr>
        <w:tblPrEx>
          <w:tblLayout w:type="fixed"/>
          <w:tblCellMar>
            <w:top w:w="0" w:type="dxa"/>
            <w:left w:w="108" w:type="dxa"/>
            <w:bottom w:w="0" w:type="dxa"/>
            <w:right w:w="108" w:type="dxa"/>
          </w:tblCellMar>
        </w:tblPrEx>
        <w:trPr>
          <w:trHeight w:val="525" w:hRule="atLeast"/>
        </w:trPr>
        <w:tc>
          <w:tcPr>
            <w:tcW w:w="9720" w:type="dxa"/>
            <w:gridSpan w:val="4"/>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费  用清单</w:t>
            </w:r>
          </w:p>
        </w:tc>
      </w:tr>
      <w:tr>
        <w:tblPrEx>
          <w:tblLayout w:type="fixed"/>
          <w:tblCellMar>
            <w:top w:w="0" w:type="dxa"/>
            <w:left w:w="108" w:type="dxa"/>
            <w:bottom w:w="0" w:type="dxa"/>
            <w:right w:w="108" w:type="dxa"/>
          </w:tblCellMar>
        </w:tblPrEx>
        <w:trPr>
          <w:trHeight w:val="270" w:hRule="atLeast"/>
        </w:trPr>
        <w:tc>
          <w:tcPr>
            <w:tcW w:w="566" w:type="dxa"/>
            <w:tcBorders>
              <w:top w:val="nil"/>
              <w:left w:val="single" w:color="auto" w:sz="4" w:space="0"/>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序号</w:t>
            </w:r>
          </w:p>
        </w:tc>
        <w:tc>
          <w:tcPr>
            <w:tcW w:w="4532"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设备名称</w:t>
            </w:r>
          </w:p>
        </w:tc>
        <w:tc>
          <w:tcPr>
            <w:tcW w:w="2238"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数量</w:t>
            </w:r>
          </w:p>
        </w:tc>
        <w:tc>
          <w:tcPr>
            <w:tcW w:w="2384"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单位</w:t>
            </w:r>
          </w:p>
        </w:tc>
      </w:tr>
      <w:tr>
        <w:tblPrEx>
          <w:tblLayout w:type="fixed"/>
          <w:tblCellMar>
            <w:top w:w="0" w:type="dxa"/>
            <w:left w:w="108" w:type="dxa"/>
            <w:bottom w:w="0" w:type="dxa"/>
            <w:right w:w="108" w:type="dxa"/>
          </w:tblCellMar>
        </w:tblPrEx>
        <w:trPr>
          <w:trHeight w:val="270" w:hRule="atLeast"/>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45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BA系统维护点数</w:t>
            </w:r>
          </w:p>
        </w:tc>
        <w:tc>
          <w:tcPr>
            <w:tcW w:w="22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238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项</w:t>
            </w:r>
          </w:p>
        </w:tc>
      </w:tr>
      <w:tr>
        <w:tblPrEx>
          <w:tblLayout w:type="fixed"/>
          <w:tblCellMar>
            <w:top w:w="0" w:type="dxa"/>
            <w:left w:w="108" w:type="dxa"/>
            <w:bottom w:w="0" w:type="dxa"/>
            <w:right w:w="108" w:type="dxa"/>
          </w:tblCellMar>
        </w:tblPrEx>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453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系统通讯接口</w:t>
            </w:r>
          </w:p>
        </w:tc>
        <w:tc>
          <w:tcPr>
            <w:tcW w:w="22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Tahoma" w:asciiTheme="minorEastAsia" w:hAnsiTheme="minorEastAsia" w:eastAsiaTheme="minorEastAsia"/>
                <w:kern w:val="0"/>
                <w:sz w:val="24"/>
              </w:rPr>
              <w:t>1</w:t>
            </w:r>
          </w:p>
        </w:tc>
        <w:tc>
          <w:tcPr>
            <w:tcW w:w="2384"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项</w:t>
            </w:r>
          </w:p>
        </w:tc>
      </w:tr>
      <w:tr>
        <w:tblPrEx>
          <w:tblLayout w:type="fixed"/>
          <w:tblCellMar>
            <w:top w:w="0" w:type="dxa"/>
            <w:left w:w="108" w:type="dxa"/>
            <w:bottom w:w="0" w:type="dxa"/>
            <w:right w:w="108" w:type="dxa"/>
          </w:tblCellMar>
        </w:tblPrEx>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453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备品备件</w:t>
            </w:r>
          </w:p>
        </w:tc>
        <w:tc>
          <w:tcPr>
            <w:tcW w:w="2238" w:type="dxa"/>
            <w:tcBorders>
              <w:top w:val="nil"/>
              <w:left w:val="nil"/>
              <w:bottom w:val="single" w:color="auto" w:sz="4" w:space="0"/>
              <w:right w:val="single" w:color="auto" w:sz="4" w:space="0"/>
            </w:tcBorders>
            <w:shd w:val="clear" w:color="auto" w:fill="auto"/>
            <w:vAlign w:val="center"/>
          </w:tcPr>
          <w:p>
            <w:pPr>
              <w:widowControl/>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w:t>
            </w:r>
          </w:p>
        </w:tc>
        <w:tc>
          <w:tcPr>
            <w:tcW w:w="2384"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项</w:t>
            </w:r>
          </w:p>
        </w:tc>
      </w:tr>
      <w:tr>
        <w:tblPrEx>
          <w:tblLayout w:type="fixed"/>
          <w:tblCellMar>
            <w:top w:w="0" w:type="dxa"/>
            <w:left w:w="108" w:type="dxa"/>
            <w:bottom w:w="0" w:type="dxa"/>
            <w:right w:w="108" w:type="dxa"/>
          </w:tblCellMar>
        </w:tblPrEx>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453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其他费用</w:t>
            </w:r>
          </w:p>
        </w:tc>
        <w:tc>
          <w:tcPr>
            <w:tcW w:w="2238" w:type="dxa"/>
            <w:tcBorders>
              <w:top w:val="nil"/>
              <w:left w:val="nil"/>
              <w:bottom w:val="single" w:color="auto" w:sz="4" w:space="0"/>
              <w:right w:val="single" w:color="auto" w:sz="4" w:space="0"/>
            </w:tcBorders>
            <w:shd w:val="clear" w:color="auto" w:fill="auto"/>
            <w:vAlign w:val="center"/>
          </w:tcPr>
          <w:p>
            <w:pPr>
              <w:widowControl/>
              <w:jc w:val="center"/>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1</w:t>
            </w:r>
          </w:p>
        </w:tc>
        <w:tc>
          <w:tcPr>
            <w:tcW w:w="2384"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项</w:t>
            </w:r>
          </w:p>
        </w:tc>
      </w:tr>
    </w:tbl>
    <w:p>
      <w:pPr>
        <w:jc w:val="left"/>
        <w:rPr>
          <w:rFonts w:cs="宋体" w:asciiTheme="minorEastAsia" w:hAnsiTheme="minorEastAsia" w:eastAsiaTheme="minorEastAsia"/>
          <w:sz w:val="24"/>
        </w:rPr>
      </w:pPr>
    </w:p>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b/>
          <w:bCs/>
          <w:color w:val="000000"/>
          <w:kern w:val="0"/>
          <w:sz w:val="24"/>
        </w:rPr>
        <w:t>备品备件清单</w:t>
      </w:r>
    </w:p>
    <w:tbl>
      <w:tblPr>
        <w:tblStyle w:val="13"/>
        <w:tblpPr w:leftFromText="180" w:rightFromText="180" w:vertAnchor="text" w:horzAnchor="margin" w:tblpXSpec="center" w:tblpY="621"/>
        <w:tblW w:w="9765" w:type="dxa"/>
        <w:tblInd w:w="0" w:type="dxa"/>
        <w:tblLayout w:type="fixed"/>
        <w:tblCellMar>
          <w:top w:w="0" w:type="dxa"/>
          <w:left w:w="108" w:type="dxa"/>
          <w:bottom w:w="0" w:type="dxa"/>
          <w:right w:w="108" w:type="dxa"/>
        </w:tblCellMar>
      </w:tblPr>
      <w:tblGrid>
        <w:gridCol w:w="3794"/>
        <w:gridCol w:w="1417"/>
        <w:gridCol w:w="1276"/>
        <w:gridCol w:w="3278"/>
      </w:tblGrid>
      <w:tr>
        <w:tblPrEx>
          <w:tblLayout w:type="fixed"/>
          <w:tblCellMar>
            <w:top w:w="0" w:type="dxa"/>
            <w:left w:w="108" w:type="dxa"/>
            <w:bottom w:w="0" w:type="dxa"/>
            <w:right w:w="108" w:type="dxa"/>
          </w:tblCellMar>
        </w:tblPrEx>
        <w:trPr>
          <w:trHeight w:val="278" w:hRule="atLeast"/>
        </w:trPr>
        <w:tc>
          <w:tcPr>
            <w:tcW w:w="97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备品备件清单</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名称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单位</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型号</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DDC控制箱</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水位开关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MA/MAC3</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室外温湿度传感器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VER/HO3XVSTN</w:t>
            </w:r>
          </w:p>
        </w:tc>
      </w:tr>
      <w:tr>
        <w:tblPrEx>
          <w:tblLayout w:type="fixed"/>
          <w:tblCellMar>
            <w:top w:w="0" w:type="dxa"/>
            <w:left w:w="108" w:type="dxa"/>
            <w:bottom w:w="0" w:type="dxa"/>
            <w:right w:w="108" w:type="dxa"/>
          </w:tblCellMar>
        </w:tblPrEx>
        <w:trPr>
          <w:trHeight w:val="20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气流压差开关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风管温度传感器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STD100</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水管温度传感器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SD910</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水管压力传感器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1600Kpa</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电磁式流量计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Layout w:type="fixed"/>
          <w:tblCellMar>
            <w:top w:w="0" w:type="dxa"/>
            <w:left w:w="108" w:type="dxa"/>
            <w:bottom w:w="0" w:type="dxa"/>
            <w:right w:w="108" w:type="dxa"/>
          </w:tblCellMar>
        </w:tblPrEx>
        <w:trPr>
          <w:trHeight w:val="316" w:hRule="atLeast"/>
        </w:trPr>
        <w:tc>
          <w:tcPr>
            <w:tcW w:w="37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数据接口</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w:t>
            </w:r>
          </w:p>
        </w:tc>
        <w:tc>
          <w:tcPr>
            <w:tcW w:w="327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bl>
    <w:p>
      <w:pPr>
        <w:rPr>
          <w:rFonts w:ascii="仿宋_GB2312" w:hAnsi="宋体" w:eastAsia="仿宋_GB2312" w:cs="宋体"/>
          <w:kern w:val="0"/>
          <w:sz w:val="28"/>
          <w:szCs w:val="28"/>
        </w:rPr>
        <w:sectPr>
          <w:pgSz w:w="11906" w:h="16838"/>
          <w:pgMar w:top="567" w:right="1800" w:bottom="1135" w:left="1800" w:header="851" w:footer="992" w:gutter="0"/>
          <w:cols w:space="425" w:num="1"/>
          <w:docGrid w:type="lines" w:linePitch="312" w:charSpace="0"/>
        </w:sectPr>
      </w:pPr>
    </w:p>
    <w:p>
      <w:pPr>
        <w:spacing w:line="360" w:lineRule="auto"/>
        <w:rPr>
          <w:rFonts w:ascii="仿宋_GB2312" w:hAnsi="宋体" w:eastAsia="仿宋_GB2312" w:cs="宋体"/>
          <w:kern w:val="0"/>
          <w:sz w:val="28"/>
          <w:szCs w:val="28"/>
        </w:rPr>
      </w:pPr>
    </w:p>
    <w:p>
      <w:pPr>
        <w:jc w:val="center"/>
        <w:rPr>
          <w:b/>
          <w:sz w:val="36"/>
          <w:szCs w:val="36"/>
        </w:rPr>
      </w:pPr>
    </w:p>
    <w:sectPr>
      <w:footerReference r:id="rId3" w:type="default"/>
      <w:pgSz w:w="11906" w:h="16838"/>
      <w:pgMar w:top="1276" w:right="1418" w:bottom="1843"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989F0"/>
    <w:multiLevelType w:val="singleLevel"/>
    <w:tmpl w:val="811989F0"/>
    <w:lvl w:ilvl="0" w:tentative="0">
      <w:start w:val="1"/>
      <w:numFmt w:val="decimal"/>
      <w:suff w:val="nothing"/>
      <w:lvlText w:val="%1、"/>
      <w:lvlJc w:val="left"/>
    </w:lvl>
  </w:abstractNum>
  <w:abstractNum w:abstractNumId="1">
    <w:nsid w:val="820DDBF3"/>
    <w:multiLevelType w:val="singleLevel"/>
    <w:tmpl w:val="820DDBF3"/>
    <w:lvl w:ilvl="0" w:tentative="0">
      <w:start w:val="1"/>
      <w:numFmt w:val="decimal"/>
      <w:suff w:val="nothing"/>
      <w:lvlText w:val="%1、"/>
      <w:lvlJc w:val="left"/>
    </w:lvl>
  </w:abstractNum>
  <w:abstractNum w:abstractNumId="2">
    <w:nsid w:val="09F4771E"/>
    <w:multiLevelType w:val="multilevel"/>
    <w:tmpl w:val="09F4771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C16881"/>
    <w:multiLevelType w:val="multilevel"/>
    <w:tmpl w:val="1FC16881"/>
    <w:lvl w:ilvl="0" w:tentative="0">
      <w:start w:val="1"/>
      <w:numFmt w:val="chineseCountingThousand"/>
      <w:lvlText w:val="%1、"/>
      <w:lvlJc w:val="left"/>
      <w:pPr>
        <w:ind w:left="988"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C016CD2"/>
    <w:multiLevelType w:val="multilevel"/>
    <w:tmpl w:val="2C016CD2"/>
    <w:lvl w:ilvl="0" w:tentative="0">
      <w:start w:val="1"/>
      <w:numFmt w:val="decimal"/>
      <w:lvlText w:val="%1."/>
      <w:lvlJc w:val="left"/>
      <w:pPr>
        <w:ind w:left="987" w:hanging="420"/>
      </w:pPr>
      <w:rPr>
        <w:rFonts w:hint="eastAsia"/>
      </w:rPr>
    </w:lvl>
    <w:lvl w:ilvl="1" w:tentative="0">
      <w:start w:val="1"/>
      <w:numFmt w:val="decimal"/>
      <w:lvlText w:val="%2."/>
      <w:lvlJc w:val="left"/>
      <w:pPr>
        <w:ind w:left="1407" w:hanging="420"/>
      </w:pPr>
      <w:rPr>
        <w:rFonts w:hint="eastAsia"/>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445B241E"/>
    <w:multiLevelType w:val="multilevel"/>
    <w:tmpl w:val="445B241E"/>
    <w:lvl w:ilvl="0" w:tentative="0">
      <w:start w:val="1"/>
      <w:numFmt w:val="chineseCountingThousand"/>
      <w:suff w:val="space"/>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5F286A"/>
    <w:multiLevelType w:val="multilevel"/>
    <w:tmpl w:val="445F286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00A4F95"/>
    <w:multiLevelType w:val="multilevel"/>
    <w:tmpl w:val="500A4F95"/>
    <w:lvl w:ilvl="0" w:tentative="0">
      <w:start w:val="1"/>
      <w:numFmt w:val="chineseCountingThousand"/>
      <w:lvlText w:val="(%1)"/>
      <w:lvlJc w:val="left"/>
      <w:pPr>
        <w:ind w:left="986" w:hanging="420"/>
      </w:pPr>
      <w:rPr>
        <w:rFonts w:hint="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8">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72DE5B4"/>
    <w:multiLevelType w:val="singleLevel"/>
    <w:tmpl w:val="572DE5B4"/>
    <w:lvl w:ilvl="0" w:tentative="0">
      <w:start w:val="1"/>
      <w:numFmt w:val="decimal"/>
      <w:suff w:val="nothing"/>
      <w:lvlText w:val="%1."/>
      <w:lvlJc w:val="left"/>
    </w:lvl>
  </w:abstractNum>
  <w:abstractNum w:abstractNumId="10">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6823595B"/>
    <w:multiLevelType w:val="multilevel"/>
    <w:tmpl w:val="6823595B"/>
    <w:lvl w:ilvl="0" w:tentative="0">
      <w:start w:val="1"/>
      <w:numFmt w:val="japaneseCounting"/>
      <w:lvlText w:val="%1、"/>
      <w:lvlJc w:val="left"/>
      <w:pPr>
        <w:tabs>
          <w:tab w:val="left" w:pos="420"/>
        </w:tabs>
        <w:ind w:left="420" w:hanging="42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8"/>
  </w:num>
  <w:num w:numId="3">
    <w:abstractNumId w:val="6"/>
  </w:num>
  <w:num w:numId="4">
    <w:abstractNumId w:val="2"/>
  </w:num>
  <w:num w:numId="5">
    <w:abstractNumId w:val="7"/>
  </w:num>
  <w:num w:numId="6">
    <w:abstractNumId w:val="10"/>
  </w:num>
  <w:num w:numId="7">
    <w:abstractNumId w:val="12"/>
  </w:num>
  <w:num w:numId="8">
    <w:abstractNumId w:val="4"/>
  </w:num>
  <w:num w:numId="9">
    <w:abstractNumId w:val="5"/>
  </w:num>
  <w:num w:numId="10">
    <w:abstractNumId w:val="9"/>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6AC"/>
    <w:rsid w:val="00016DCD"/>
    <w:rsid w:val="00024601"/>
    <w:rsid w:val="00024DB1"/>
    <w:rsid w:val="000261AC"/>
    <w:rsid w:val="00031BAA"/>
    <w:rsid w:val="00035F48"/>
    <w:rsid w:val="000361C2"/>
    <w:rsid w:val="000507FD"/>
    <w:rsid w:val="00054374"/>
    <w:rsid w:val="000551E7"/>
    <w:rsid w:val="00056C02"/>
    <w:rsid w:val="00061A12"/>
    <w:rsid w:val="00062D36"/>
    <w:rsid w:val="00066222"/>
    <w:rsid w:val="00071469"/>
    <w:rsid w:val="0007624C"/>
    <w:rsid w:val="000776A7"/>
    <w:rsid w:val="00080912"/>
    <w:rsid w:val="00081C48"/>
    <w:rsid w:val="00092924"/>
    <w:rsid w:val="000933F0"/>
    <w:rsid w:val="00093603"/>
    <w:rsid w:val="000941C7"/>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C4E"/>
    <w:rsid w:val="001013A8"/>
    <w:rsid w:val="00112AE4"/>
    <w:rsid w:val="00114EFF"/>
    <w:rsid w:val="001312F0"/>
    <w:rsid w:val="001367B3"/>
    <w:rsid w:val="00140810"/>
    <w:rsid w:val="0014601E"/>
    <w:rsid w:val="00147274"/>
    <w:rsid w:val="00153022"/>
    <w:rsid w:val="00155D8F"/>
    <w:rsid w:val="00161D5A"/>
    <w:rsid w:val="00164ED0"/>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0B6D"/>
    <w:rsid w:val="001E1D2E"/>
    <w:rsid w:val="001E23F1"/>
    <w:rsid w:val="001E4D56"/>
    <w:rsid w:val="001E5CC9"/>
    <w:rsid w:val="001F5D97"/>
    <w:rsid w:val="001F6D6F"/>
    <w:rsid w:val="0020209D"/>
    <w:rsid w:val="00203EA7"/>
    <w:rsid w:val="002045E5"/>
    <w:rsid w:val="002117D0"/>
    <w:rsid w:val="00211BF3"/>
    <w:rsid w:val="00214B07"/>
    <w:rsid w:val="002204AF"/>
    <w:rsid w:val="00222020"/>
    <w:rsid w:val="00232E58"/>
    <w:rsid w:val="00240FDD"/>
    <w:rsid w:val="00243B07"/>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1787"/>
    <w:rsid w:val="002B2F61"/>
    <w:rsid w:val="002D0A6B"/>
    <w:rsid w:val="002D11B9"/>
    <w:rsid w:val="002D2058"/>
    <w:rsid w:val="002D246B"/>
    <w:rsid w:val="002D5DF0"/>
    <w:rsid w:val="002E3ED7"/>
    <w:rsid w:val="002E6633"/>
    <w:rsid w:val="002F0B08"/>
    <w:rsid w:val="002F1674"/>
    <w:rsid w:val="002F3AEF"/>
    <w:rsid w:val="002F5146"/>
    <w:rsid w:val="002F6943"/>
    <w:rsid w:val="0030199A"/>
    <w:rsid w:val="003072AA"/>
    <w:rsid w:val="00307843"/>
    <w:rsid w:val="00311C75"/>
    <w:rsid w:val="003202A4"/>
    <w:rsid w:val="00320431"/>
    <w:rsid w:val="00321292"/>
    <w:rsid w:val="0033236B"/>
    <w:rsid w:val="00332E7A"/>
    <w:rsid w:val="003338D6"/>
    <w:rsid w:val="0033765F"/>
    <w:rsid w:val="00342FB8"/>
    <w:rsid w:val="00343E15"/>
    <w:rsid w:val="0034645F"/>
    <w:rsid w:val="00346794"/>
    <w:rsid w:val="00351129"/>
    <w:rsid w:val="0035729C"/>
    <w:rsid w:val="0036042E"/>
    <w:rsid w:val="00362B04"/>
    <w:rsid w:val="00365785"/>
    <w:rsid w:val="00366F5C"/>
    <w:rsid w:val="00374008"/>
    <w:rsid w:val="00374973"/>
    <w:rsid w:val="00381828"/>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B6B09"/>
    <w:rsid w:val="003C02B6"/>
    <w:rsid w:val="003C121A"/>
    <w:rsid w:val="003D0FFC"/>
    <w:rsid w:val="003D1026"/>
    <w:rsid w:val="003D17B8"/>
    <w:rsid w:val="003D6DDA"/>
    <w:rsid w:val="003E23F8"/>
    <w:rsid w:val="003E5BDE"/>
    <w:rsid w:val="003E73F5"/>
    <w:rsid w:val="003F2B4E"/>
    <w:rsid w:val="003F3538"/>
    <w:rsid w:val="003F4B7E"/>
    <w:rsid w:val="004105B2"/>
    <w:rsid w:val="00411E6E"/>
    <w:rsid w:val="00411E94"/>
    <w:rsid w:val="00413524"/>
    <w:rsid w:val="00426155"/>
    <w:rsid w:val="004303FB"/>
    <w:rsid w:val="0043387C"/>
    <w:rsid w:val="00433B70"/>
    <w:rsid w:val="004476AA"/>
    <w:rsid w:val="00460047"/>
    <w:rsid w:val="0046319C"/>
    <w:rsid w:val="004715E7"/>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135"/>
    <w:rsid w:val="004A5A52"/>
    <w:rsid w:val="004A6A7D"/>
    <w:rsid w:val="004B3987"/>
    <w:rsid w:val="004C094F"/>
    <w:rsid w:val="004C1867"/>
    <w:rsid w:val="004C565E"/>
    <w:rsid w:val="004C7FDF"/>
    <w:rsid w:val="004E1D5D"/>
    <w:rsid w:val="004E3B04"/>
    <w:rsid w:val="004E5FBD"/>
    <w:rsid w:val="004E7D41"/>
    <w:rsid w:val="004F02FE"/>
    <w:rsid w:val="004F1271"/>
    <w:rsid w:val="004F2EC9"/>
    <w:rsid w:val="005029CB"/>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0241"/>
    <w:rsid w:val="005850C3"/>
    <w:rsid w:val="00585C1B"/>
    <w:rsid w:val="00585EE1"/>
    <w:rsid w:val="00596392"/>
    <w:rsid w:val="005969FB"/>
    <w:rsid w:val="005A1E6B"/>
    <w:rsid w:val="005A6DDC"/>
    <w:rsid w:val="005B49B3"/>
    <w:rsid w:val="005B58C4"/>
    <w:rsid w:val="005B695F"/>
    <w:rsid w:val="005C3111"/>
    <w:rsid w:val="005C7696"/>
    <w:rsid w:val="005D3059"/>
    <w:rsid w:val="005D31D4"/>
    <w:rsid w:val="005F16BC"/>
    <w:rsid w:val="005F3A0F"/>
    <w:rsid w:val="005F3D33"/>
    <w:rsid w:val="005F4D77"/>
    <w:rsid w:val="00621A9E"/>
    <w:rsid w:val="006269CC"/>
    <w:rsid w:val="00626BE4"/>
    <w:rsid w:val="00636BEF"/>
    <w:rsid w:val="00637977"/>
    <w:rsid w:val="0064107A"/>
    <w:rsid w:val="006436CC"/>
    <w:rsid w:val="00644D92"/>
    <w:rsid w:val="006503EF"/>
    <w:rsid w:val="0065241A"/>
    <w:rsid w:val="0065265E"/>
    <w:rsid w:val="0066429C"/>
    <w:rsid w:val="00665944"/>
    <w:rsid w:val="0067334D"/>
    <w:rsid w:val="0067462E"/>
    <w:rsid w:val="00675AE6"/>
    <w:rsid w:val="00680CF4"/>
    <w:rsid w:val="00687469"/>
    <w:rsid w:val="00687C23"/>
    <w:rsid w:val="00690C78"/>
    <w:rsid w:val="006A0564"/>
    <w:rsid w:val="006A3037"/>
    <w:rsid w:val="006A58CB"/>
    <w:rsid w:val="006B2166"/>
    <w:rsid w:val="006B2947"/>
    <w:rsid w:val="006B36E7"/>
    <w:rsid w:val="006B4D28"/>
    <w:rsid w:val="006B5612"/>
    <w:rsid w:val="006C4623"/>
    <w:rsid w:val="006D32F1"/>
    <w:rsid w:val="006E7245"/>
    <w:rsid w:val="006E74BB"/>
    <w:rsid w:val="006F6FBE"/>
    <w:rsid w:val="00703205"/>
    <w:rsid w:val="00706205"/>
    <w:rsid w:val="00711118"/>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3A12"/>
    <w:rsid w:val="00786B2B"/>
    <w:rsid w:val="00787F58"/>
    <w:rsid w:val="0079448F"/>
    <w:rsid w:val="00796D82"/>
    <w:rsid w:val="007A2D85"/>
    <w:rsid w:val="007A6CE2"/>
    <w:rsid w:val="007A7073"/>
    <w:rsid w:val="007B0304"/>
    <w:rsid w:val="007B5423"/>
    <w:rsid w:val="007B6811"/>
    <w:rsid w:val="007C04CE"/>
    <w:rsid w:val="007C16E3"/>
    <w:rsid w:val="007C288A"/>
    <w:rsid w:val="007C7AEF"/>
    <w:rsid w:val="007D2BF7"/>
    <w:rsid w:val="007D49FA"/>
    <w:rsid w:val="007D4C99"/>
    <w:rsid w:val="007D5DA0"/>
    <w:rsid w:val="007D6670"/>
    <w:rsid w:val="007D7DD0"/>
    <w:rsid w:val="007E0611"/>
    <w:rsid w:val="007E4FAB"/>
    <w:rsid w:val="007E6671"/>
    <w:rsid w:val="007E6EE2"/>
    <w:rsid w:val="007F0387"/>
    <w:rsid w:val="007F2CB4"/>
    <w:rsid w:val="007F49A4"/>
    <w:rsid w:val="007F4E8F"/>
    <w:rsid w:val="007F62C7"/>
    <w:rsid w:val="00800BD6"/>
    <w:rsid w:val="00802320"/>
    <w:rsid w:val="00805771"/>
    <w:rsid w:val="00814583"/>
    <w:rsid w:val="00814712"/>
    <w:rsid w:val="00814CF7"/>
    <w:rsid w:val="008170B1"/>
    <w:rsid w:val="008208BF"/>
    <w:rsid w:val="00822C50"/>
    <w:rsid w:val="0082629C"/>
    <w:rsid w:val="00835B91"/>
    <w:rsid w:val="00837BFE"/>
    <w:rsid w:val="00841BFB"/>
    <w:rsid w:val="008433B8"/>
    <w:rsid w:val="0084495C"/>
    <w:rsid w:val="00846388"/>
    <w:rsid w:val="00847243"/>
    <w:rsid w:val="00854D07"/>
    <w:rsid w:val="00857BD3"/>
    <w:rsid w:val="00860A31"/>
    <w:rsid w:val="008636FD"/>
    <w:rsid w:val="008638B9"/>
    <w:rsid w:val="00864688"/>
    <w:rsid w:val="008657C0"/>
    <w:rsid w:val="00865C2A"/>
    <w:rsid w:val="00876E60"/>
    <w:rsid w:val="00877012"/>
    <w:rsid w:val="00884B55"/>
    <w:rsid w:val="00885F0E"/>
    <w:rsid w:val="00885FD1"/>
    <w:rsid w:val="00886A0C"/>
    <w:rsid w:val="008874FD"/>
    <w:rsid w:val="00896C13"/>
    <w:rsid w:val="008A0E20"/>
    <w:rsid w:val="008A3822"/>
    <w:rsid w:val="008A38B7"/>
    <w:rsid w:val="008A5882"/>
    <w:rsid w:val="008A73BB"/>
    <w:rsid w:val="008B150B"/>
    <w:rsid w:val="008B2498"/>
    <w:rsid w:val="008B6B8E"/>
    <w:rsid w:val="008C29A8"/>
    <w:rsid w:val="008C4794"/>
    <w:rsid w:val="008C7560"/>
    <w:rsid w:val="008D2849"/>
    <w:rsid w:val="008D56B5"/>
    <w:rsid w:val="008D59C3"/>
    <w:rsid w:val="008D7817"/>
    <w:rsid w:val="008E2689"/>
    <w:rsid w:val="008E3344"/>
    <w:rsid w:val="008E3D91"/>
    <w:rsid w:val="008E61F5"/>
    <w:rsid w:val="008F50D8"/>
    <w:rsid w:val="008F64C2"/>
    <w:rsid w:val="008F7BCD"/>
    <w:rsid w:val="0090039D"/>
    <w:rsid w:val="00902C05"/>
    <w:rsid w:val="00902F7D"/>
    <w:rsid w:val="00903879"/>
    <w:rsid w:val="00911C93"/>
    <w:rsid w:val="009159D7"/>
    <w:rsid w:val="00917E3E"/>
    <w:rsid w:val="009349C3"/>
    <w:rsid w:val="00936BB6"/>
    <w:rsid w:val="00946CA9"/>
    <w:rsid w:val="0095357B"/>
    <w:rsid w:val="009608AF"/>
    <w:rsid w:val="00963347"/>
    <w:rsid w:val="009637CD"/>
    <w:rsid w:val="009707CB"/>
    <w:rsid w:val="00971D67"/>
    <w:rsid w:val="00973949"/>
    <w:rsid w:val="009767C9"/>
    <w:rsid w:val="00981130"/>
    <w:rsid w:val="00981893"/>
    <w:rsid w:val="0098303D"/>
    <w:rsid w:val="00983A2A"/>
    <w:rsid w:val="00984217"/>
    <w:rsid w:val="0098493A"/>
    <w:rsid w:val="009914C9"/>
    <w:rsid w:val="00991D49"/>
    <w:rsid w:val="009941CD"/>
    <w:rsid w:val="009955DA"/>
    <w:rsid w:val="009971CF"/>
    <w:rsid w:val="009A2776"/>
    <w:rsid w:val="009A4D34"/>
    <w:rsid w:val="009A525E"/>
    <w:rsid w:val="009B0271"/>
    <w:rsid w:val="009B0BEF"/>
    <w:rsid w:val="009B6533"/>
    <w:rsid w:val="009B725F"/>
    <w:rsid w:val="009C65A2"/>
    <w:rsid w:val="009D22AA"/>
    <w:rsid w:val="009D7395"/>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6433F"/>
    <w:rsid w:val="00A67671"/>
    <w:rsid w:val="00A7031E"/>
    <w:rsid w:val="00A705CA"/>
    <w:rsid w:val="00A71AF5"/>
    <w:rsid w:val="00A735C6"/>
    <w:rsid w:val="00A836DB"/>
    <w:rsid w:val="00A93FA3"/>
    <w:rsid w:val="00A96A28"/>
    <w:rsid w:val="00A96AA7"/>
    <w:rsid w:val="00A972D5"/>
    <w:rsid w:val="00A9793F"/>
    <w:rsid w:val="00AA2261"/>
    <w:rsid w:val="00AA5645"/>
    <w:rsid w:val="00AB60F8"/>
    <w:rsid w:val="00AB652A"/>
    <w:rsid w:val="00AB7FA5"/>
    <w:rsid w:val="00AC30D0"/>
    <w:rsid w:val="00AC66B5"/>
    <w:rsid w:val="00AD4103"/>
    <w:rsid w:val="00AD6C62"/>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0CBF"/>
    <w:rsid w:val="00C74CE8"/>
    <w:rsid w:val="00C758E0"/>
    <w:rsid w:val="00C85D61"/>
    <w:rsid w:val="00C90657"/>
    <w:rsid w:val="00C90846"/>
    <w:rsid w:val="00C91DC4"/>
    <w:rsid w:val="00C92D64"/>
    <w:rsid w:val="00C9510C"/>
    <w:rsid w:val="00C9536A"/>
    <w:rsid w:val="00C96199"/>
    <w:rsid w:val="00CA210B"/>
    <w:rsid w:val="00CA7861"/>
    <w:rsid w:val="00CB280D"/>
    <w:rsid w:val="00CB3BF7"/>
    <w:rsid w:val="00CB5BB0"/>
    <w:rsid w:val="00CC3468"/>
    <w:rsid w:val="00CC7319"/>
    <w:rsid w:val="00CD0FE8"/>
    <w:rsid w:val="00CD3952"/>
    <w:rsid w:val="00CD4648"/>
    <w:rsid w:val="00CD601F"/>
    <w:rsid w:val="00CD61DB"/>
    <w:rsid w:val="00CD7937"/>
    <w:rsid w:val="00CD7E92"/>
    <w:rsid w:val="00CE46F1"/>
    <w:rsid w:val="00CE5962"/>
    <w:rsid w:val="00CE696B"/>
    <w:rsid w:val="00D00527"/>
    <w:rsid w:val="00D012A9"/>
    <w:rsid w:val="00D05648"/>
    <w:rsid w:val="00D062B7"/>
    <w:rsid w:val="00D06DB0"/>
    <w:rsid w:val="00D0740C"/>
    <w:rsid w:val="00D15BD1"/>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25FD9"/>
    <w:rsid w:val="00E31069"/>
    <w:rsid w:val="00E3357D"/>
    <w:rsid w:val="00E33773"/>
    <w:rsid w:val="00E34ACB"/>
    <w:rsid w:val="00E354F4"/>
    <w:rsid w:val="00E36D06"/>
    <w:rsid w:val="00E42CB3"/>
    <w:rsid w:val="00E4605A"/>
    <w:rsid w:val="00E460F1"/>
    <w:rsid w:val="00E51401"/>
    <w:rsid w:val="00E55BF4"/>
    <w:rsid w:val="00E57913"/>
    <w:rsid w:val="00E60A10"/>
    <w:rsid w:val="00E60DE8"/>
    <w:rsid w:val="00E61098"/>
    <w:rsid w:val="00E63138"/>
    <w:rsid w:val="00E65534"/>
    <w:rsid w:val="00E67BD3"/>
    <w:rsid w:val="00E718C4"/>
    <w:rsid w:val="00E741F6"/>
    <w:rsid w:val="00E80152"/>
    <w:rsid w:val="00E80352"/>
    <w:rsid w:val="00E81334"/>
    <w:rsid w:val="00E875CC"/>
    <w:rsid w:val="00E93E05"/>
    <w:rsid w:val="00E97A9C"/>
    <w:rsid w:val="00EA160C"/>
    <w:rsid w:val="00EA271C"/>
    <w:rsid w:val="00EA4024"/>
    <w:rsid w:val="00EB0FD3"/>
    <w:rsid w:val="00EB1AC4"/>
    <w:rsid w:val="00EB77F7"/>
    <w:rsid w:val="00EC0CD3"/>
    <w:rsid w:val="00EC2064"/>
    <w:rsid w:val="00EC468F"/>
    <w:rsid w:val="00EC5944"/>
    <w:rsid w:val="00ED0F09"/>
    <w:rsid w:val="00ED45AB"/>
    <w:rsid w:val="00EE0326"/>
    <w:rsid w:val="00EE45EE"/>
    <w:rsid w:val="00EE5967"/>
    <w:rsid w:val="00EF18C1"/>
    <w:rsid w:val="00F02A17"/>
    <w:rsid w:val="00F05829"/>
    <w:rsid w:val="00F07279"/>
    <w:rsid w:val="00F07E57"/>
    <w:rsid w:val="00F11B88"/>
    <w:rsid w:val="00F2015F"/>
    <w:rsid w:val="00F22875"/>
    <w:rsid w:val="00F33E29"/>
    <w:rsid w:val="00F349C7"/>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935E4"/>
    <w:rsid w:val="00F95B48"/>
    <w:rsid w:val="00F97AC9"/>
    <w:rsid w:val="00FA0034"/>
    <w:rsid w:val="00FA2FFB"/>
    <w:rsid w:val="00FA425A"/>
    <w:rsid w:val="00FB25F3"/>
    <w:rsid w:val="00FC0D3E"/>
    <w:rsid w:val="00FC0F37"/>
    <w:rsid w:val="00FC1000"/>
    <w:rsid w:val="00FD362A"/>
    <w:rsid w:val="00FD50E2"/>
    <w:rsid w:val="00FE09C4"/>
    <w:rsid w:val="00FE2D6C"/>
    <w:rsid w:val="00FE6914"/>
    <w:rsid w:val="00FE793F"/>
    <w:rsid w:val="00FF02E0"/>
    <w:rsid w:val="00FF0DEF"/>
    <w:rsid w:val="00FF24C0"/>
    <w:rsid w:val="11BC647A"/>
    <w:rsid w:val="23995D5D"/>
    <w:rsid w:val="691C4326"/>
    <w:rsid w:val="78A920BF"/>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link w:val="30"/>
    <w:qFormat/>
    <w:uiPriority w:val="0"/>
    <w:pPr>
      <w:tabs>
        <w:tab w:val="left" w:pos="851"/>
      </w:tabs>
      <w:autoSpaceDE w:val="0"/>
      <w:autoSpaceDN w:val="0"/>
      <w:adjustRightInd w:val="0"/>
      <w:snapToGrid w:val="0"/>
      <w:spacing w:line="360" w:lineRule="auto"/>
      <w:outlineLvl w:val="2"/>
    </w:pPr>
    <w:rPr>
      <w:rFonts w:ascii="宋体" w:hAnsi="Calibri"/>
      <w:szCs w:val="2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28"/>
    <w:qFormat/>
    <w:uiPriority w:val="0"/>
    <w:pPr>
      <w:ind w:firstLine="420"/>
    </w:pPr>
    <w:rPr>
      <w:kern w:val="0"/>
      <w:szCs w:val="20"/>
    </w:rPr>
  </w:style>
  <w:style w:type="paragraph" w:styleId="4">
    <w:name w:val="annotation text"/>
    <w:basedOn w:val="1"/>
    <w:link w:val="24"/>
    <w:semiHidden/>
    <w:unhideWhenUsed/>
    <w:qFormat/>
    <w:uiPriority w:val="99"/>
    <w:pPr>
      <w:jc w:val="left"/>
    </w:pPr>
  </w:style>
  <w:style w:type="paragraph" w:styleId="5">
    <w:name w:val="Closing"/>
    <w:basedOn w:val="1"/>
    <w:uiPriority w:val="0"/>
    <w:pPr>
      <w:ind w:left="100" w:leftChars="2100"/>
    </w:pPr>
    <w:rPr>
      <w:rFonts w:ascii="宋体"/>
      <w:sz w:val="24"/>
    </w:rPr>
  </w:style>
  <w:style w:type="paragraph" w:styleId="6">
    <w:name w:val="Plain Text"/>
    <w:basedOn w:val="1"/>
    <w:link w:val="19"/>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7">
    <w:name w:val="Date"/>
    <w:basedOn w:val="1"/>
    <w:next w:val="1"/>
    <w:link w:val="27"/>
    <w:semiHidden/>
    <w:unhideWhenUsed/>
    <w:qFormat/>
    <w:uiPriority w:val="99"/>
    <w:pPr>
      <w:ind w:left="100" w:leftChars="2500"/>
    </w:pPr>
  </w:style>
  <w:style w:type="paragraph" w:styleId="8">
    <w:name w:val="Balloon Text"/>
    <w:basedOn w:val="1"/>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unhideWhenUsed/>
    <w:qFormat/>
    <w:uiPriority w:val="99"/>
    <w:rPr>
      <w:color w:val="0000FF" w:themeColor="hyperlink"/>
      <w:u w:val="single"/>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link w:val="9"/>
    <w:qFormat/>
    <w:uiPriority w:val="99"/>
    <w:rPr>
      <w:kern w:val="2"/>
      <w:sz w:val="18"/>
      <w:szCs w:val="18"/>
    </w:rPr>
  </w:style>
  <w:style w:type="character" w:customStyle="1" w:styleId="16">
    <w:name w:val="apple-style-span"/>
    <w:basedOn w:val="11"/>
    <w:qFormat/>
    <w:uiPriority w:val="0"/>
  </w:style>
  <w:style w:type="character" w:customStyle="1" w:styleId="17">
    <w:name w:val="页眉 Char"/>
    <w:link w:val="10"/>
    <w:qFormat/>
    <w:uiPriority w:val="0"/>
    <w:rPr>
      <w:kern w:val="2"/>
      <w:sz w:val="18"/>
      <w:szCs w:val="18"/>
    </w:rPr>
  </w:style>
  <w:style w:type="character" w:customStyle="1" w:styleId="18">
    <w:name w:val="style141"/>
    <w:qFormat/>
    <w:uiPriority w:val="0"/>
    <w:rPr>
      <w:rFonts w:hint="eastAsia" w:ascii="宋体" w:hAnsi="宋体" w:eastAsia="宋体"/>
      <w:sz w:val="18"/>
      <w:szCs w:val="18"/>
    </w:rPr>
  </w:style>
  <w:style w:type="character" w:customStyle="1" w:styleId="19">
    <w:name w:val="纯文本 Char"/>
    <w:basedOn w:val="11"/>
    <w:link w:val="6"/>
    <w:qFormat/>
    <w:uiPriority w:val="0"/>
    <w:rPr>
      <w:rFonts w:ascii="宋体" w:hAnsi="Courier New" w:eastAsia="微软雅黑" w:cs="Courier New"/>
      <w:sz w:val="22"/>
      <w:szCs w:val="21"/>
    </w:rPr>
  </w:style>
  <w:style w:type="paragraph" w:customStyle="1" w:styleId="20">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1">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p141"/>
    <w:qFormat/>
    <w:uiPriority w:val="0"/>
    <w:rPr>
      <w:sz w:val="21"/>
      <w:szCs w:val="21"/>
    </w:rPr>
  </w:style>
  <w:style w:type="character" w:customStyle="1" w:styleId="24">
    <w:name w:val="批注文字 Char"/>
    <w:basedOn w:val="11"/>
    <w:link w:val="4"/>
    <w:semiHidden/>
    <w:qFormat/>
    <w:uiPriority w:val="99"/>
    <w:rPr>
      <w:kern w:val="2"/>
      <w:sz w:val="21"/>
      <w:szCs w:val="24"/>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character" w:customStyle="1" w:styleId="27">
    <w:name w:val="日期 Char"/>
    <w:basedOn w:val="11"/>
    <w:link w:val="7"/>
    <w:semiHidden/>
    <w:qFormat/>
    <w:uiPriority w:val="99"/>
    <w:rPr>
      <w:kern w:val="2"/>
      <w:sz w:val="21"/>
      <w:szCs w:val="24"/>
    </w:rPr>
  </w:style>
  <w:style w:type="character" w:customStyle="1" w:styleId="28">
    <w:name w:val="正文缩进 Char"/>
    <w:link w:val="3"/>
    <w:qFormat/>
    <w:uiPriority w:val="0"/>
    <w:rPr>
      <w:sz w:val="21"/>
    </w:rPr>
  </w:style>
  <w:style w:type="paragraph" w:customStyle="1" w:styleId="29">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0">
    <w:name w:val="标题 3 Char"/>
    <w:basedOn w:val="11"/>
    <w:link w:val="2"/>
    <w:qFormat/>
    <w:uiPriority w:val="0"/>
    <w:rPr>
      <w:rFonts w:ascii="宋体"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E6E5D-2E86-4B7B-B16F-BC762BF3985D}">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23</Pages>
  <Words>1830</Words>
  <Characters>10437</Characters>
  <Lines>86</Lines>
  <Paragraphs>24</Paragraphs>
  <TotalTime>1289</TotalTime>
  <ScaleCrop>false</ScaleCrop>
  <LinksUpToDate>false</LinksUpToDate>
  <CharactersWithSpaces>12243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2021-10-19T01:29:00Z</dcterms:created>
  <dc:creator>abc</dc:creator>
  <cp:lastModifiedBy>蒋明君</cp:lastModifiedBy>
  <cp:lastPrinted>2016-11-01T08:05:00Z</cp:lastPrinted>
  <dcterms:modified xsi:type="dcterms:W3CDTF">2022-03-25T09:04:29Z</dcterms:modified>
  <dc:title>广州大学城投资经营管理有限公司</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