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s>
        <w:spacing w:line="360" w:lineRule="auto"/>
        <w:jc w:val="center"/>
        <w:rPr>
          <w:b/>
          <w:sz w:val="44"/>
          <w:szCs w:val="44"/>
        </w:rPr>
      </w:pPr>
      <w:r>
        <w:rPr>
          <w:b/>
          <w:sz w:val="44"/>
          <w:szCs w:val="44"/>
        </w:rPr>
        <w:t>广州大学城投资经营管理有限公司</w:t>
      </w:r>
    </w:p>
    <w:p>
      <w:pPr>
        <w:tabs>
          <w:tab w:val="left" w:pos="720"/>
        </w:tabs>
        <w:spacing w:line="360" w:lineRule="auto"/>
        <w:jc w:val="center"/>
        <w:rPr>
          <w:b/>
          <w:sz w:val="44"/>
          <w:szCs w:val="44"/>
        </w:rPr>
      </w:pPr>
      <w:r>
        <w:rPr>
          <w:rFonts w:hint="eastAsia"/>
          <w:b/>
          <w:sz w:val="44"/>
          <w:szCs w:val="44"/>
        </w:rPr>
        <w:t>岭南印象园博物馆2#专变房10kV高压供电电缆修复工程竞选文件</w:t>
      </w:r>
    </w:p>
    <w:p>
      <w:pPr>
        <w:tabs>
          <w:tab w:val="left" w:pos="540"/>
          <w:tab w:val="left" w:pos="720"/>
        </w:tabs>
        <w:spacing w:line="560" w:lineRule="exact"/>
        <w:ind w:firstLine="562" w:firstLineChars="200"/>
        <w:rPr>
          <w:b/>
          <w:sz w:val="28"/>
          <w:szCs w:val="28"/>
        </w:rPr>
      </w:pPr>
    </w:p>
    <w:p>
      <w:pPr>
        <w:tabs>
          <w:tab w:val="left" w:pos="540"/>
          <w:tab w:val="left" w:pos="720"/>
        </w:tabs>
        <w:spacing w:line="520" w:lineRule="exact"/>
        <w:ind w:firstLine="562" w:firstLineChars="200"/>
        <w:rPr>
          <w:b/>
          <w:sz w:val="28"/>
          <w:szCs w:val="28"/>
        </w:rPr>
      </w:pPr>
      <w:r>
        <w:rPr>
          <w:rFonts w:hint="eastAsia"/>
          <w:b/>
          <w:sz w:val="28"/>
          <w:szCs w:val="28"/>
        </w:rPr>
        <w:t>一、项目基本情况</w:t>
      </w:r>
    </w:p>
    <w:p>
      <w:pPr>
        <w:spacing w:line="520" w:lineRule="exact"/>
        <w:ind w:firstLine="560" w:firstLineChars="200"/>
        <w:rPr>
          <w:sz w:val="28"/>
          <w:szCs w:val="28"/>
        </w:rPr>
      </w:pPr>
      <w:r>
        <w:rPr>
          <w:rFonts w:hint="eastAsia"/>
          <w:sz w:val="28"/>
          <w:szCs w:val="28"/>
        </w:rPr>
        <w:t>（一）项目名称：岭南印象园博物馆2#专变房10kV高压供电电缆修复工程</w:t>
      </w:r>
    </w:p>
    <w:p>
      <w:pPr>
        <w:spacing w:line="520" w:lineRule="exact"/>
        <w:ind w:firstLine="560" w:firstLineChars="200"/>
        <w:rPr>
          <w:sz w:val="28"/>
          <w:szCs w:val="28"/>
        </w:rPr>
      </w:pPr>
      <w:r>
        <w:rPr>
          <w:rFonts w:hint="eastAsia"/>
          <w:sz w:val="28"/>
          <w:szCs w:val="28"/>
        </w:rPr>
        <w:t>（二）项目地点：广州大学城</w:t>
      </w:r>
    </w:p>
    <w:p>
      <w:pPr>
        <w:spacing w:line="520" w:lineRule="exact"/>
        <w:ind w:firstLine="560" w:firstLineChars="200"/>
        <w:rPr>
          <w:sz w:val="28"/>
          <w:szCs w:val="28"/>
        </w:rPr>
      </w:pPr>
      <w:r>
        <w:rPr>
          <w:rFonts w:hint="eastAsia"/>
          <w:sz w:val="28"/>
          <w:szCs w:val="28"/>
        </w:rPr>
        <w:t>（三）采购限价：</w:t>
      </w:r>
      <w:r>
        <w:rPr>
          <w:sz w:val="28"/>
          <w:szCs w:val="28"/>
        </w:rPr>
        <w:t>10</w:t>
      </w:r>
      <w:r>
        <w:rPr>
          <w:rFonts w:hint="eastAsia"/>
          <w:sz w:val="28"/>
          <w:szCs w:val="28"/>
        </w:rPr>
        <w:t>万元（该限价不包括废旧电缆回收费用）。</w:t>
      </w:r>
    </w:p>
    <w:p>
      <w:pPr>
        <w:spacing w:line="520" w:lineRule="exact"/>
        <w:ind w:firstLine="560" w:firstLineChars="200"/>
        <w:rPr>
          <w:sz w:val="28"/>
          <w:szCs w:val="28"/>
        </w:rPr>
      </w:pPr>
      <w:r>
        <w:rPr>
          <w:rFonts w:hint="eastAsia"/>
          <w:sz w:val="28"/>
          <w:szCs w:val="28"/>
        </w:rPr>
        <w:t>（四）项目概况</w:t>
      </w:r>
    </w:p>
    <w:p>
      <w:pPr>
        <w:tabs>
          <w:tab w:val="left" w:pos="0"/>
          <w:tab w:val="left" w:pos="720"/>
        </w:tabs>
        <w:spacing w:line="520" w:lineRule="exact"/>
        <w:ind w:firstLine="560" w:firstLineChars="200"/>
        <w:rPr>
          <w:sz w:val="28"/>
          <w:szCs w:val="28"/>
        </w:rPr>
      </w:pPr>
      <w:r>
        <w:rPr>
          <w:rFonts w:hint="eastAsia"/>
          <w:sz w:val="28"/>
          <w:szCs w:val="28"/>
        </w:rPr>
        <w:t>本工程主要是对岭南印象园博物馆2#专变房10kV高压供电电缆A相接地故障进行紧急修复。</w:t>
      </w:r>
    </w:p>
    <w:p>
      <w:pPr>
        <w:tabs>
          <w:tab w:val="left" w:pos="0"/>
          <w:tab w:val="left" w:pos="720"/>
        </w:tabs>
        <w:spacing w:line="520" w:lineRule="exact"/>
        <w:ind w:firstLine="562" w:firstLineChars="200"/>
        <w:rPr>
          <w:b/>
          <w:sz w:val="28"/>
          <w:szCs w:val="28"/>
        </w:rPr>
      </w:pPr>
      <w:r>
        <w:rPr>
          <w:rFonts w:hint="eastAsia"/>
          <w:b/>
          <w:sz w:val="28"/>
          <w:szCs w:val="28"/>
        </w:rPr>
        <w:t>二、合格投标人资格要求</w:t>
      </w:r>
    </w:p>
    <w:p>
      <w:pPr>
        <w:tabs>
          <w:tab w:val="left" w:pos="0"/>
          <w:tab w:val="left" w:pos="720"/>
        </w:tabs>
        <w:spacing w:line="520" w:lineRule="exact"/>
        <w:ind w:firstLine="560" w:firstLineChars="200"/>
        <w:rPr>
          <w:sz w:val="28"/>
          <w:szCs w:val="28"/>
        </w:rPr>
      </w:pPr>
      <w:r>
        <w:rPr>
          <w:rFonts w:hint="eastAsia"/>
          <w:sz w:val="28"/>
          <w:szCs w:val="28"/>
        </w:rPr>
        <w:t>（一）必须是具有独立承担民事责任能力、在中华人民共和国境内注册的法人；</w:t>
      </w:r>
    </w:p>
    <w:p>
      <w:pPr>
        <w:tabs>
          <w:tab w:val="left" w:pos="0"/>
          <w:tab w:val="left" w:pos="720"/>
        </w:tabs>
        <w:spacing w:line="520" w:lineRule="exact"/>
        <w:ind w:firstLine="560" w:firstLineChars="200"/>
        <w:rPr>
          <w:sz w:val="28"/>
          <w:szCs w:val="28"/>
        </w:rPr>
      </w:pPr>
      <w:r>
        <w:rPr>
          <w:rFonts w:hint="eastAsia"/>
          <w:sz w:val="28"/>
          <w:szCs w:val="28"/>
        </w:rPr>
        <w:t>（二）具备有效的工商营业执照、企业法人组织机构代码证书、税务登记证书（或三证合一）；</w:t>
      </w:r>
    </w:p>
    <w:p>
      <w:pPr>
        <w:tabs>
          <w:tab w:val="left" w:pos="0"/>
          <w:tab w:val="left" w:pos="720"/>
        </w:tabs>
        <w:spacing w:line="520" w:lineRule="exact"/>
        <w:ind w:firstLine="560" w:firstLineChars="200"/>
        <w:rPr>
          <w:sz w:val="28"/>
          <w:szCs w:val="28"/>
        </w:rPr>
      </w:pPr>
      <w:r>
        <w:rPr>
          <w:rFonts w:hint="eastAsia"/>
          <w:sz w:val="28"/>
          <w:szCs w:val="28"/>
        </w:rPr>
        <w:t>（三）已办理合法税务登记，具有开具相应增值税专用发票资格；</w:t>
      </w:r>
    </w:p>
    <w:p>
      <w:pPr>
        <w:tabs>
          <w:tab w:val="left" w:pos="0"/>
          <w:tab w:val="left" w:pos="720"/>
        </w:tabs>
        <w:spacing w:line="520" w:lineRule="exact"/>
        <w:ind w:firstLine="560" w:firstLineChars="200"/>
        <w:rPr>
          <w:sz w:val="28"/>
          <w:szCs w:val="28"/>
        </w:rPr>
      </w:pPr>
      <w:r>
        <w:rPr>
          <w:rFonts w:hint="eastAsia"/>
          <w:sz w:val="28"/>
          <w:szCs w:val="28"/>
        </w:rPr>
        <w:t>（四）具备承装（修、试）电力设施许可证五级或以上资质；</w:t>
      </w:r>
    </w:p>
    <w:p>
      <w:pPr>
        <w:tabs>
          <w:tab w:val="left" w:pos="0"/>
          <w:tab w:val="left" w:pos="720"/>
        </w:tabs>
        <w:spacing w:line="520" w:lineRule="exact"/>
        <w:ind w:firstLine="560" w:firstLineChars="200"/>
        <w:rPr>
          <w:sz w:val="28"/>
          <w:szCs w:val="28"/>
        </w:rPr>
      </w:pPr>
      <w:r>
        <w:rPr>
          <w:rFonts w:hint="eastAsia"/>
          <w:sz w:val="28"/>
          <w:szCs w:val="28"/>
        </w:rPr>
        <w:t>（五）投标人近3年内(201</w:t>
      </w:r>
      <w:r>
        <w:rPr>
          <w:sz w:val="28"/>
          <w:szCs w:val="28"/>
        </w:rPr>
        <w:t>8</w:t>
      </w:r>
      <w:r>
        <w:rPr>
          <w:rFonts w:hint="eastAsia"/>
          <w:sz w:val="28"/>
          <w:szCs w:val="28"/>
        </w:rPr>
        <w:t>年1月1日至今)完成过质量合格的类似工程项目业绩（需提供合同等相关证明材料复印件）；</w:t>
      </w:r>
    </w:p>
    <w:p>
      <w:pPr>
        <w:tabs>
          <w:tab w:val="left" w:pos="0"/>
          <w:tab w:val="left" w:pos="720"/>
        </w:tabs>
        <w:spacing w:line="520" w:lineRule="exact"/>
        <w:ind w:firstLine="560" w:firstLineChars="200"/>
        <w:rPr>
          <w:sz w:val="28"/>
          <w:szCs w:val="28"/>
        </w:rPr>
      </w:pPr>
      <w:r>
        <w:rPr>
          <w:rFonts w:hint="eastAsia"/>
          <w:sz w:val="28"/>
          <w:szCs w:val="28"/>
        </w:rPr>
        <w:t>（六）不接受联合体报价。</w:t>
      </w:r>
    </w:p>
    <w:p>
      <w:pPr>
        <w:tabs>
          <w:tab w:val="left" w:pos="0"/>
          <w:tab w:val="left" w:pos="720"/>
        </w:tabs>
        <w:spacing w:line="520" w:lineRule="exact"/>
        <w:ind w:firstLine="562" w:firstLineChars="200"/>
        <w:rPr>
          <w:rFonts w:ascii="宋体" w:hAnsi="宋体"/>
          <w:b/>
          <w:sz w:val="28"/>
          <w:szCs w:val="28"/>
        </w:rPr>
      </w:pPr>
      <w:r>
        <w:rPr>
          <w:rFonts w:hint="eastAsia" w:ascii="宋体" w:hAnsi="宋体"/>
          <w:b/>
          <w:sz w:val="28"/>
          <w:szCs w:val="28"/>
        </w:rPr>
        <w:t>三、项目的施工范围及内容</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为尽快恢复岭南印象园博物馆2#专变房的正常供电，现提出该供电电缆线路的修复方案： </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（1）如附图，沿1#变电房A至中间接头井B的供电线路为2</w:t>
      </w:r>
      <w:r>
        <w:rPr>
          <w:rFonts w:asciiTheme="minorEastAsia" w:hAnsiTheme="minorEastAsia" w:eastAsiaTheme="minorEastAsia"/>
          <w:sz w:val="28"/>
          <w:szCs w:val="28"/>
        </w:rPr>
        <w:t>020</w:t>
      </w:r>
      <w:r>
        <w:rPr>
          <w:rFonts w:hint="eastAsia" w:asciiTheme="minorEastAsia" w:hAnsiTheme="minorEastAsia" w:eastAsiaTheme="minorEastAsia"/>
          <w:sz w:val="28"/>
          <w:szCs w:val="28"/>
        </w:rPr>
        <w:t>年新敷设的高压电缆（图中AB段，ZR-YJV22-8.7/15kV-3×70mm2），沿中间接头井B至2#变电房C（附图中BC段YJV22-8.7/15kV-3×95mm2））是原有高压电缆，在做好停电安全措施后，将1#变电房和2#变电房两侧的电缆接头解开，在中间接井B处将中间接头断开，先分别测量新旧两段电缆各相对地及相间绝缘，以确定是那一段电缆的A相接地；不论BC段电缆有无问题，该段旧电缆均需更换为新电缆（型号规格为ZR-YJV22-8.7/15kV-3×70mm2），如AB段电缆也有故障，则需由原施工单位负责修复。</w:t>
      </w:r>
    </w:p>
    <w:p>
      <w:pPr>
        <w:spacing w:line="560" w:lineRule="exact"/>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（2）新装3*70mm2高压电缆终端头1个，3*70mm2高压电缆中间接头1个，含送电调试。</w:t>
      </w:r>
    </w:p>
    <w:p>
      <w:pPr>
        <w:spacing w:line="560" w:lineRule="exact"/>
        <w:ind w:firstLine="562" w:firstLineChars="200"/>
        <w:rPr>
          <w:b/>
          <w:sz w:val="28"/>
          <w:szCs w:val="28"/>
        </w:rPr>
      </w:pPr>
      <w:r>
        <w:rPr>
          <w:rFonts w:hint="eastAsia"/>
          <w:b/>
          <w:sz w:val="28"/>
          <w:szCs w:val="28"/>
        </w:rPr>
        <w:t>四、</w:t>
      </w:r>
      <w:r>
        <w:rPr>
          <w:b/>
          <w:sz w:val="28"/>
          <w:szCs w:val="28"/>
        </w:rPr>
        <w:t>工程量</w:t>
      </w:r>
      <w:r>
        <w:rPr>
          <w:rFonts w:hint="eastAsia"/>
          <w:b/>
          <w:sz w:val="28"/>
          <w:szCs w:val="28"/>
        </w:rPr>
        <w:t>及</w:t>
      </w:r>
      <w:r>
        <w:rPr>
          <w:b/>
          <w:sz w:val="28"/>
          <w:szCs w:val="28"/>
        </w:rPr>
        <w:t>材料说明</w:t>
      </w:r>
    </w:p>
    <w:p>
      <w:pPr>
        <w:spacing w:line="560" w:lineRule="exact"/>
        <w:ind w:firstLine="560" w:firstLineChars="200"/>
        <w:rPr>
          <w:sz w:val="28"/>
          <w:szCs w:val="28"/>
        </w:rPr>
      </w:pPr>
      <w:r>
        <w:rPr>
          <w:rFonts w:hint="eastAsia"/>
          <w:sz w:val="28"/>
          <w:szCs w:val="28"/>
        </w:rPr>
        <w:t>（一）主要工程量清单</w:t>
      </w:r>
    </w:p>
    <w:p>
      <w:pPr>
        <w:spacing w:line="560" w:lineRule="exact"/>
        <w:ind w:firstLine="560" w:firstLineChars="200"/>
        <w:rPr>
          <w:sz w:val="28"/>
          <w:szCs w:val="28"/>
        </w:rPr>
      </w:pPr>
      <w:r>
        <w:rPr>
          <w:rFonts w:hint="eastAsia"/>
          <w:sz w:val="28"/>
          <w:szCs w:val="28"/>
        </w:rPr>
        <w:t>以下工程量仅作参考，投标人应根据下表及结合现场实际情况综合考虑再进行报价。</w:t>
      </w:r>
    </w:p>
    <w:tbl>
      <w:tblPr>
        <w:tblStyle w:val="15"/>
        <w:tblW w:w="9214" w:type="dxa"/>
        <w:tblInd w:w="-34" w:type="dxa"/>
        <w:tblLayout w:type="fixed"/>
        <w:tblCellMar>
          <w:top w:w="0" w:type="dxa"/>
          <w:left w:w="108" w:type="dxa"/>
          <w:bottom w:w="0" w:type="dxa"/>
          <w:right w:w="108" w:type="dxa"/>
        </w:tblCellMar>
      </w:tblPr>
      <w:tblGrid>
        <w:gridCol w:w="709"/>
        <w:gridCol w:w="2552"/>
        <w:gridCol w:w="4252"/>
        <w:gridCol w:w="709"/>
        <w:gridCol w:w="992"/>
      </w:tblGrid>
      <w:tr>
        <w:tblPrEx>
          <w:tblLayout w:type="fixed"/>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序号</w:t>
            </w:r>
          </w:p>
        </w:tc>
        <w:tc>
          <w:tcPr>
            <w:tcW w:w="255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项目名称</w:t>
            </w:r>
          </w:p>
        </w:tc>
        <w:tc>
          <w:tcPr>
            <w:tcW w:w="42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项目特征描述</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单位</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工程量</w:t>
            </w:r>
          </w:p>
        </w:tc>
      </w:tr>
      <w:tr>
        <w:tblPrEx>
          <w:tblLayout w:type="fixed"/>
          <w:tblCellMar>
            <w:top w:w="0" w:type="dxa"/>
            <w:left w:w="108" w:type="dxa"/>
            <w:bottom w:w="0" w:type="dxa"/>
            <w:right w:w="108" w:type="dxa"/>
          </w:tblCellMar>
        </w:tblPrEx>
        <w:trPr>
          <w:trHeight w:val="90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w:t>
            </w: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电力电缆敷设（ZRYJV22-8.7/15kV-3×70</w:t>
            </w:r>
            <w:r>
              <w:rPr>
                <w:rFonts w:cs="宋体" w:asciiTheme="minorEastAsia" w:hAnsiTheme="minorEastAsia" w:eastAsiaTheme="minorEastAsia"/>
                <w:color w:val="000000"/>
                <w:kern w:val="0"/>
                <w:szCs w:val="21"/>
              </w:rPr>
              <w:t>mm²</w:t>
            </w:r>
            <w:r>
              <w:rPr>
                <w:rFonts w:hint="eastAsia" w:cs="宋体" w:asciiTheme="minorEastAsia" w:hAnsiTheme="minorEastAsia" w:eastAsiaTheme="minorEastAsia"/>
                <w:color w:val="000000"/>
                <w:kern w:val="0"/>
                <w:szCs w:val="21"/>
              </w:rPr>
              <w:t>）</w:t>
            </w: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xml:space="preserve">1.型号:铜芯电缆ZR-YJV22-8.7/15KV </w:t>
            </w:r>
          </w:p>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2.规格:3×70</w:t>
            </w:r>
            <w:r>
              <w:rPr>
                <w:rFonts w:cs="宋体" w:asciiTheme="minorEastAsia" w:hAnsiTheme="minorEastAsia" w:eastAsiaTheme="minorEastAsia"/>
                <w:color w:val="000000"/>
                <w:kern w:val="0"/>
                <w:szCs w:val="21"/>
              </w:rPr>
              <w:t>mm²</w:t>
            </w:r>
          </w:p>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3.敷设方式:电缆沟槽架、管内敷设</w:t>
            </w:r>
          </w:p>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4.电缆沟揭、盖板,清坑</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米</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150</w:t>
            </w:r>
          </w:p>
        </w:tc>
      </w:tr>
      <w:tr>
        <w:tblPrEx>
          <w:tblLayout w:type="fixed"/>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w:t>
            </w:r>
          </w:p>
        </w:tc>
        <w:tc>
          <w:tcPr>
            <w:tcW w:w="2552"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电缆终端头制作、安装</w:t>
            </w: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1.电缆头制作、安装</w:t>
            </w:r>
          </w:p>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2.户内冷缩式电缆终端头</w:t>
            </w:r>
          </w:p>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3.规格:3*70</w:t>
            </w:r>
            <w:r>
              <w:rPr>
                <w:rFonts w:cs="宋体" w:asciiTheme="minorEastAsia" w:hAnsiTheme="minorEastAsia" w:eastAsiaTheme="minorEastAsia"/>
                <w:color w:val="000000"/>
                <w:kern w:val="0"/>
                <w:szCs w:val="21"/>
              </w:rPr>
              <w:t>mm²</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个</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w:t>
            </w:r>
          </w:p>
        </w:tc>
      </w:tr>
      <w:tr>
        <w:tblPrEx>
          <w:tblLayout w:type="fixed"/>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w:t>
            </w:r>
          </w:p>
        </w:tc>
        <w:tc>
          <w:tcPr>
            <w:tcW w:w="2552"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电缆中间头制作、安装</w:t>
            </w: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1.电缆头制作、安装</w:t>
            </w:r>
          </w:p>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2.冷缩式电缆中间头</w:t>
            </w:r>
          </w:p>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3.规格:3*70</w:t>
            </w:r>
            <w:r>
              <w:rPr>
                <w:rFonts w:cs="宋体" w:asciiTheme="minorEastAsia" w:hAnsiTheme="minorEastAsia" w:eastAsiaTheme="minorEastAsia"/>
                <w:color w:val="000000"/>
                <w:kern w:val="0"/>
                <w:szCs w:val="21"/>
              </w:rPr>
              <w:t>mm²</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个</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w:t>
            </w:r>
          </w:p>
        </w:tc>
      </w:tr>
      <w:tr>
        <w:tblPrEx>
          <w:tblLayout w:type="fixed"/>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w:t>
            </w:r>
          </w:p>
        </w:tc>
        <w:tc>
          <w:tcPr>
            <w:tcW w:w="2552"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防火堵洞</w:t>
            </w: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1.名称:防火堵洞</w:t>
            </w:r>
          </w:p>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2.部位:综合</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处</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w:t>
            </w:r>
          </w:p>
        </w:tc>
      </w:tr>
      <w:tr>
        <w:tblPrEx>
          <w:tblLayout w:type="fixed"/>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w:t>
            </w:r>
          </w:p>
        </w:tc>
        <w:tc>
          <w:tcPr>
            <w:tcW w:w="2552"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电缆试验</w:t>
            </w: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1.型号:电缆试验</w:t>
            </w:r>
          </w:p>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2.电压等级（kV）10KV</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项</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w:t>
            </w:r>
          </w:p>
        </w:tc>
      </w:tr>
      <w:tr>
        <w:tblPrEx>
          <w:tblLayout w:type="fixed"/>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6</w:t>
            </w:r>
          </w:p>
        </w:tc>
        <w:tc>
          <w:tcPr>
            <w:tcW w:w="2552"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项目措施费</w:t>
            </w: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Cs w:val="21"/>
              </w:rPr>
            </w:pP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项</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w:t>
            </w:r>
          </w:p>
        </w:tc>
      </w:tr>
    </w:tbl>
    <w:p>
      <w:pPr>
        <w:spacing w:line="560" w:lineRule="exact"/>
        <w:ind w:firstLine="560" w:firstLineChars="200"/>
        <w:rPr>
          <w:rFonts w:asciiTheme="minorEastAsia" w:hAnsiTheme="minorEastAsia" w:eastAsiaTheme="minorEastAsia"/>
          <w:sz w:val="28"/>
          <w:szCs w:val="28"/>
        </w:rPr>
      </w:pPr>
      <w:r>
        <w:rPr>
          <w:rFonts w:hint="eastAsia" w:ascii="宋体" w:hAnsi="宋体" w:cs="宋体"/>
          <w:color w:val="000000"/>
          <w:kern w:val="0"/>
          <w:sz w:val="28"/>
          <w:szCs w:val="28"/>
        </w:rPr>
        <w:t>注：1、</w:t>
      </w:r>
      <w:r>
        <w:rPr>
          <w:rFonts w:hint="eastAsia" w:asciiTheme="minorEastAsia" w:hAnsiTheme="minorEastAsia" w:eastAsiaTheme="minorEastAsia"/>
          <w:sz w:val="28"/>
          <w:szCs w:val="28"/>
        </w:rPr>
        <w:t>工程量清单报价时建议按上述表格人工、材料分开单列报价；</w:t>
      </w:r>
    </w:p>
    <w:p>
      <w:pPr>
        <w:widowControl/>
        <w:ind w:firstLine="1120" w:firstLineChars="400"/>
        <w:jc w:val="left"/>
        <w:rPr>
          <w:rFonts w:asciiTheme="minorEastAsia" w:hAnsiTheme="minorEastAsia" w:eastAsiaTheme="minorEastAsia"/>
          <w:sz w:val="28"/>
          <w:szCs w:val="28"/>
        </w:rPr>
      </w:pPr>
      <w:r>
        <w:rPr>
          <w:rFonts w:asciiTheme="minorEastAsia" w:hAnsiTheme="minorEastAsia" w:eastAsiaTheme="minorEastAsia"/>
          <w:sz w:val="28"/>
          <w:szCs w:val="28"/>
        </w:rPr>
        <w:t>2</w:t>
      </w:r>
      <w:r>
        <w:rPr>
          <w:rFonts w:hint="eastAsia" w:asciiTheme="minorEastAsia" w:hAnsiTheme="minorEastAsia" w:eastAsiaTheme="minorEastAsia"/>
          <w:sz w:val="28"/>
          <w:szCs w:val="28"/>
        </w:rPr>
        <w:t>、上述工程施工单位包材料配件供货及安装调试，电力电缆推荐广东珠江电线电缆有限公司、广州南洋电缆集团有限公司、广州番禺电缆集团有限公司或同等品质产品（其它须经采购方确认同意后方可使用）。</w:t>
      </w:r>
    </w:p>
    <w:p>
      <w:pPr>
        <w:widowControl/>
        <w:ind w:firstLine="562" w:firstLineChars="200"/>
        <w:jc w:val="left"/>
        <w:rPr>
          <w:rFonts w:asciiTheme="minorEastAsia" w:hAnsiTheme="minorEastAsia" w:eastAsiaTheme="minorEastAsia"/>
          <w:b/>
          <w:sz w:val="28"/>
          <w:szCs w:val="28"/>
        </w:rPr>
      </w:pPr>
      <w:r>
        <w:rPr>
          <w:rFonts w:asciiTheme="minorEastAsia" w:hAnsiTheme="minorEastAsia" w:eastAsiaTheme="minorEastAsia"/>
          <w:b/>
          <w:sz w:val="28"/>
          <w:szCs w:val="28"/>
        </w:rPr>
        <w:t>五</w:t>
      </w:r>
      <w:r>
        <w:rPr>
          <w:rFonts w:hint="eastAsia" w:asciiTheme="minorEastAsia" w:hAnsiTheme="minorEastAsia" w:eastAsiaTheme="minorEastAsia"/>
          <w:b/>
          <w:sz w:val="28"/>
          <w:szCs w:val="28"/>
        </w:rPr>
        <w:t>、废旧</w:t>
      </w:r>
      <w:r>
        <w:rPr>
          <w:rFonts w:asciiTheme="minorEastAsia" w:hAnsiTheme="minorEastAsia" w:eastAsiaTheme="minorEastAsia"/>
          <w:b/>
          <w:sz w:val="28"/>
          <w:szCs w:val="28"/>
        </w:rPr>
        <w:t>电缆回收</w:t>
      </w:r>
    </w:p>
    <w:p>
      <w:pPr>
        <w:widowControl/>
        <w:ind w:firstLine="562" w:firstLineChars="200"/>
        <w:jc w:val="left"/>
        <w:rPr>
          <w:rFonts w:asciiTheme="minorEastAsia" w:hAnsiTheme="minorEastAsia" w:eastAsiaTheme="minorEastAsia"/>
          <w:b/>
          <w:sz w:val="28"/>
          <w:szCs w:val="28"/>
        </w:rPr>
      </w:pPr>
      <w:r>
        <w:rPr>
          <w:rFonts w:hint="eastAsia" w:asciiTheme="minorEastAsia" w:hAnsiTheme="minorEastAsia" w:eastAsiaTheme="minorEastAsia"/>
          <w:b/>
          <w:sz w:val="28"/>
          <w:szCs w:val="28"/>
        </w:rPr>
        <w:t>将原从沿中间接头井B至2#变电房C（附图中BC段）原有高压电缆（型号规格为ZR-YJV22-8.7/15KV-3×95mm2，长度约140米）拆除及处理，拆除过程中如对原有路面及盖板有损坏的，则由施工单位负责修复。该项工作需单独报价，该笔废旧电缆回收费用必须在施工合同签订后，工程进场施工前汇入采购方银行账户。</w:t>
      </w:r>
    </w:p>
    <w:tbl>
      <w:tblPr>
        <w:tblStyle w:val="15"/>
        <w:tblW w:w="9229" w:type="dxa"/>
        <w:tblInd w:w="93" w:type="dxa"/>
        <w:tblLayout w:type="fixed"/>
        <w:tblCellMar>
          <w:top w:w="0" w:type="dxa"/>
          <w:left w:w="108" w:type="dxa"/>
          <w:bottom w:w="0" w:type="dxa"/>
          <w:right w:w="108" w:type="dxa"/>
        </w:tblCellMar>
      </w:tblPr>
      <w:tblGrid>
        <w:gridCol w:w="620"/>
        <w:gridCol w:w="2240"/>
        <w:gridCol w:w="4668"/>
        <w:gridCol w:w="709"/>
        <w:gridCol w:w="992"/>
      </w:tblGrid>
      <w:tr>
        <w:tblPrEx>
          <w:tblLayout w:type="fixed"/>
          <w:tblCellMar>
            <w:top w:w="0" w:type="dxa"/>
            <w:left w:w="108" w:type="dxa"/>
            <w:bottom w:w="0" w:type="dxa"/>
            <w:right w:w="108" w:type="dxa"/>
          </w:tblCellMar>
        </w:tblPrEx>
        <w:trPr>
          <w:trHeight w:val="540" w:hRule="atLeast"/>
        </w:trPr>
        <w:tc>
          <w:tcPr>
            <w:tcW w:w="6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序号</w:t>
            </w:r>
          </w:p>
        </w:tc>
        <w:tc>
          <w:tcPr>
            <w:tcW w:w="22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项目名称</w:t>
            </w:r>
          </w:p>
        </w:tc>
        <w:tc>
          <w:tcPr>
            <w:tcW w:w="466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项目特征描述</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单位</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工程量</w:t>
            </w:r>
          </w:p>
        </w:tc>
      </w:tr>
      <w:tr>
        <w:tblPrEx>
          <w:tblLayout w:type="fixed"/>
          <w:tblCellMar>
            <w:top w:w="0" w:type="dxa"/>
            <w:left w:w="108" w:type="dxa"/>
            <w:bottom w:w="0" w:type="dxa"/>
            <w:right w:w="108" w:type="dxa"/>
          </w:tblCellMar>
        </w:tblPrEx>
        <w:trPr>
          <w:trHeight w:val="1275" w:hRule="atLeast"/>
        </w:trPr>
        <w:tc>
          <w:tcPr>
            <w:tcW w:w="6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2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废旧电力电缆的拆除及处理</w:t>
            </w:r>
          </w:p>
        </w:tc>
        <w:tc>
          <w:tcPr>
            <w:tcW w:w="46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xml:space="preserve">1.型号:铜芯电缆ZR-YJV22-8.7/15KV </w:t>
            </w:r>
            <w:r>
              <w:rPr>
                <w:rFonts w:hint="eastAsia" w:ascii="宋体" w:hAnsi="宋体" w:cs="宋体"/>
                <w:color w:val="000000"/>
                <w:kern w:val="0"/>
                <w:szCs w:val="21"/>
              </w:rPr>
              <w:br w:type="textWrapping"/>
            </w:r>
            <w:r>
              <w:rPr>
                <w:rFonts w:hint="eastAsia" w:ascii="宋体" w:hAnsi="宋体" w:cs="宋体"/>
                <w:color w:val="000000"/>
                <w:kern w:val="0"/>
                <w:szCs w:val="21"/>
              </w:rPr>
              <w:t>2.规格:3×95mm2</w:t>
            </w:r>
            <w:r>
              <w:rPr>
                <w:rFonts w:hint="eastAsia" w:ascii="宋体" w:hAnsi="宋体" w:cs="宋体"/>
                <w:color w:val="000000"/>
                <w:kern w:val="0"/>
                <w:szCs w:val="21"/>
              </w:rPr>
              <w:br w:type="textWrapping"/>
            </w:r>
            <w:r>
              <w:rPr>
                <w:rFonts w:hint="eastAsia" w:ascii="宋体" w:hAnsi="宋体" w:cs="宋体"/>
                <w:color w:val="000000"/>
                <w:kern w:val="0"/>
                <w:szCs w:val="21"/>
              </w:rPr>
              <w:t>3.电缆沟揭盖板,抽出电缆，修复损坏的盖板路面</w:t>
            </w:r>
          </w:p>
          <w:p>
            <w:pPr>
              <w:widowControl/>
              <w:jc w:val="left"/>
              <w:rPr>
                <w:rFonts w:ascii="宋体" w:hAnsi="宋体" w:cs="宋体"/>
                <w:color w:val="000000"/>
                <w:kern w:val="0"/>
                <w:szCs w:val="21"/>
              </w:rPr>
            </w:pPr>
            <w:r>
              <w:rPr>
                <w:rFonts w:hint="eastAsia" w:ascii="宋体" w:hAnsi="宋体" w:cs="宋体"/>
                <w:color w:val="000000"/>
                <w:kern w:val="0"/>
                <w:szCs w:val="21"/>
              </w:rPr>
              <w:t>4、拆除的电缆处理</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米</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ascii="宋体" w:hAnsi="宋体" w:cs="宋体"/>
                <w:color w:val="000000"/>
                <w:kern w:val="0"/>
                <w:szCs w:val="21"/>
              </w:rPr>
              <w:t>140</w:t>
            </w:r>
          </w:p>
        </w:tc>
      </w:tr>
    </w:tbl>
    <w:p>
      <w:pPr>
        <w:widowControl/>
        <w:ind w:firstLine="562" w:firstLineChars="200"/>
        <w:jc w:val="left"/>
        <w:rPr>
          <w:rFonts w:asciiTheme="minorEastAsia" w:hAnsiTheme="minorEastAsia" w:eastAsiaTheme="minorEastAsia"/>
          <w:b/>
          <w:sz w:val="28"/>
          <w:szCs w:val="28"/>
        </w:rPr>
      </w:pPr>
      <w:r>
        <w:rPr>
          <w:rFonts w:asciiTheme="minorEastAsia" w:hAnsiTheme="minorEastAsia" w:eastAsiaTheme="minorEastAsia"/>
          <w:b/>
          <w:sz w:val="28"/>
          <w:szCs w:val="28"/>
        </w:rPr>
        <w:t>六</w:t>
      </w:r>
      <w:r>
        <w:rPr>
          <w:rFonts w:hint="eastAsia" w:asciiTheme="minorEastAsia" w:hAnsiTheme="minorEastAsia" w:eastAsiaTheme="minorEastAsia"/>
          <w:b/>
          <w:sz w:val="28"/>
          <w:szCs w:val="28"/>
        </w:rPr>
        <w:t>、</w:t>
      </w:r>
      <w:r>
        <w:rPr>
          <w:rFonts w:asciiTheme="minorEastAsia" w:hAnsiTheme="minorEastAsia" w:eastAsiaTheme="minorEastAsia"/>
          <w:b/>
          <w:sz w:val="28"/>
          <w:szCs w:val="28"/>
        </w:rPr>
        <w:t>技术要求</w:t>
      </w:r>
    </w:p>
    <w:p>
      <w:pPr>
        <w:widowControl/>
        <w:ind w:firstLine="560" w:firstLineChars="200"/>
        <w:jc w:val="left"/>
        <w:rPr>
          <w:rFonts w:asciiTheme="minorEastAsia" w:hAnsiTheme="minorEastAsia" w:eastAsiaTheme="minorEastAsia"/>
          <w:sz w:val="28"/>
          <w:szCs w:val="28"/>
        </w:rPr>
      </w:pPr>
      <w:r>
        <w:rPr>
          <w:rFonts w:asciiTheme="minorEastAsia" w:hAnsiTheme="minorEastAsia" w:eastAsiaTheme="minorEastAsia"/>
          <w:sz w:val="28"/>
          <w:szCs w:val="28"/>
        </w:rPr>
        <w:t>1</w:t>
      </w:r>
      <w:r>
        <w:rPr>
          <w:rFonts w:hint="eastAsia" w:asciiTheme="minorEastAsia" w:hAnsiTheme="minorEastAsia" w:eastAsiaTheme="minorEastAsia"/>
          <w:sz w:val="28"/>
          <w:szCs w:val="28"/>
        </w:rPr>
        <w:t>、工程实施标准：高压电气试验必须严格执行国家最新的《电力安全工作制度》及《电业安全工作规程》，遵照国家《电力设备预防性试验规程》进行检测试验。</w:t>
      </w:r>
    </w:p>
    <w:p>
      <w:pPr>
        <w:widowControl/>
        <w:ind w:firstLine="560" w:firstLineChars="200"/>
        <w:jc w:val="left"/>
        <w:rPr>
          <w:rFonts w:asciiTheme="minorEastAsia" w:hAnsiTheme="minorEastAsia" w:eastAsiaTheme="minorEastAsia"/>
          <w:sz w:val="28"/>
          <w:szCs w:val="28"/>
        </w:rPr>
      </w:pPr>
      <w:r>
        <w:rPr>
          <w:rFonts w:asciiTheme="minorEastAsia" w:hAnsiTheme="minorEastAsia" w:eastAsiaTheme="minorEastAsia"/>
          <w:sz w:val="28"/>
          <w:szCs w:val="28"/>
        </w:rPr>
        <w:t>2</w:t>
      </w:r>
      <w:r>
        <w:rPr>
          <w:rFonts w:hint="eastAsia" w:asciiTheme="minorEastAsia" w:hAnsiTheme="minorEastAsia" w:eastAsiaTheme="minorEastAsia"/>
          <w:sz w:val="28"/>
          <w:szCs w:val="28"/>
        </w:rPr>
        <w:t>、工程竣工后，施工单位应通知采购方进行验收，并将有关工程之竣工资料（包括竣工图纸及产品合格证书等）装订成册一式三份同时移交给采购方。</w:t>
      </w:r>
    </w:p>
    <w:p>
      <w:pPr>
        <w:widowControl/>
        <w:ind w:firstLine="562" w:firstLineChars="200"/>
        <w:jc w:val="left"/>
        <w:rPr>
          <w:rFonts w:asciiTheme="minorEastAsia" w:hAnsiTheme="minorEastAsia" w:eastAsiaTheme="minorEastAsia"/>
          <w:b/>
          <w:sz w:val="28"/>
          <w:szCs w:val="28"/>
        </w:rPr>
      </w:pPr>
      <w:r>
        <w:rPr>
          <w:rFonts w:hint="eastAsia" w:asciiTheme="minorEastAsia" w:hAnsiTheme="minorEastAsia" w:eastAsiaTheme="minorEastAsia"/>
          <w:b/>
          <w:sz w:val="28"/>
          <w:szCs w:val="28"/>
        </w:rPr>
        <w:t>七、工程施工注意事项</w:t>
      </w:r>
    </w:p>
    <w:p>
      <w:pPr>
        <w:widowControl/>
        <w:ind w:firstLine="560" w:firstLineChars="200"/>
        <w:jc w:val="left"/>
        <w:rPr>
          <w:rFonts w:asciiTheme="minorEastAsia" w:hAnsiTheme="minorEastAsia" w:eastAsiaTheme="minorEastAsia"/>
          <w:sz w:val="28"/>
          <w:szCs w:val="28"/>
        </w:rPr>
      </w:pPr>
      <w:r>
        <w:rPr>
          <w:rFonts w:asciiTheme="minorEastAsia" w:hAnsiTheme="minorEastAsia" w:eastAsiaTheme="minorEastAsia"/>
          <w:sz w:val="28"/>
          <w:szCs w:val="28"/>
        </w:rPr>
        <w:t>1</w:t>
      </w:r>
      <w:r>
        <w:rPr>
          <w:rFonts w:hint="eastAsia" w:asciiTheme="minorEastAsia" w:hAnsiTheme="minorEastAsia" w:eastAsiaTheme="minorEastAsia"/>
          <w:sz w:val="28"/>
          <w:szCs w:val="28"/>
        </w:rPr>
        <w:t>、安全第一。服从采购方的安全管理规章制度，严格执行。</w:t>
      </w:r>
    </w:p>
    <w:p>
      <w:pPr>
        <w:widowControl/>
        <w:ind w:firstLine="560" w:firstLineChars="200"/>
        <w:jc w:val="left"/>
        <w:rPr>
          <w:rFonts w:asciiTheme="minorEastAsia" w:hAnsiTheme="minorEastAsia" w:eastAsiaTheme="minorEastAsia"/>
          <w:b/>
          <w:sz w:val="28"/>
          <w:szCs w:val="28"/>
        </w:rPr>
      </w:pPr>
      <w:r>
        <w:rPr>
          <w:rFonts w:hint="eastAsia" w:asciiTheme="minorEastAsia" w:hAnsiTheme="minorEastAsia" w:eastAsiaTheme="minorEastAsia"/>
          <w:sz w:val="28"/>
          <w:szCs w:val="28"/>
        </w:rPr>
        <w:t>2、在进场施工前，施工单位必须提交详细的修复施工方案给采购方，经采购方审核批准后方可实施；</w:t>
      </w:r>
    </w:p>
    <w:p>
      <w:pPr>
        <w:widowControl/>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3、工程施工应按采购方审批后的施工方案进行，施工前必须接受采购方的安全技术交底，参加技术交底的施工人员拍照留底；</w:t>
      </w:r>
    </w:p>
    <w:p>
      <w:pPr>
        <w:widowControl/>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4、在安装施工过程中,施工单位必须遵守采购方的相关管理制度及园区的各项管理制度。施工过程中存在疑问的必须与采购方项目负责人及园区负责人沟通好后方可继续施工；</w:t>
      </w:r>
    </w:p>
    <w:p>
      <w:pPr>
        <w:widowControl/>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5、施工前施工单位必须确认好现有的管线类型及位置，做好保护措施后方可施工，施工过程中，要注意保护好配现场原有完好的设备、设施及相关管线，由于施工现场管线众多（园区内有高低压电力电缆、通信电缆、煤气管道、自来水管、杂用水管、供冷管道及雨污水管道等），如因施工单位不当的施工而造成现有完好的设备、设施或管线损坏的，均由施工单位原样恢复，造成经济损失的也由施工单位负责赔偿；</w:t>
      </w:r>
    </w:p>
    <w:p>
      <w:pPr>
        <w:widowControl/>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6、由于本工程项目所处位置属于白天在营业的旅游景区，施工单位必须服从采购方及旅游景区管理方的管理，工程施工时间需根据游客流量适时实施，有可能要求在晚上闭园时施工，或尽量安排在游客少时施工，施工现场必须做好围蔽警示措施，避免无关人员进入施工现场。</w:t>
      </w:r>
    </w:p>
    <w:p>
      <w:pPr>
        <w:widowControl/>
        <w:ind w:firstLine="560" w:firstLineChars="200"/>
        <w:jc w:val="left"/>
        <w:rPr>
          <w:rFonts w:asciiTheme="minorEastAsia" w:hAnsiTheme="minorEastAsia" w:eastAsiaTheme="minorEastAsia"/>
          <w:sz w:val="28"/>
          <w:szCs w:val="28"/>
        </w:rPr>
      </w:pPr>
      <w:r>
        <w:rPr>
          <w:rFonts w:asciiTheme="minorEastAsia" w:hAnsiTheme="minorEastAsia" w:eastAsiaTheme="minorEastAsia"/>
          <w:sz w:val="28"/>
          <w:szCs w:val="28"/>
        </w:rPr>
        <w:t>7</w:t>
      </w:r>
      <w:r>
        <w:rPr>
          <w:rFonts w:hint="eastAsia" w:asciiTheme="minorEastAsia" w:hAnsiTheme="minorEastAsia" w:eastAsiaTheme="minorEastAsia"/>
          <w:sz w:val="28"/>
          <w:szCs w:val="28"/>
        </w:rPr>
        <w:t>、施工时，注意成品保护（如破坏须无偿修复），充分考虑拆除作业对现有物品的损害，并进行修复，必要时采取围护、覆盖等有效措施。</w:t>
      </w:r>
    </w:p>
    <w:p>
      <w:pPr>
        <w:widowControl/>
        <w:ind w:firstLine="560" w:firstLineChars="200"/>
        <w:jc w:val="left"/>
        <w:rPr>
          <w:rFonts w:asciiTheme="minorEastAsia" w:hAnsiTheme="minorEastAsia" w:eastAsiaTheme="minorEastAsia"/>
          <w:sz w:val="28"/>
          <w:szCs w:val="28"/>
        </w:rPr>
      </w:pPr>
      <w:r>
        <w:rPr>
          <w:rFonts w:asciiTheme="minorEastAsia" w:hAnsiTheme="minorEastAsia" w:eastAsiaTheme="minorEastAsia"/>
          <w:sz w:val="28"/>
          <w:szCs w:val="28"/>
        </w:rPr>
        <w:t>8</w:t>
      </w:r>
      <w:r>
        <w:rPr>
          <w:rFonts w:hint="eastAsia" w:asciiTheme="minorEastAsia" w:hAnsiTheme="minorEastAsia" w:eastAsiaTheme="minorEastAsia"/>
          <w:sz w:val="28"/>
          <w:szCs w:val="28"/>
        </w:rPr>
        <w:t>、包建筑垃圾外运，完工后场地清理。</w:t>
      </w:r>
    </w:p>
    <w:p>
      <w:pPr>
        <w:widowControl/>
        <w:ind w:firstLine="560" w:firstLineChars="200"/>
        <w:jc w:val="left"/>
        <w:rPr>
          <w:rFonts w:asciiTheme="minorEastAsia" w:hAnsiTheme="minorEastAsia" w:eastAsiaTheme="minorEastAsia"/>
          <w:sz w:val="28"/>
          <w:szCs w:val="28"/>
        </w:rPr>
      </w:pPr>
      <w:r>
        <w:rPr>
          <w:rFonts w:asciiTheme="minorEastAsia" w:hAnsiTheme="minorEastAsia" w:eastAsiaTheme="minorEastAsia"/>
          <w:sz w:val="28"/>
          <w:szCs w:val="28"/>
        </w:rPr>
        <w:t>9</w:t>
      </w:r>
      <w:r>
        <w:rPr>
          <w:rFonts w:hint="eastAsia" w:asciiTheme="minorEastAsia" w:hAnsiTheme="minorEastAsia" w:eastAsiaTheme="minorEastAsia"/>
          <w:sz w:val="28"/>
          <w:szCs w:val="28"/>
        </w:rPr>
        <w:t>、充分考虑现场施工作业条件，如施工作业时间段、原材料水平+垂直运输、空间狭小、净高等。</w:t>
      </w:r>
    </w:p>
    <w:p>
      <w:pPr>
        <w:widowControl/>
        <w:ind w:firstLine="560" w:firstLineChars="200"/>
        <w:jc w:val="left"/>
        <w:rPr>
          <w:rFonts w:asciiTheme="minorEastAsia" w:hAnsiTheme="minorEastAsia" w:eastAsiaTheme="minorEastAsia"/>
          <w:sz w:val="28"/>
          <w:szCs w:val="28"/>
        </w:rPr>
      </w:pPr>
      <w:r>
        <w:rPr>
          <w:rFonts w:asciiTheme="minorEastAsia" w:hAnsiTheme="minorEastAsia" w:eastAsiaTheme="minorEastAsia"/>
          <w:sz w:val="28"/>
          <w:szCs w:val="28"/>
        </w:rPr>
        <w:t>10</w:t>
      </w:r>
      <w:r>
        <w:rPr>
          <w:rFonts w:hint="eastAsia" w:asciiTheme="minorEastAsia" w:hAnsiTheme="minorEastAsia" w:eastAsiaTheme="minorEastAsia"/>
          <w:sz w:val="28"/>
          <w:szCs w:val="28"/>
        </w:rPr>
        <w:t>、指定专人为项目安全责任人，全面负责本项目安全生产管理工作，逐级落实安全生产责任制。</w:t>
      </w:r>
    </w:p>
    <w:p>
      <w:pPr>
        <w:widowControl/>
        <w:ind w:firstLine="560" w:firstLineChars="200"/>
        <w:jc w:val="left"/>
        <w:rPr>
          <w:rFonts w:asciiTheme="minorEastAsia" w:hAnsiTheme="minorEastAsia" w:eastAsiaTheme="minorEastAsia"/>
          <w:sz w:val="28"/>
          <w:szCs w:val="28"/>
        </w:rPr>
      </w:pPr>
      <w:r>
        <w:rPr>
          <w:rFonts w:asciiTheme="minorEastAsia" w:hAnsiTheme="minorEastAsia" w:eastAsiaTheme="minorEastAsia"/>
          <w:sz w:val="28"/>
          <w:szCs w:val="28"/>
        </w:rPr>
        <w:t>11</w:t>
      </w:r>
      <w:r>
        <w:rPr>
          <w:rFonts w:hint="eastAsia" w:asciiTheme="minorEastAsia" w:hAnsiTheme="minorEastAsia" w:eastAsiaTheme="minorEastAsia"/>
          <w:sz w:val="28"/>
          <w:szCs w:val="28"/>
        </w:rPr>
        <w:t>、针对现场可能发生的应急情况，制定的相关应急预案，主要预案应包括：触电事故应急处理预案、火灾事故应急处理预案、外伤急救措施等。</w:t>
      </w:r>
    </w:p>
    <w:p>
      <w:pPr>
        <w:ind w:firstLine="562" w:firstLineChars="200"/>
        <w:rPr>
          <w:b/>
          <w:sz w:val="28"/>
          <w:szCs w:val="28"/>
        </w:rPr>
      </w:pPr>
      <w:r>
        <w:rPr>
          <w:rFonts w:hint="eastAsia"/>
          <w:b/>
          <w:sz w:val="28"/>
          <w:szCs w:val="28"/>
        </w:rPr>
        <w:t>八、项目工期及验收标准</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（一）项目工期</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本项目总工期为</w:t>
      </w:r>
      <w:r>
        <w:rPr>
          <w:rFonts w:asciiTheme="minorEastAsia" w:hAnsiTheme="minorEastAsia" w:eastAsiaTheme="minorEastAsia"/>
          <w:sz w:val="28"/>
          <w:szCs w:val="28"/>
        </w:rPr>
        <w:t>20</w:t>
      </w:r>
      <w:r>
        <w:rPr>
          <w:rFonts w:hint="eastAsia" w:asciiTheme="minorEastAsia" w:hAnsiTheme="minorEastAsia" w:eastAsiaTheme="minorEastAsia"/>
          <w:sz w:val="28"/>
          <w:szCs w:val="28"/>
        </w:rPr>
        <w:t>日历天，自项目进场手续审批通过次日起算。</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（二）验收标准</w:t>
      </w:r>
    </w:p>
    <w:p>
      <w:pPr>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项目验收按满足《电气装置安装工程施工及验收规范》（</w:t>
      </w:r>
      <w:r>
        <w:rPr>
          <w:rFonts w:asciiTheme="minorEastAsia" w:hAnsiTheme="minorEastAsia" w:eastAsiaTheme="minorEastAsia"/>
          <w:bCs/>
          <w:sz w:val="28"/>
          <w:szCs w:val="28"/>
        </w:rPr>
        <w:t>GB 50</w:t>
      </w:r>
      <w:r>
        <w:rPr>
          <w:rFonts w:hint="eastAsia" w:asciiTheme="minorEastAsia" w:hAnsiTheme="minorEastAsia" w:eastAsiaTheme="minorEastAsia"/>
          <w:bCs/>
          <w:sz w:val="28"/>
          <w:szCs w:val="28"/>
        </w:rPr>
        <w:t>254</w:t>
      </w:r>
      <w:r>
        <w:rPr>
          <w:rFonts w:asciiTheme="minorEastAsia" w:hAnsiTheme="minorEastAsia" w:eastAsiaTheme="minorEastAsia"/>
          <w:bCs/>
          <w:sz w:val="28"/>
          <w:szCs w:val="28"/>
        </w:rPr>
        <w:t>-20</w:t>
      </w:r>
      <w:r>
        <w:rPr>
          <w:rFonts w:hint="eastAsia" w:asciiTheme="minorEastAsia" w:hAnsiTheme="minorEastAsia" w:eastAsiaTheme="minorEastAsia"/>
          <w:bCs/>
          <w:sz w:val="28"/>
          <w:szCs w:val="28"/>
        </w:rPr>
        <w:t>16）及国家和行业相关的其他质量验收标准要求执行。</w:t>
      </w:r>
    </w:p>
    <w:p>
      <w:pPr>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（三）质保期及质保期内需履行的特殊义务：质保期</w:t>
      </w: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年，从工程验收合格之日起计。在保修期限内，如工程质量出现问题，施工单位应在接到采购方维修通知之日起24小时内派人维修，如遇紧急情况，施工单位应立即派人维修。施工单位不在约定期限内派人维修的，采购方可委托他人修理，费用由施工单位承担。</w:t>
      </w:r>
    </w:p>
    <w:p>
      <w:pPr>
        <w:ind w:firstLine="562" w:firstLineChars="200"/>
        <w:rPr>
          <w:b/>
          <w:sz w:val="28"/>
          <w:szCs w:val="28"/>
        </w:rPr>
      </w:pPr>
      <w:r>
        <w:rPr>
          <w:rFonts w:hint="eastAsia"/>
          <w:b/>
          <w:sz w:val="28"/>
          <w:szCs w:val="28"/>
        </w:rPr>
        <w:t>九、工程费用及支付方式</w:t>
      </w:r>
    </w:p>
    <w:p>
      <w:pPr>
        <w:ind w:firstLine="560" w:firstLineChars="200"/>
        <w:rPr>
          <w:sz w:val="28"/>
          <w:szCs w:val="28"/>
        </w:rPr>
      </w:pPr>
      <w:r>
        <w:rPr>
          <w:rFonts w:hint="eastAsia"/>
          <w:sz w:val="28"/>
          <w:szCs w:val="28"/>
        </w:rPr>
        <w:t>（一）本工程采用</w:t>
      </w:r>
      <w:r>
        <w:rPr>
          <w:sz w:val="28"/>
          <w:szCs w:val="28"/>
        </w:rPr>
        <w:t>综合单价</w:t>
      </w:r>
      <w:r>
        <w:rPr>
          <w:bCs/>
          <w:sz w:val="28"/>
          <w:szCs w:val="28"/>
        </w:rPr>
        <w:t>包干</w:t>
      </w:r>
      <w:r>
        <w:rPr>
          <w:sz w:val="28"/>
          <w:szCs w:val="28"/>
        </w:rPr>
        <w:t>，</w:t>
      </w:r>
      <w:r>
        <w:rPr>
          <w:rFonts w:hint="eastAsia"/>
          <w:sz w:val="28"/>
          <w:szCs w:val="28"/>
        </w:rPr>
        <w:t>包工、包料、包工期、包质量、包安全、包安全文明施工、包验收、包调试、包结算、包资料整理、包综合治理等完成本项目的全部费用，</w:t>
      </w:r>
      <w:r>
        <w:rPr>
          <w:sz w:val="28"/>
          <w:szCs w:val="28"/>
        </w:rPr>
        <w:t>工作全部完工后由双方进行工程量的核实和验收，以实际工程量进行结算。</w:t>
      </w:r>
    </w:p>
    <w:p>
      <w:pPr>
        <w:ind w:firstLine="560" w:firstLineChars="200"/>
        <w:rPr>
          <w:rFonts w:ascii="宋体" w:hAnsi="宋体" w:cs="Arial"/>
          <w:color w:val="000000"/>
          <w:sz w:val="28"/>
          <w:szCs w:val="28"/>
        </w:rPr>
      </w:pPr>
      <w:r>
        <w:rPr>
          <w:rFonts w:hint="eastAsia"/>
          <w:sz w:val="28"/>
          <w:szCs w:val="28"/>
        </w:rPr>
        <w:t>（二）本项目的综合单价</w:t>
      </w:r>
      <w:r>
        <w:rPr>
          <w:sz w:val="28"/>
          <w:szCs w:val="28"/>
        </w:rPr>
        <w:t>包含</w:t>
      </w:r>
      <w:r>
        <w:rPr>
          <w:rFonts w:hint="eastAsia"/>
          <w:sz w:val="28"/>
          <w:szCs w:val="28"/>
        </w:rPr>
        <w:t>投标人按施工现场现状及施工环境根据采购人要求</w:t>
      </w:r>
      <w:r>
        <w:rPr>
          <w:sz w:val="28"/>
          <w:szCs w:val="28"/>
        </w:rPr>
        <w:t>完成项</w:t>
      </w:r>
      <w:r>
        <w:rPr>
          <w:rFonts w:hint="eastAsia"/>
          <w:sz w:val="28"/>
          <w:szCs w:val="28"/>
        </w:rPr>
        <w:t>目</w:t>
      </w:r>
      <w:r>
        <w:rPr>
          <w:sz w:val="28"/>
          <w:szCs w:val="28"/>
        </w:rPr>
        <w:t>工作所需的全部人工、材料、工具、机具、</w:t>
      </w:r>
      <w:r>
        <w:rPr>
          <w:rFonts w:hint="eastAsia"/>
          <w:sz w:val="28"/>
          <w:szCs w:val="28"/>
        </w:rPr>
        <w:t>利润、风险等费用</w:t>
      </w:r>
      <w:r>
        <w:rPr>
          <w:sz w:val="28"/>
          <w:szCs w:val="28"/>
        </w:rPr>
        <w:t>。</w:t>
      </w:r>
      <w:r>
        <w:rPr>
          <w:rFonts w:hint="eastAsia"/>
          <w:sz w:val="28"/>
          <w:szCs w:val="28"/>
        </w:rPr>
        <w:t>综合总报价应包含</w:t>
      </w:r>
      <w:r>
        <w:rPr>
          <w:sz w:val="28"/>
          <w:szCs w:val="28"/>
        </w:rPr>
        <w:t>相关措施费用及税费</w:t>
      </w:r>
      <w:r>
        <w:rPr>
          <w:rFonts w:hint="eastAsia"/>
          <w:sz w:val="28"/>
          <w:szCs w:val="28"/>
        </w:rPr>
        <w:t>等费用、合同实施过程中应预见和不可预见费用等等。</w:t>
      </w:r>
    </w:p>
    <w:p>
      <w:pPr>
        <w:ind w:firstLine="560" w:firstLineChars="200"/>
        <w:rPr>
          <w:rFonts w:ascii="宋体" w:hAnsi="宋体" w:cs="Arial"/>
          <w:color w:val="000000"/>
          <w:sz w:val="28"/>
          <w:szCs w:val="28"/>
        </w:rPr>
      </w:pPr>
      <w:r>
        <w:rPr>
          <w:rFonts w:hint="eastAsia" w:ascii="宋体" w:hAnsi="宋体" w:cs="Arial"/>
          <w:color w:val="000000"/>
          <w:sz w:val="28"/>
          <w:szCs w:val="28"/>
        </w:rPr>
        <w:t>（三）付款方式：</w:t>
      </w:r>
    </w:p>
    <w:p>
      <w:pPr>
        <w:ind w:firstLine="560" w:firstLineChars="200"/>
        <w:rPr>
          <w:rFonts w:ascii="宋体" w:hAnsi="宋体" w:cs="Arial"/>
          <w:color w:val="000000"/>
          <w:sz w:val="28"/>
          <w:szCs w:val="28"/>
          <w:highlight w:val="yellow"/>
        </w:rPr>
      </w:pPr>
      <w:r>
        <w:rPr>
          <w:rFonts w:hint="eastAsia" w:ascii="宋体" w:hAnsi="宋体" w:cs="Arial"/>
          <w:color w:val="000000"/>
          <w:sz w:val="28"/>
          <w:szCs w:val="28"/>
        </w:rPr>
        <w:t>项目</w:t>
      </w:r>
      <w:r>
        <w:rPr>
          <w:rFonts w:ascii="宋体" w:hAnsi="宋体" w:cs="Arial"/>
          <w:color w:val="000000"/>
          <w:sz w:val="28"/>
          <w:szCs w:val="28"/>
        </w:rPr>
        <w:t>全部完工验收合格</w:t>
      </w:r>
      <w:r>
        <w:rPr>
          <w:rFonts w:hint="eastAsia" w:ascii="宋体" w:hAnsi="宋体" w:cs="Arial"/>
          <w:color w:val="000000"/>
          <w:sz w:val="28"/>
          <w:szCs w:val="28"/>
        </w:rPr>
        <w:t>和完成</w:t>
      </w:r>
      <w:r>
        <w:rPr>
          <w:rFonts w:ascii="宋体" w:hAnsi="宋体" w:cs="Arial"/>
          <w:color w:val="000000"/>
          <w:sz w:val="28"/>
          <w:szCs w:val="28"/>
        </w:rPr>
        <w:t>结算手续后</w:t>
      </w:r>
      <w:r>
        <w:rPr>
          <w:rFonts w:hint="eastAsia" w:ascii="宋体" w:hAnsi="宋体" w:cs="Arial"/>
          <w:color w:val="000000"/>
          <w:sz w:val="28"/>
          <w:szCs w:val="28"/>
        </w:rPr>
        <w:t>，甲方收到乙方请款资料后15个工作日内</w:t>
      </w:r>
      <w:r>
        <w:rPr>
          <w:rFonts w:ascii="宋体" w:hAnsi="宋体" w:cs="Arial"/>
          <w:color w:val="000000"/>
          <w:sz w:val="28"/>
          <w:szCs w:val="28"/>
        </w:rPr>
        <w:t>支付至合同结算总价的95%</w:t>
      </w:r>
      <w:r>
        <w:rPr>
          <w:rFonts w:hint="eastAsia" w:ascii="宋体" w:hAnsi="宋体" w:cs="Arial"/>
          <w:color w:val="000000"/>
          <w:sz w:val="28"/>
          <w:szCs w:val="28"/>
        </w:rPr>
        <w:t>（含预付款）</w:t>
      </w:r>
      <w:r>
        <w:rPr>
          <w:rFonts w:ascii="宋体" w:hAnsi="宋体" w:cs="Arial"/>
          <w:color w:val="000000"/>
          <w:sz w:val="28"/>
          <w:szCs w:val="28"/>
        </w:rPr>
        <w:t>，质保期</w:t>
      </w:r>
      <w:r>
        <w:rPr>
          <w:rFonts w:hint="eastAsia" w:ascii="宋体" w:hAnsi="宋体" w:cs="Arial"/>
          <w:color w:val="000000"/>
          <w:sz w:val="28"/>
          <w:szCs w:val="28"/>
        </w:rPr>
        <w:t>期满且乙方按要求妥善履行了质保期义务</w:t>
      </w:r>
      <w:r>
        <w:rPr>
          <w:rFonts w:ascii="宋体" w:hAnsi="宋体" w:cs="Arial"/>
          <w:color w:val="000000"/>
          <w:sz w:val="28"/>
          <w:szCs w:val="28"/>
        </w:rPr>
        <w:t>后</w:t>
      </w:r>
      <w:r>
        <w:rPr>
          <w:rFonts w:hint="eastAsia" w:ascii="宋体" w:hAnsi="宋体" w:cs="Arial"/>
          <w:color w:val="000000"/>
          <w:sz w:val="28"/>
          <w:szCs w:val="28"/>
        </w:rPr>
        <w:t>，甲方收到乙方请款资料15个工作日内</w:t>
      </w:r>
      <w:r>
        <w:rPr>
          <w:rFonts w:ascii="宋体" w:hAnsi="宋体" w:cs="Arial"/>
          <w:color w:val="000000"/>
          <w:sz w:val="28"/>
          <w:szCs w:val="28"/>
        </w:rPr>
        <w:t>付清余款</w:t>
      </w:r>
      <w:r>
        <w:rPr>
          <w:rFonts w:hint="eastAsia" w:ascii="宋体" w:hAnsi="宋体" w:cs="Arial"/>
          <w:color w:val="000000"/>
          <w:sz w:val="28"/>
          <w:szCs w:val="28"/>
        </w:rPr>
        <w:t>（不计利息）</w:t>
      </w:r>
      <w:r>
        <w:rPr>
          <w:rFonts w:ascii="宋体" w:hAnsi="宋体" w:cs="Arial"/>
          <w:color w:val="000000"/>
          <w:sz w:val="28"/>
          <w:szCs w:val="28"/>
        </w:rPr>
        <w:t>。</w:t>
      </w:r>
      <w:r>
        <w:rPr>
          <w:rFonts w:hint="eastAsia" w:ascii="宋体" w:hAnsi="宋体" w:cs="Arial"/>
          <w:color w:val="000000"/>
          <w:sz w:val="28"/>
          <w:szCs w:val="28"/>
        </w:rPr>
        <w:t>每次付款前，乙方应开具符合国家税务规定的等额合格的增值税专用发票给甲方。乙方晚于付款期限提供的，甲方付款期限相应顺延。</w:t>
      </w:r>
    </w:p>
    <w:p>
      <w:pPr>
        <w:ind w:firstLine="562" w:firstLineChars="200"/>
        <w:rPr>
          <w:b/>
          <w:sz w:val="28"/>
          <w:szCs w:val="28"/>
        </w:rPr>
      </w:pPr>
      <w:r>
        <w:rPr>
          <w:rFonts w:hint="eastAsia"/>
          <w:b/>
          <w:sz w:val="28"/>
          <w:szCs w:val="28"/>
        </w:rPr>
        <w:t>十、投标文件</w:t>
      </w:r>
    </w:p>
    <w:p>
      <w:pPr>
        <w:ind w:firstLine="560" w:firstLineChars="200"/>
        <w:rPr>
          <w:sz w:val="28"/>
          <w:szCs w:val="28"/>
        </w:rPr>
      </w:pPr>
      <w:r>
        <w:rPr>
          <w:rFonts w:hint="eastAsia"/>
          <w:sz w:val="28"/>
          <w:szCs w:val="28"/>
        </w:rPr>
        <w:t>根据甲方要求的投标文件格式，进行密封报价（盖章）。投标文件应包含以下内容：</w:t>
      </w:r>
    </w:p>
    <w:p>
      <w:pPr>
        <w:ind w:firstLine="560" w:firstLineChars="200"/>
        <w:rPr>
          <w:sz w:val="28"/>
          <w:szCs w:val="28"/>
        </w:rPr>
      </w:pPr>
      <w:r>
        <w:rPr>
          <w:rFonts w:hint="eastAsia"/>
          <w:sz w:val="28"/>
          <w:szCs w:val="28"/>
        </w:rPr>
        <w:t>（一）商务部分（提供复印件，并加盖公章）</w:t>
      </w:r>
    </w:p>
    <w:p>
      <w:pPr>
        <w:numPr>
          <w:ilvl w:val="0"/>
          <w:numId w:val="1"/>
        </w:numPr>
        <w:ind w:left="0" w:firstLine="560" w:firstLineChars="200"/>
        <w:rPr>
          <w:rFonts w:ascii="宋体" w:hAnsi="宋体"/>
          <w:sz w:val="28"/>
          <w:szCs w:val="28"/>
        </w:rPr>
      </w:pPr>
      <w:r>
        <w:rPr>
          <w:rFonts w:hint="eastAsia" w:ascii="宋体" w:hAnsi="宋体"/>
          <w:sz w:val="28"/>
          <w:szCs w:val="28"/>
        </w:rPr>
        <w:t>有效的企业工商营业执照、企业法人组织机构代码证书、税务登记证书（或三证合一）；</w:t>
      </w:r>
    </w:p>
    <w:p>
      <w:pPr>
        <w:numPr>
          <w:ilvl w:val="0"/>
          <w:numId w:val="1"/>
        </w:numPr>
        <w:ind w:left="0" w:firstLine="560" w:firstLineChars="200"/>
        <w:rPr>
          <w:rFonts w:ascii="宋体" w:hAnsi="宋体"/>
          <w:sz w:val="28"/>
          <w:szCs w:val="28"/>
        </w:rPr>
      </w:pPr>
      <w:r>
        <w:rPr>
          <w:rFonts w:hint="eastAsia" w:ascii="宋体" w:hAnsi="宋体"/>
          <w:sz w:val="28"/>
          <w:szCs w:val="28"/>
        </w:rPr>
        <w:t>供应商调查表（格式见附件2）</w:t>
      </w:r>
    </w:p>
    <w:p>
      <w:pPr>
        <w:numPr>
          <w:ilvl w:val="0"/>
          <w:numId w:val="1"/>
        </w:numPr>
        <w:ind w:left="0" w:firstLine="560" w:firstLineChars="200"/>
        <w:rPr>
          <w:rFonts w:ascii="宋体" w:hAnsi="宋体"/>
          <w:sz w:val="28"/>
          <w:szCs w:val="28"/>
        </w:rPr>
      </w:pPr>
      <w:r>
        <w:rPr>
          <w:rFonts w:hint="eastAsia" w:ascii="宋体" w:hAnsi="宋体"/>
          <w:sz w:val="28"/>
          <w:szCs w:val="28"/>
        </w:rPr>
        <w:t>法定代表人证明书、法定代表人授权委托书原件（格式见附件3和附件4）；</w:t>
      </w:r>
    </w:p>
    <w:p>
      <w:pPr>
        <w:numPr>
          <w:ilvl w:val="0"/>
          <w:numId w:val="1"/>
        </w:numPr>
        <w:ind w:left="0" w:firstLine="560" w:firstLineChars="200"/>
        <w:rPr>
          <w:rFonts w:ascii="宋体" w:hAnsi="宋体"/>
          <w:sz w:val="28"/>
          <w:szCs w:val="28"/>
        </w:rPr>
      </w:pPr>
      <w:r>
        <w:rPr>
          <w:rFonts w:hint="eastAsia" w:ascii="宋体" w:hAnsi="宋体" w:cs="Arial"/>
          <w:color w:val="000000"/>
          <w:sz w:val="28"/>
          <w:szCs w:val="28"/>
        </w:rPr>
        <w:t>有效的资质证书和安全生产许可证；</w:t>
      </w:r>
    </w:p>
    <w:p>
      <w:pPr>
        <w:numPr>
          <w:ilvl w:val="0"/>
          <w:numId w:val="1"/>
        </w:numPr>
        <w:ind w:left="0" w:firstLine="560" w:firstLineChars="200"/>
        <w:rPr>
          <w:rFonts w:ascii="宋体" w:hAnsi="宋体"/>
          <w:sz w:val="28"/>
          <w:szCs w:val="28"/>
        </w:rPr>
      </w:pPr>
      <w:r>
        <w:rPr>
          <w:rFonts w:hint="eastAsia" w:ascii="宋体" w:hAnsi="宋体"/>
          <w:sz w:val="28"/>
          <w:szCs w:val="28"/>
        </w:rPr>
        <w:t>本工程拟派项目负责人简历表</w:t>
      </w:r>
      <w:r>
        <w:rPr>
          <w:rFonts w:ascii="宋体" w:hAnsi="宋体"/>
          <w:sz w:val="28"/>
          <w:szCs w:val="28"/>
        </w:rPr>
        <w:t>（包括姓名、部门和职务、</w:t>
      </w:r>
      <w:r>
        <w:rPr>
          <w:rFonts w:hint="eastAsia" w:ascii="宋体" w:hAnsi="宋体"/>
          <w:sz w:val="28"/>
          <w:szCs w:val="28"/>
        </w:rPr>
        <w:t>所学专业和</w:t>
      </w:r>
      <w:r>
        <w:rPr>
          <w:rFonts w:ascii="宋体" w:hAnsi="宋体"/>
          <w:sz w:val="28"/>
          <w:szCs w:val="28"/>
        </w:rPr>
        <w:t>毕业</w:t>
      </w:r>
      <w:r>
        <w:rPr>
          <w:rFonts w:hint="eastAsia" w:ascii="宋体" w:hAnsi="宋体"/>
          <w:sz w:val="28"/>
          <w:szCs w:val="28"/>
        </w:rPr>
        <w:t>院校名称及毕业</w:t>
      </w:r>
      <w:r>
        <w:rPr>
          <w:rFonts w:ascii="宋体" w:hAnsi="宋体"/>
          <w:sz w:val="28"/>
          <w:szCs w:val="28"/>
        </w:rPr>
        <w:t>时间、主要资历、经验及承担过的</w:t>
      </w:r>
      <w:r>
        <w:rPr>
          <w:rFonts w:hint="eastAsia" w:ascii="宋体" w:hAnsi="宋体"/>
          <w:sz w:val="28"/>
          <w:szCs w:val="28"/>
        </w:rPr>
        <w:t>类似</w:t>
      </w:r>
      <w:r>
        <w:rPr>
          <w:rFonts w:ascii="宋体" w:hAnsi="宋体"/>
          <w:sz w:val="28"/>
          <w:szCs w:val="28"/>
        </w:rPr>
        <w:t>项目</w:t>
      </w:r>
      <w:r>
        <w:rPr>
          <w:rFonts w:hint="eastAsia" w:ascii="宋体" w:hAnsi="宋体"/>
          <w:sz w:val="28"/>
          <w:szCs w:val="28"/>
        </w:rPr>
        <w:t>，</w:t>
      </w:r>
      <w:r>
        <w:rPr>
          <w:rFonts w:ascii="宋体" w:hAnsi="宋体"/>
          <w:sz w:val="28"/>
          <w:szCs w:val="28"/>
        </w:rPr>
        <w:t>获得认证资质证书</w:t>
      </w:r>
      <w:r>
        <w:rPr>
          <w:rFonts w:hint="eastAsia" w:ascii="宋体" w:hAnsi="宋体"/>
          <w:sz w:val="28"/>
          <w:szCs w:val="28"/>
        </w:rPr>
        <w:t>及复印件</w:t>
      </w:r>
      <w:r>
        <w:rPr>
          <w:rFonts w:ascii="宋体" w:hAnsi="宋体"/>
          <w:sz w:val="28"/>
          <w:szCs w:val="28"/>
        </w:rPr>
        <w:t>）</w:t>
      </w:r>
      <w:r>
        <w:rPr>
          <w:rFonts w:hint="eastAsia" w:ascii="宋体" w:hAnsi="宋体"/>
          <w:sz w:val="28"/>
          <w:szCs w:val="28"/>
        </w:rPr>
        <w:t>；</w:t>
      </w:r>
    </w:p>
    <w:p>
      <w:pPr>
        <w:numPr>
          <w:ilvl w:val="0"/>
          <w:numId w:val="1"/>
        </w:numPr>
        <w:ind w:left="0" w:firstLine="560" w:firstLineChars="200"/>
        <w:rPr>
          <w:rFonts w:ascii="宋体" w:hAnsi="宋体"/>
          <w:sz w:val="28"/>
          <w:szCs w:val="28"/>
        </w:rPr>
      </w:pPr>
      <w:r>
        <w:rPr>
          <w:rFonts w:hint="eastAsia" w:ascii="宋体" w:hAnsi="宋体"/>
          <w:sz w:val="28"/>
          <w:szCs w:val="28"/>
        </w:rPr>
        <w:t>近3年内(201</w:t>
      </w:r>
      <w:r>
        <w:rPr>
          <w:rFonts w:ascii="宋体" w:hAnsi="宋体"/>
          <w:sz w:val="28"/>
          <w:szCs w:val="28"/>
        </w:rPr>
        <w:t>8</w:t>
      </w:r>
      <w:r>
        <w:rPr>
          <w:rFonts w:hint="eastAsia" w:ascii="宋体" w:hAnsi="宋体"/>
          <w:sz w:val="28"/>
          <w:szCs w:val="28"/>
        </w:rPr>
        <w:t>年1月1日至今)完成过质量合格的类似工程项目业绩（需提供合同等相关证明材料复印件）</w:t>
      </w:r>
      <w:r>
        <w:rPr>
          <w:rFonts w:hint="eastAsia"/>
          <w:sz w:val="28"/>
          <w:szCs w:val="28"/>
        </w:rPr>
        <w:t>；</w:t>
      </w:r>
    </w:p>
    <w:p>
      <w:pPr>
        <w:numPr>
          <w:ilvl w:val="0"/>
          <w:numId w:val="1"/>
        </w:numPr>
        <w:ind w:left="0" w:firstLine="560" w:firstLineChars="200"/>
        <w:rPr>
          <w:sz w:val="28"/>
          <w:szCs w:val="28"/>
        </w:rPr>
      </w:pPr>
      <w:r>
        <w:rPr>
          <w:rFonts w:hint="eastAsia" w:ascii="宋体" w:hAnsi="宋体"/>
          <w:sz w:val="28"/>
          <w:szCs w:val="28"/>
        </w:rPr>
        <w:t>投标人</w:t>
      </w:r>
      <w:r>
        <w:rPr>
          <w:rFonts w:hint="eastAsia" w:ascii="宋体" w:hAnsi="宋体" w:cs="Arial"/>
          <w:color w:val="000000"/>
          <w:sz w:val="28"/>
          <w:szCs w:val="28"/>
        </w:rPr>
        <w:t>认为有必要的其他资质等材料复印件。</w:t>
      </w:r>
    </w:p>
    <w:p>
      <w:pPr>
        <w:ind w:firstLine="560" w:firstLineChars="200"/>
        <w:rPr>
          <w:sz w:val="28"/>
          <w:szCs w:val="28"/>
        </w:rPr>
      </w:pPr>
      <w:r>
        <w:rPr>
          <w:rFonts w:hint="eastAsia"/>
          <w:sz w:val="28"/>
          <w:szCs w:val="28"/>
        </w:rPr>
        <w:t>（二）技术部分（格式自定，加盖公章）</w:t>
      </w:r>
    </w:p>
    <w:p>
      <w:pPr>
        <w:ind w:firstLine="560" w:firstLineChars="200"/>
        <w:rPr>
          <w:sz w:val="28"/>
          <w:szCs w:val="28"/>
        </w:rPr>
      </w:pPr>
      <w:r>
        <w:rPr>
          <w:rFonts w:hint="eastAsia"/>
          <w:sz w:val="28"/>
          <w:szCs w:val="28"/>
        </w:rPr>
        <w:t>施工方案：</w:t>
      </w:r>
      <w:r>
        <w:rPr>
          <w:rFonts w:hint="eastAsia"/>
          <w:b/>
          <w:sz w:val="28"/>
          <w:szCs w:val="28"/>
        </w:rPr>
        <w:t>施工单位应充分了解现场条件，并针对本项目制定切实可行的</w:t>
      </w:r>
      <w:r>
        <w:rPr>
          <w:rFonts w:hint="eastAsia"/>
          <w:b/>
          <w:sz w:val="28"/>
          <w:szCs w:val="28"/>
          <w:u w:val="double"/>
        </w:rPr>
        <w:t>施工方案</w:t>
      </w:r>
      <w:r>
        <w:rPr>
          <w:rFonts w:hint="eastAsia"/>
          <w:sz w:val="28"/>
          <w:szCs w:val="28"/>
        </w:rPr>
        <w:t>，包括但不限于：</w:t>
      </w:r>
    </w:p>
    <w:p>
      <w:pPr>
        <w:widowControl/>
        <w:numPr>
          <w:ilvl w:val="0"/>
          <w:numId w:val="2"/>
        </w:numPr>
        <w:ind w:left="0" w:firstLine="560" w:firstLineChars="200"/>
        <w:rPr>
          <w:rFonts w:ascii="宋体" w:hAnsi="宋体" w:cs="Arial"/>
          <w:color w:val="000000"/>
          <w:sz w:val="28"/>
          <w:szCs w:val="28"/>
        </w:rPr>
      </w:pPr>
      <w:r>
        <w:rPr>
          <w:rFonts w:hint="eastAsia" w:ascii="宋体" w:hAnsi="宋体" w:cs="Arial"/>
          <w:color w:val="000000"/>
          <w:sz w:val="28"/>
          <w:szCs w:val="28"/>
        </w:rPr>
        <w:t>总体实施方案；</w:t>
      </w:r>
    </w:p>
    <w:p>
      <w:pPr>
        <w:widowControl/>
        <w:numPr>
          <w:ilvl w:val="0"/>
          <w:numId w:val="2"/>
        </w:numPr>
        <w:ind w:left="0" w:firstLine="560" w:firstLineChars="200"/>
        <w:rPr>
          <w:rFonts w:ascii="宋体" w:hAnsi="宋体" w:cs="Arial"/>
          <w:color w:val="000000"/>
          <w:sz w:val="28"/>
          <w:szCs w:val="28"/>
        </w:rPr>
      </w:pPr>
      <w:r>
        <w:rPr>
          <w:rFonts w:hint="eastAsia" w:ascii="宋体" w:hAnsi="宋体" w:cs="Arial"/>
          <w:color w:val="000000"/>
          <w:sz w:val="28"/>
          <w:szCs w:val="28"/>
        </w:rPr>
        <w:t>实施进度计划和工期承诺书；</w:t>
      </w:r>
    </w:p>
    <w:p>
      <w:pPr>
        <w:widowControl/>
        <w:numPr>
          <w:ilvl w:val="0"/>
          <w:numId w:val="2"/>
        </w:numPr>
        <w:ind w:left="0" w:firstLine="560" w:firstLineChars="200"/>
        <w:rPr>
          <w:rFonts w:ascii="宋体" w:hAnsi="宋体" w:cs="Arial"/>
          <w:color w:val="000000"/>
          <w:sz w:val="28"/>
          <w:szCs w:val="28"/>
        </w:rPr>
      </w:pPr>
      <w:r>
        <w:rPr>
          <w:rFonts w:hint="eastAsia" w:ascii="宋体" w:hAnsi="宋体" w:cs="Arial"/>
          <w:color w:val="000000"/>
          <w:sz w:val="28"/>
          <w:szCs w:val="28"/>
        </w:rPr>
        <w:t>确保实施进度的技术和组织措施；</w:t>
      </w:r>
    </w:p>
    <w:p>
      <w:pPr>
        <w:widowControl/>
        <w:numPr>
          <w:ilvl w:val="0"/>
          <w:numId w:val="2"/>
        </w:numPr>
        <w:ind w:left="0" w:firstLine="560" w:firstLineChars="200"/>
        <w:rPr>
          <w:rFonts w:ascii="宋体" w:hAnsi="宋体" w:cs="Arial"/>
          <w:color w:val="000000"/>
          <w:sz w:val="28"/>
          <w:szCs w:val="28"/>
        </w:rPr>
      </w:pPr>
      <w:r>
        <w:rPr>
          <w:rFonts w:hint="eastAsia" w:ascii="宋体" w:hAnsi="宋体" w:cs="Arial"/>
          <w:color w:val="000000"/>
          <w:sz w:val="28"/>
          <w:szCs w:val="28"/>
        </w:rPr>
        <w:t>确保安全文明施工的技术和组织措施；</w:t>
      </w:r>
    </w:p>
    <w:p>
      <w:pPr>
        <w:widowControl/>
        <w:numPr>
          <w:ilvl w:val="0"/>
          <w:numId w:val="2"/>
        </w:numPr>
        <w:ind w:left="0" w:firstLine="560" w:firstLineChars="200"/>
        <w:rPr>
          <w:rFonts w:ascii="宋体" w:hAnsi="宋体" w:cs="Arial"/>
          <w:color w:val="000000"/>
          <w:sz w:val="28"/>
          <w:szCs w:val="28"/>
        </w:rPr>
      </w:pPr>
      <w:r>
        <w:rPr>
          <w:rFonts w:hint="eastAsia" w:ascii="宋体" w:hAnsi="宋体" w:cs="Arial"/>
          <w:color w:val="000000"/>
          <w:sz w:val="28"/>
          <w:szCs w:val="28"/>
        </w:rPr>
        <w:t>投入的机械设备；</w:t>
      </w:r>
    </w:p>
    <w:p>
      <w:pPr>
        <w:widowControl/>
        <w:numPr>
          <w:ilvl w:val="0"/>
          <w:numId w:val="2"/>
        </w:numPr>
        <w:ind w:left="0" w:firstLine="560" w:firstLineChars="200"/>
        <w:rPr>
          <w:sz w:val="28"/>
          <w:szCs w:val="28"/>
        </w:rPr>
      </w:pPr>
      <w:r>
        <w:rPr>
          <w:rFonts w:hint="eastAsia" w:ascii="宋体" w:hAnsi="宋体" w:cs="Arial"/>
          <w:color w:val="000000"/>
          <w:sz w:val="28"/>
          <w:szCs w:val="28"/>
        </w:rPr>
        <w:t>投标人认为其它需要说明的文字。</w:t>
      </w:r>
    </w:p>
    <w:p>
      <w:pPr>
        <w:ind w:firstLine="560" w:firstLineChars="200"/>
        <w:rPr>
          <w:sz w:val="28"/>
          <w:szCs w:val="28"/>
        </w:rPr>
      </w:pPr>
      <w:r>
        <w:rPr>
          <w:rFonts w:hint="eastAsia"/>
          <w:sz w:val="28"/>
          <w:szCs w:val="28"/>
        </w:rPr>
        <w:t>（三）价格文件（加盖公章）</w:t>
      </w:r>
    </w:p>
    <w:p>
      <w:pPr>
        <w:numPr>
          <w:ilvl w:val="0"/>
          <w:numId w:val="3"/>
        </w:numPr>
        <w:ind w:left="0" w:firstLine="560" w:firstLineChars="200"/>
        <w:rPr>
          <w:rFonts w:ascii="宋体" w:hAnsi="宋体" w:cs="Arial"/>
          <w:color w:val="000000"/>
          <w:sz w:val="28"/>
          <w:szCs w:val="28"/>
        </w:rPr>
      </w:pPr>
      <w:r>
        <w:rPr>
          <w:rFonts w:hint="eastAsia" w:ascii="宋体" w:hAnsi="宋体" w:cs="Arial"/>
          <w:color w:val="000000"/>
          <w:sz w:val="28"/>
          <w:szCs w:val="28"/>
        </w:rPr>
        <w:t>报价一览表（格式见附件1）。</w:t>
      </w:r>
    </w:p>
    <w:p>
      <w:pPr>
        <w:numPr>
          <w:ilvl w:val="0"/>
          <w:numId w:val="3"/>
        </w:numPr>
        <w:ind w:left="0" w:firstLine="560" w:firstLineChars="200"/>
        <w:rPr>
          <w:rFonts w:ascii="宋体" w:hAnsi="宋体" w:cs="Arial"/>
          <w:color w:val="000000"/>
          <w:sz w:val="28"/>
          <w:szCs w:val="28"/>
        </w:rPr>
      </w:pPr>
      <w:r>
        <w:rPr>
          <w:rFonts w:hint="eastAsia" w:ascii="宋体" w:hAnsi="宋体" w:cs="Arial"/>
          <w:color w:val="000000"/>
          <w:sz w:val="28"/>
          <w:szCs w:val="28"/>
        </w:rPr>
        <w:t>报价明细表：采用工程量清单计价，按本竞选文件所附工程量清单报价，并以此作为结算依据，包括但不限于工程量清单各项目单价及综合总报价，并注明未含税总价、税率和含税总价。</w:t>
      </w:r>
    </w:p>
    <w:p>
      <w:pPr>
        <w:ind w:firstLine="562" w:firstLineChars="200"/>
        <w:rPr>
          <w:b/>
          <w:sz w:val="28"/>
          <w:szCs w:val="28"/>
        </w:rPr>
      </w:pPr>
      <w:r>
        <w:rPr>
          <w:rFonts w:hint="eastAsia"/>
          <w:b/>
          <w:sz w:val="28"/>
          <w:szCs w:val="28"/>
        </w:rPr>
        <w:t>十一、评标方法</w:t>
      </w:r>
    </w:p>
    <w:p>
      <w:pPr>
        <w:ind w:firstLine="560" w:firstLineChars="200"/>
        <w:rPr>
          <w:sz w:val="28"/>
          <w:szCs w:val="28"/>
        </w:rPr>
      </w:pPr>
      <w:r>
        <w:rPr>
          <w:rFonts w:hint="eastAsia"/>
          <w:sz w:val="28"/>
          <w:szCs w:val="28"/>
        </w:rPr>
        <w:t>本项目采用经评审的最低投标价法确定中标候选人。同时通过投标人资格审查（见附件</w:t>
      </w:r>
      <w:r>
        <w:rPr>
          <w:sz w:val="28"/>
          <w:szCs w:val="28"/>
        </w:rPr>
        <w:t>5</w:t>
      </w:r>
      <w:r>
        <w:rPr>
          <w:rFonts w:hint="eastAsia"/>
          <w:sz w:val="28"/>
          <w:szCs w:val="28"/>
        </w:rPr>
        <w:t>）和投标文件有效性审查（见附件</w:t>
      </w:r>
      <w:r>
        <w:rPr>
          <w:sz w:val="28"/>
          <w:szCs w:val="28"/>
        </w:rPr>
        <w:t>6</w:t>
      </w:r>
      <w:r>
        <w:rPr>
          <w:rFonts w:hint="eastAsia"/>
          <w:sz w:val="28"/>
          <w:szCs w:val="28"/>
        </w:rPr>
        <w:t>）后，各投标人按有效投标报价由低至高的顺序依次排列，排名第一为第一中标候选人。采购人对中标人实行信用评价管理，具体按采购人供应商管理办法执行。</w:t>
      </w:r>
    </w:p>
    <w:p>
      <w:pPr>
        <w:ind w:firstLine="562" w:firstLineChars="200"/>
        <w:rPr>
          <w:rFonts w:ascii="宋体" w:hAnsi="宋体" w:cs="Arial"/>
          <w:b/>
          <w:color w:val="000000"/>
          <w:sz w:val="28"/>
          <w:szCs w:val="28"/>
        </w:rPr>
      </w:pPr>
      <w:r>
        <w:rPr>
          <w:rFonts w:hint="eastAsia" w:ascii="宋体" w:hAnsi="宋体" w:cs="Arial"/>
          <w:b/>
          <w:color w:val="000000"/>
          <w:sz w:val="28"/>
          <w:szCs w:val="28"/>
        </w:rPr>
        <w:t>十二、勘踏现场</w:t>
      </w:r>
    </w:p>
    <w:p>
      <w:pPr>
        <w:ind w:firstLine="560" w:firstLineChars="200"/>
        <w:rPr>
          <w:sz w:val="28"/>
          <w:szCs w:val="28"/>
        </w:rPr>
      </w:pPr>
      <w:r>
        <w:rPr>
          <w:rFonts w:hint="eastAsia"/>
          <w:sz w:val="28"/>
          <w:szCs w:val="28"/>
        </w:rPr>
        <w:t>投标人有必要勘踏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勘踏现场时间：20</w:t>
      </w:r>
      <w:r>
        <w:rPr>
          <w:sz w:val="28"/>
          <w:szCs w:val="28"/>
        </w:rPr>
        <w:t>21</w:t>
      </w:r>
      <w:r>
        <w:rPr>
          <w:rFonts w:hint="eastAsia"/>
          <w:sz w:val="28"/>
          <w:szCs w:val="28"/>
        </w:rPr>
        <w:t>年</w:t>
      </w:r>
      <w:r>
        <w:rPr>
          <w:sz w:val="28"/>
          <w:szCs w:val="28"/>
        </w:rPr>
        <w:t>6</w:t>
      </w:r>
      <w:r>
        <w:rPr>
          <w:rFonts w:hint="eastAsia"/>
          <w:sz w:val="28"/>
          <w:szCs w:val="28"/>
        </w:rPr>
        <w:t>月</w:t>
      </w:r>
      <w:r>
        <w:rPr>
          <w:sz w:val="28"/>
          <w:szCs w:val="28"/>
        </w:rPr>
        <w:t>2</w:t>
      </w:r>
      <w:r>
        <w:rPr>
          <w:rFonts w:hint="eastAsia"/>
          <w:sz w:val="28"/>
          <w:szCs w:val="28"/>
        </w:rPr>
        <w:t>日</w:t>
      </w:r>
      <w:r>
        <w:rPr>
          <w:sz w:val="28"/>
          <w:szCs w:val="28"/>
        </w:rPr>
        <w:t>10</w:t>
      </w:r>
      <w:r>
        <w:rPr>
          <w:rFonts w:hint="eastAsia"/>
          <w:sz w:val="28"/>
          <w:szCs w:val="28"/>
        </w:rPr>
        <w:t>:0</w:t>
      </w:r>
      <w:r>
        <w:rPr>
          <w:sz w:val="28"/>
          <w:szCs w:val="28"/>
        </w:rPr>
        <w:t>0</w:t>
      </w:r>
      <w:r>
        <w:rPr>
          <w:rFonts w:hint="eastAsia"/>
          <w:sz w:val="28"/>
          <w:szCs w:val="28"/>
        </w:rPr>
        <w:t>时，集中地点：广州市番禺区大学城明志街1号信息枢纽楼一楼西门。勘踏现场联系人冯工，联系电话：</w:t>
      </w:r>
      <w:r>
        <w:rPr>
          <w:sz w:val="28"/>
          <w:szCs w:val="28"/>
        </w:rPr>
        <w:t>020-39302056</w:t>
      </w:r>
      <w:r>
        <w:rPr>
          <w:rFonts w:hint="eastAsia"/>
          <w:sz w:val="28"/>
          <w:szCs w:val="28"/>
        </w:rPr>
        <w:t>。投标人未在规定时间勘踏现场的，甲方不再另行组织，由投标人自行前往勘踏。</w:t>
      </w:r>
    </w:p>
    <w:p>
      <w:pPr>
        <w:ind w:firstLine="562" w:firstLineChars="200"/>
        <w:rPr>
          <w:rFonts w:ascii="宋体" w:hAnsi="宋体" w:cs="Arial"/>
          <w:b/>
          <w:color w:val="000000"/>
          <w:sz w:val="28"/>
          <w:szCs w:val="28"/>
        </w:rPr>
      </w:pPr>
      <w:r>
        <w:rPr>
          <w:rFonts w:hint="eastAsia" w:ascii="宋体" w:hAnsi="宋体" w:cs="Arial"/>
          <w:b/>
          <w:color w:val="000000"/>
          <w:sz w:val="28"/>
          <w:szCs w:val="28"/>
        </w:rPr>
        <w:t>十三、递交投标文件</w:t>
      </w:r>
    </w:p>
    <w:p>
      <w:pPr>
        <w:ind w:firstLine="560" w:firstLineChars="200"/>
        <w:rPr>
          <w:rFonts w:ascii="宋体" w:hAnsi="宋体" w:cs="Arial"/>
          <w:color w:val="000000"/>
          <w:sz w:val="28"/>
          <w:szCs w:val="28"/>
        </w:rPr>
      </w:pPr>
      <w:r>
        <w:rPr>
          <w:rFonts w:hint="eastAsia" w:ascii="宋体" w:hAnsi="宋体" w:cs="Arial"/>
          <w:color w:val="000000"/>
          <w:sz w:val="28"/>
          <w:szCs w:val="28"/>
        </w:rPr>
        <w:t>（一）投标单位以密封的形式（一式一份，无需装订）提供投标文件到：广州市番禺区大学城明志街1号信息枢纽楼9楼采购合同部，甲方接受现场递交或邮寄两种方式。</w:t>
      </w:r>
    </w:p>
    <w:p>
      <w:pPr>
        <w:ind w:firstLine="560" w:firstLineChars="200"/>
        <w:rPr>
          <w:rFonts w:ascii="宋体" w:hAnsi="宋体" w:cs="Arial"/>
          <w:color w:val="000000"/>
          <w:sz w:val="28"/>
          <w:szCs w:val="28"/>
        </w:rPr>
      </w:pPr>
      <w:r>
        <w:rPr>
          <w:rFonts w:hint="eastAsia" w:ascii="宋体" w:hAnsi="宋体" w:cs="Arial"/>
          <w:color w:val="000000"/>
          <w:sz w:val="28"/>
          <w:szCs w:val="28"/>
        </w:rPr>
        <w:t>（二）投标文件递交截止时间：20</w:t>
      </w:r>
      <w:r>
        <w:rPr>
          <w:rFonts w:ascii="宋体" w:hAnsi="宋体" w:cs="Arial"/>
          <w:color w:val="000000"/>
          <w:sz w:val="28"/>
          <w:szCs w:val="28"/>
        </w:rPr>
        <w:t>21</w:t>
      </w:r>
      <w:r>
        <w:rPr>
          <w:rFonts w:hint="eastAsia" w:ascii="宋体" w:hAnsi="宋体" w:cs="Arial"/>
          <w:color w:val="000000"/>
          <w:sz w:val="28"/>
          <w:szCs w:val="28"/>
        </w:rPr>
        <w:t>年</w:t>
      </w:r>
      <w:r>
        <w:rPr>
          <w:rFonts w:ascii="宋体" w:hAnsi="宋体" w:cs="Arial"/>
          <w:color w:val="000000"/>
          <w:sz w:val="28"/>
          <w:szCs w:val="28"/>
        </w:rPr>
        <w:t>6</w:t>
      </w:r>
      <w:r>
        <w:rPr>
          <w:rFonts w:hint="eastAsia" w:ascii="宋体" w:hAnsi="宋体" w:cs="Arial"/>
          <w:color w:val="000000"/>
          <w:sz w:val="28"/>
          <w:szCs w:val="28"/>
        </w:rPr>
        <w:t>月</w:t>
      </w:r>
      <w:r>
        <w:rPr>
          <w:rFonts w:ascii="宋体" w:hAnsi="宋体" w:cs="Arial"/>
          <w:color w:val="000000"/>
          <w:sz w:val="28"/>
          <w:szCs w:val="28"/>
        </w:rPr>
        <w:t>8</w:t>
      </w:r>
      <w:r>
        <w:rPr>
          <w:rFonts w:hint="eastAsia" w:ascii="宋体" w:hAnsi="宋体" w:cs="Arial"/>
          <w:color w:val="000000"/>
          <w:sz w:val="28"/>
          <w:szCs w:val="28"/>
        </w:rPr>
        <w:t>日北京时间</w:t>
      </w:r>
      <w:r>
        <w:rPr>
          <w:rFonts w:ascii="宋体" w:hAnsi="宋体" w:cs="Arial"/>
          <w:color w:val="000000"/>
          <w:sz w:val="28"/>
          <w:szCs w:val="28"/>
        </w:rPr>
        <w:t>15</w:t>
      </w:r>
      <w:r>
        <w:rPr>
          <w:rFonts w:hint="eastAsia" w:ascii="宋体" w:hAnsi="宋体" w:cs="Arial"/>
          <w:color w:val="000000"/>
          <w:sz w:val="28"/>
          <w:szCs w:val="28"/>
        </w:rPr>
        <w:t>时</w:t>
      </w:r>
      <w:r>
        <w:rPr>
          <w:rFonts w:ascii="宋体" w:hAnsi="宋体" w:cs="Arial"/>
          <w:color w:val="000000"/>
          <w:sz w:val="28"/>
          <w:szCs w:val="28"/>
        </w:rPr>
        <w:t>30</w:t>
      </w:r>
      <w:r>
        <w:rPr>
          <w:rFonts w:hint="eastAsia" w:ascii="宋体" w:hAnsi="宋体" w:cs="Arial"/>
          <w:color w:val="000000"/>
          <w:sz w:val="28"/>
          <w:szCs w:val="28"/>
        </w:rPr>
        <w:t>分前。递交的投标文件或投标文件信封未密封，或未在骑缝处盖章或签字，或逾期送达的甲方有权不予受理。</w:t>
      </w:r>
    </w:p>
    <w:p>
      <w:pPr>
        <w:ind w:firstLine="562" w:firstLineChars="200"/>
        <w:rPr>
          <w:rFonts w:ascii="宋体" w:hAnsi="宋体" w:cs="Arial"/>
          <w:b/>
          <w:color w:val="000000"/>
          <w:sz w:val="28"/>
          <w:szCs w:val="28"/>
        </w:rPr>
      </w:pPr>
      <w:r>
        <w:rPr>
          <w:rFonts w:ascii="宋体" w:hAnsi="宋体" w:cs="Arial"/>
          <w:b/>
          <w:color w:val="000000"/>
          <w:sz w:val="28"/>
          <w:szCs w:val="28"/>
        </w:rPr>
        <w:t>十</w:t>
      </w:r>
      <w:r>
        <w:rPr>
          <w:rFonts w:hint="eastAsia" w:ascii="宋体" w:hAnsi="宋体" w:cs="Arial"/>
          <w:b/>
          <w:color w:val="000000"/>
          <w:sz w:val="28"/>
          <w:szCs w:val="28"/>
        </w:rPr>
        <w:t>四、</w:t>
      </w:r>
      <w:r>
        <w:rPr>
          <w:rFonts w:hint="eastAsia" w:ascii="宋体" w:hAnsi="宋体" w:cs="Arial"/>
          <w:color w:val="000000"/>
          <w:sz w:val="28"/>
          <w:szCs w:val="28"/>
        </w:rPr>
        <w:t>本竞选文件在广东省招标投标监管网（网址：</w:t>
      </w:r>
      <w:r>
        <w:rPr>
          <w:rFonts w:ascii="宋体" w:hAnsi="宋体" w:cs="Arial"/>
          <w:color w:val="000000"/>
          <w:sz w:val="28"/>
          <w:szCs w:val="28"/>
        </w:rPr>
        <w:t>http://zbtb.gd.gov.cn/login）</w:t>
      </w:r>
      <w:r>
        <w:rPr>
          <w:rFonts w:hint="eastAsia" w:ascii="宋体" w:hAnsi="宋体" w:cs="Arial"/>
          <w:color w:val="000000"/>
          <w:sz w:val="28"/>
          <w:szCs w:val="28"/>
        </w:rPr>
        <w:t>、广州大学城投资经营管理有限公司网站（网址：</w:t>
      </w:r>
      <w:r>
        <w:rPr>
          <w:rFonts w:ascii="宋体" w:hAnsi="宋体" w:cs="Arial"/>
          <w:color w:val="000000"/>
          <w:sz w:val="28"/>
          <w:szCs w:val="28"/>
        </w:rPr>
        <w:t>https://www.gzuci.com/</w:t>
      </w:r>
      <w:r>
        <w:rPr>
          <w:rFonts w:hint="eastAsia" w:ascii="宋体" w:hAnsi="宋体" w:cs="Arial"/>
          <w:color w:val="000000"/>
          <w:sz w:val="28"/>
          <w:szCs w:val="28"/>
        </w:rPr>
        <w:t>）同时发布。本竞选文件在各媒体发布的文本如有不同之处，以在广州大学城投资经营管理有限公司网站发布的文本为准。</w:t>
      </w:r>
    </w:p>
    <w:p>
      <w:pPr>
        <w:ind w:firstLine="562" w:firstLineChars="200"/>
        <w:rPr>
          <w:rFonts w:ascii="宋体" w:hAnsi="宋体" w:cs="Arial"/>
          <w:b/>
          <w:color w:val="000000"/>
          <w:sz w:val="28"/>
          <w:szCs w:val="28"/>
        </w:rPr>
      </w:pPr>
      <w:r>
        <w:rPr>
          <w:rFonts w:hint="eastAsia" w:ascii="宋体" w:hAnsi="宋体" w:cs="Arial"/>
          <w:b/>
          <w:color w:val="000000"/>
          <w:sz w:val="28"/>
          <w:szCs w:val="28"/>
        </w:rPr>
        <w:t>十四、采购人地址和联系方式</w:t>
      </w:r>
    </w:p>
    <w:p>
      <w:pPr>
        <w:ind w:firstLine="560" w:firstLineChars="200"/>
        <w:rPr>
          <w:rFonts w:ascii="宋体" w:hAnsi="宋体" w:cs="Arial"/>
          <w:color w:val="000000"/>
          <w:sz w:val="28"/>
          <w:szCs w:val="28"/>
        </w:rPr>
      </w:pPr>
      <w:r>
        <w:rPr>
          <w:rFonts w:hint="eastAsia" w:ascii="宋体" w:hAnsi="宋体" w:cs="Arial"/>
          <w:color w:val="000000"/>
          <w:sz w:val="28"/>
          <w:szCs w:val="28"/>
        </w:rPr>
        <w:t>采购人：广州大学城投资经营管理有限公司</w:t>
      </w:r>
    </w:p>
    <w:p>
      <w:pPr>
        <w:ind w:firstLine="560" w:firstLineChars="200"/>
        <w:rPr>
          <w:rFonts w:ascii="宋体" w:hAnsi="宋体" w:cs="Arial"/>
          <w:color w:val="000000"/>
          <w:sz w:val="28"/>
          <w:szCs w:val="28"/>
        </w:rPr>
      </w:pPr>
      <w:r>
        <w:rPr>
          <w:rFonts w:hint="eastAsia" w:ascii="宋体" w:hAnsi="宋体" w:cs="Arial"/>
          <w:color w:val="000000"/>
          <w:sz w:val="28"/>
          <w:szCs w:val="28"/>
        </w:rPr>
        <w:t>联系地址：广州市番禺区大学城明志街</w:t>
      </w:r>
      <w:r>
        <w:rPr>
          <w:rFonts w:ascii="Arial" w:hAnsi="Arial" w:cs="Arial"/>
          <w:color w:val="000000"/>
          <w:sz w:val="28"/>
          <w:szCs w:val="28"/>
        </w:rPr>
        <w:t>1</w:t>
      </w:r>
      <w:r>
        <w:rPr>
          <w:rFonts w:hint="eastAsia" w:ascii="宋体" w:hAnsi="宋体" w:cs="Arial"/>
          <w:color w:val="000000"/>
          <w:sz w:val="28"/>
          <w:szCs w:val="28"/>
        </w:rPr>
        <w:t>号信息枢纽楼9楼</w:t>
      </w:r>
    </w:p>
    <w:p>
      <w:pPr>
        <w:ind w:firstLine="560" w:firstLineChars="200"/>
        <w:rPr>
          <w:rFonts w:ascii="Arial" w:hAnsi="Arial" w:cs="Arial"/>
          <w:color w:val="000000"/>
          <w:sz w:val="28"/>
          <w:szCs w:val="28"/>
        </w:rPr>
      </w:pPr>
      <w:r>
        <w:rPr>
          <w:rFonts w:hint="eastAsia" w:ascii="宋体" w:hAnsi="宋体" w:cs="Arial"/>
          <w:color w:val="000000"/>
          <w:sz w:val="28"/>
          <w:szCs w:val="28"/>
        </w:rPr>
        <w:t>联系人：李工</w:t>
      </w:r>
    </w:p>
    <w:p>
      <w:pPr>
        <w:ind w:firstLine="560" w:firstLineChars="200"/>
        <w:rPr>
          <w:rFonts w:ascii="Arial" w:hAnsi="Arial" w:cs="Arial"/>
          <w:color w:val="000000"/>
          <w:sz w:val="28"/>
          <w:szCs w:val="28"/>
        </w:rPr>
      </w:pPr>
      <w:r>
        <w:rPr>
          <w:rFonts w:hint="eastAsia" w:ascii="宋体" w:hAnsi="宋体" w:cs="Arial"/>
          <w:color w:val="000000"/>
          <w:sz w:val="28"/>
          <w:szCs w:val="28"/>
        </w:rPr>
        <w:t>联系电话：0</w:t>
      </w:r>
      <w:r>
        <w:rPr>
          <w:rFonts w:ascii="宋体" w:hAnsi="宋体" w:cs="Arial"/>
          <w:color w:val="000000"/>
          <w:sz w:val="28"/>
          <w:szCs w:val="28"/>
        </w:rPr>
        <w:t>20-39302078</w:t>
      </w:r>
    </w:p>
    <w:p>
      <w:pPr>
        <w:rPr>
          <w:rFonts w:cs="Arial" w:asciiTheme="minorEastAsia" w:hAnsiTheme="minorEastAsia" w:eastAsiaTheme="minorEastAsia"/>
          <w:color w:val="000000"/>
          <w:sz w:val="28"/>
          <w:szCs w:val="28"/>
        </w:rPr>
      </w:pPr>
    </w:p>
    <w:p>
      <w:pPr>
        <w:rPr>
          <w:rFonts w:cs="Arial" w:asciiTheme="minorEastAsia" w:hAnsiTheme="minorEastAsia" w:eastAsiaTheme="minorEastAsia"/>
          <w:color w:val="000000"/>
          <w:sz w:val="28"/>
          <w:szCs w:val="28"/>
        </w:rPr>
      </w:pPr>
      <w:r>
        <w:rPr>
          <w:rFonts w:cs="Arial" w:asciiTheme="minorEastAsia" w:hAnsiTheme="minorEastAsia" w:eastAsiaTheme="minorEastAsia"/>
          <w:color w:val="000000"/>
          <w:sz w:val="28"/>
          <w:szCs w:val="28"/>
        </w:rPr>
        <w:t>附图</w:t>
      </w:r>
      <w:r>
        <w:rPr>
          <w:rFonts w:hint="eastAsia" w:cs="Arial" w:asciiTheme="minorEastAsia" w:hAnsiTheme="minorEastAsia" w:eastAsiaTheme="minorEastAsia"/>
          <w:color w:val="000000"/>
          <w:sz w:val="28"/>
          <w:szCs w:val="28"/>
        </w:rPr>
        <w:t>：</w:t>
      </w:r>
      <w:r>
        <w:rPr>
          <w:rFonts w:cs="Arial" w:asciiTheme="minorEastAsia" w:hAnsiTheme="minorEastAsia" w:eastAsiaTheme="minorEastAsia"/>
          <w:color w:val="000000"/>
          <w:sz w:val="28"/>
          <w:szCs w:val="28"/>
        </w:rPr>
        <w:t xml:space="preserve"> </w:t>
      </w:r>
    </w:p>
    <w:p>
      <w:pPr>
        <w:widowControl/>
        <w:jc w:val="left"/>
        <w:rPr>
          <w:rFonts w:ascii="宋体" w:hAnsi="宋体" w:cs="Arial"/>
          <w:color w:val="000000"/>
          <w:sz w:val="28"/>
          <w:szCs w:val="28"/>
        </w:rPr>
      </w:pPr>
      <w:r>
        <w:drawing>
          <wp:anchor distT="0" distB="0" distL="114300" distR="114300" simplePos="0" relativeHeight="251660288" behindDoc="0" locked="0" layoutInCell="1" allowOverlap="1">
            <wp:simplePos x="0" y="0"/>
            <wp:positionH relativeFrom="column">
              <wp:posOffset>-309880</wp:posOffset>
            </wp:positionH>
            <wp:positionV relativeFrom="paragraph">
              <wp:posOffset>415290</wp:posOffset>
            </wp:positionV>
            <wp:extent cx="6372225" cy="5695950"/>
            <wp:effectExtent l="0" t="0" r="0"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6372225" cy="5695950"/>
                    </a:xfrm>
                    <a:prstGeom prst="rect">
                      <a:avLst/>
                    </a:prstGeom>
                  </pic:spPr>
                </pic:pic>
              </a:graphicData>
            </a:graphic>
          </wp:anchor>
        </w:drawing>
      </w:r>
      <w:r>
        <w:rPr>
          <w:rFonts w:ascii="宋体" w:hAnsi="宋体" w:cs="Arial"/>
          <w:color w:val="000000"/>
          <w:sz w:val="28"/>
          <w:szCs w:val="28"/>
        </w:rPr>
        <w:br w:type="page"/>
      </w:r>
    </w:p>
    <w:p>
      <w:pPr>
        <w:rPr>
          <w:rFonts w:ascii="宋体" w:hAnsi="宋体" w:cs="Arial"/>
          <w:color w:val="000000"/>
          <w:sz w:val="28"/>
          <w:szCs w:val="28"/>
        </w:rPr>
      </w:pPr>
    </w:p>
    <w:p>
      <w:pPr>
        <w:rPr>
          <w:rFonts w:ascii="宋体" w:hAnsi="宋体" w:cs="Arial"/>
          <w:color w:val="000000"/>
          <w:sz w:val="28"/>
          <w:szCs w:val="28"/>
        </w:rPr>
      </w:pPr>
      <w:r>
        <w:rPr>
          <w:rFonts w:hint="eastAsia" w:ascii="宋体" w:hAnsi="宋体" w:cs="Arial"/>
          <w:color w:val="000000"/>
          <w:sz w:val="28"/>
          <w:szCs w:val="28"/>
        </w:rPr>
        <w:t>附件：1、报价一览表</w:t>
      </w:r>
    </w:p>
    <w:p>
      <w:pPr>
        <w:ind w:firstLine="840" w:firstLineChars="300"/>
        <w:rPr>
          <w:rFonts w:ascii="宋体" w:hAnsi="宋体" w:cs="Arial"/>
          <w:color w:val="000000"/>
          <w:sz w:val="28"/>
          <w:szCs w:val="28"/>
        </w:rPr>
      </w:pPr>
      <w:r>
        <w:rPr>
          <w:rFonts w:ascii="宋体" w:hAnsi="宋体" w:cs="Arial"/>
          <w:color w:val="000000"/>
          <w:sz w:val="28"/>
          <w:szCs w:val="28"/>
        </w:rPr>
        <w:t>2</w:t>
      </w:r>
      <w:r>
        <w:rPr>
          <w:rFonts w:hint="eastAsia" w:ascii="宋体" w:hAnsi="宋体" w:cs="Arial"/>
          <w:color w:val="000000"/>
          <w:sz w:val="28"/>
          <w:szCs w:val="28"/>
        </w:rPr>
        <w:t>、供应商调查表</w:t>
      </w:r>
    </w:p>
    <w:p>
      <w:pPr>
        <w:ind w:firstLine="840" w:firstLineChars="300"/>
        <w:rPr>
          <w:rFonts w:ascii="宋体" w:hAnsi="宋体" w:cs="Arial"/>
          <w:color w:val="000000"/>
          <w:sz w:val="28"/>
          <w:szCs w:val="28"/>
        </w:rPr>
      </w:pPr>
      <w:r>
        <w:rPr>
          <w:rFonts w:hint="eastAsia" w:ascii="宋体" w:hAnsi="宋体" w:cs="Arial"/>
          <w:color w:val="000000"/>
          <w:sz w:val="28"/>
          <w:szCs w:val="28"/>
        </w:rPr>
        <w:t>3、法定代表人身份证明书</w:t>
      </w:r>
    </w:p>
    <w:p>
      <w:pPr>
        <w:ind w:firstLine="840" w:firstLineChars="300"/>
        <w:rPr>
          <w:rFonts w:ascii="宋体" w:hAnsi="宋体" w:cs="Arial"/>
          <w:color w:val="000000"/>
          <w:sz w:val="28"/>
          <w:szCs w:val="28"/>
        </w:rPr>
      </w:pPr>
      <w:r>
        <w:rPr>
          <w:rFonts w:hint="eastAsia" w:ascii="宋体" w:hAnsi="宋体" w:cs="Arial"/>
          <w:color w:val="000000"/>
          <w:sz w:val="28"/>
          <w:szCs w:val="28"/>
        </w:rPr>
        <w:t>4、法定代表人授权委托证明书</w:t>
      </w:r>
    </w:p>
    <w:p>
      <w:pPr>
        <w:ind w:firstLine="840" w:firstLineChars="300"/>
        <w:rPr>
          <w:rFonts w:ascii="宋体" w:hAnsi="宋体" w:cs="Arial"/>
          <w:color w:val="000000"/>
          <w:sz w:val="28"/>
          <w:szCs w:val="28"/>
        </w:rPr>
      </w:pPr>
      <w:r>
        <w:rPr>
          <w:rFonts w:hint="eastAsia" w:ascii="宋体" w:hAnsi="宋体" w:cs="Arial"/>
          <w:color w:val="000000"/>
          <w:sz w:val="28"/>
          <w:szCs w:val="28"/>
        </w:rPr>
        <w:t>5、投标人资格审查表</w:t>
      </w:r>
    </w:p>
    <w:p>
      <w:pPr>
        <w:ind w:firstLine="840" w:firstLineChars="300"/>
        <w:rPr>
          <w:rFonts w:ascii="宋体" w:hAnsi="宋体" w:cs="Arial"/>
          <w:color w:val="000000"/>
          <w:sz w:val="28"/>
          <w:szCs w:val="28"/>
        </w:rPr>
      </w:pPr>
      <w:r>
        <w:rPr>
          <w:rFonts w:hint="eastAsia" w:ascii="宋体" w:hAnsi="宋体" w:cs="Arial"/>
          <w:color w:val="000000"/>
          <w:sz w:val="28"/>
          <w:szCs w:val="28"/>
        </w:rPr>
        <w:t>6、投标文件有效性审查表</w:t>
      </w:r>
      <w:bookmarkStart w:id="0" w:name="_GoBack"/>
      <w:bookmarkEnd w:id="0"/>
    </w:p>
    <w:p>
      <w:pPr>
        <w:pStyle w:val="5"/>
        <w:spacing w:line="360" w:lineRule="auto"/>
        <w:ind w:left="0" w:leftChars="0" w:right="1120"/>
        <w:rPr>
          <w:sz w:val="28"/>
          <w:szCs w:val="28"/>
        </w:rPr>
      </w:pPr>
    </w:p>
    <w:p>
      <w:pPr>
        <w:pStyle w:val="5"/>
        <w:spacing w:line="360" w:lineRule="auto"/>
        <w:ind w:left="0" w:leftChars="0" w:right="1120" w:firstLine="2520" w:firstLineChars="900"/>
        <w:rPr>
          <w:sz w:val="28"/>
          <w:szCs w:val="28"/>
        </w:rPr>
      </w:pPr>
      <w:r>
        <w:rPr>
          <w:rFonts w:hint="eastAsia"/>
          <w:sz w:val="28"/>
          <w:szCs w:val="28"/>
        </w:rPr>
        <w:t>采购人：广州大学城投资经营管理有限公司</w:t>
      </w:r>
    </w:p>
    <w:p>
      <w:pPr>
        <w:spacing w:line="360" w:lineRule="auto"/>
        <w:ind w:firstLine="4760" w:firstLineChars="1700"/>
        <w:rPr>
          <w:sz w:val="28"/>
          <w:szCs w:val="28"/>
        </w:rPr>
      </w:pPr>
      <w:r>
        <w:rPr>
          <w:rFonts w:hint="eastAsia"/>
          <w:sz w:val="28"/>
          <w:szCs w:val="28"/>
        </w:rPr>
        <w:t>20</w:t>
      </w:r>
      <w:r>
        <w:rPr>
          <w:sz w:val="28"/>
          <w:szCs w:val="28"/>
        </w:rPr>
        <w:t>21</w:t>
      </w:r>
      <w:r>
        <w:rPr>
          <w:rFonts w:hint="eastAsia"/>
          <w:sz w:val="28"/>
          <w:szCs w:val="28"/>
        </w:rPr>
        <w:t>年</w:t>
      </w:r>
      <w:r>
        <w:rPr>
          <w:sz w:val="28"/>
          <w:szCs w:val="28"/>
        </w:rPr>
        <w:t>6</w:t>
      </w:r>
      <w:r>
        <w:rPr>
          <w:rFonts w:hint="eastAsia"/>
          <w:sz w:val="28"/>
          <w:szCs w:val="28"/>
        </w:rPr>
        <w:t>月</w:t>
      </w:r>
      <w:r>
        <w:rPr>
          <w:rFonts w:hint="eastAsia"/>
          <w:sz w:val="28"/>
          <w:szCs w:val="28"/>
          <w:lang w:val="en-US" w:eastAsia="zh-CN"/>
        </w:rPr>
        <w:t>1</w:t>
      </w:r>
      <w:r>
        <w:rPr>
          <w:rFonts w:hint="eastAsia"/>
          <w:sz w:val="28"/>
          <w:szCs w:val="28"/>
        </w:rPr>
        <w:t>日</w:t>
      </w:r>
    </w:p>
    <w:p>
      <w:pPr>
        <w:spacing w:line="400" w:lineRule="exact"/>
        <w:rPr>
          <w:rFonts w:ascii="宋体" w:hAnsi="宋体" w:cs="Arial"/>
          <w:color w:val="000000"/>
          <w:sz w:val="30"/>
          <w:szCs w:val="30"/>
        </w:rPr>
      </w:pPr>
    </w:p>
    <w:p>
      <w:pPr>
        <w:widowControl/>
        <w:jc w:val="left"/>
        <w:rPr>
          <w:rFonts w:ascii="宋体" w:hAnsi="宋体" w:cs="Arial"/>
          <w:color w:val="000000"/>
          <w:sz w:val="30"/>
          <w:szCs w:val="30"/>
        </w:rPr>
      </w:pPr>
      <w:r>
        <w:rPr>
          <w:rFonts w:ascii="宋体" w:hAnsi="宋体" w:cs="Arial"/>
          <w:color w:val="000000"/>
          <w:sz w:val="30"/>
          <w:szCs w:val="30"/>
        </w:rPr>
        <w:br w:type="page"/>
      </w:r>
    </w:p>
    <w:p>
      <w:pPr>
        <w:spacing w:line="400" w:lineRule="exact"/>
        <w:rPr>
          <w:rFonts w:hAnsi="宋体"/>
          <w:b/>
          <w:sz w:val="28"/>
          <w:szCs w:val="28"/>
        </w:rPr>
      </w:pPr>
      <w:r>
        <w:rPr>
          <w:rFonts w:hint="eastAsia" w:ascii="宋体" w:hAnsi="宋体" w:cs="Arial"/>
          <w:color w:val="000000"/>
          <w:sz w:val="30"/>
          <w:szCs w:val="30"/>
        </w:rPr>
        <w:t>附件1</w:t>
      </w:r>
    </w:p>
    <w:p>
      <w:pPr>
        <w:pStyle w:val="7"/>
        <w:ind w:firstLine="0" w:firstLineChars="0"/>
        <w:jc w:val="center"/>
        <w:rPr>
          <w:rFonts w:asciiTheme="minorEastAsia" w:hAnsiTheme="minorEastAsia" w:eastAsiaTheme="minorEastAsia"/>
          <w:b/>
          <w:sz w:val="28"/>
          <w:szCs w:val="28"/>
        </w:rPr>
      </w:pPr>
      <w:r>
        <w:rPr>
          <w:rFonts w:asciiTheme="minorEastAsia" w:hAnsiTheme="minorEastAsia" w:eastAsiaTheme="minorEastAsia"/>
          <w:b/>
          <w:sz w:val="28"/>
          <w:szCs w:val="28"/>
        </w:rPr>
        <w:t>报价一览表</w:t>
      </w:r>
    </w:p>
    <w:p>
      <w:pPr>
        <w:spacing w:line="360" w:lineRule="auto"/>
        <w:rPr>
          <w:rFonts w:hAnsi="宋体"/>
          <w:szCs w:val="21"/>
        </w:rPr>
      </w:pPr>
      <w:r>
        <w:rPr>
          <w:rFonts w:hint="eastAsia" w:hAnsi="宋体"/>
          <w:szCs w:val="21"/>
        </w:rPr>
        <w:t>项目名称：岭南印象园博物馆2#专变房10kV高压供电电缆修复工程</w:t>
      </w:r>
    </w:p>
    <w:tbl>
      <w:tblPr>
        <w:tblStyle w:val="15"/>
        <w:tblW w:w="90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268"/>
        <w:gridCol w:w="2126"/>
        <w:gridCol w:w="3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atLeast"/>
          <w:jc w:val="center"/>
        </w:trPr>
        <w:tc>
          <w:tcPr>
            <w:tcW w:w="737" w:type="dxa"/>
            <w:vAlign w:val="center"/>
          </w:tcPr>
          <w:p>
            <w:pPr>
              <w:rPr>
                <w:rFonts w:hAnsi="宋体"/>
                <w:bCs/>
                <w:sz w:val="24"/>
              </w:rPr>
            </w:pPr>
            <w:r>
              <w:rPr>
                <w:rFonts w:hint="eastAsia" w:hAnsi="宋体"/>
                <w:bCs/>
                <w:sz w:val="24"/>
              </w:rPr>
              <w:t>序号</w:t>
            </w:r>
          </w:p>
        </w:tc>
        <w:tc>
          <w:tcPr>
            <w:tcW w:w="2268" w:type="dxa"/>
            <w:vAlign w:val="center"/>
          </w:tcPr>
          <w:p>
            <w:pPr>
              <w:rPr>
                <w:rFonts w:hAnsi="宋体"/>
                <w:bCs/>
                <w:sz w:val="24"/>
              </w:rPr>
            </w:pPr>
            <w:r>
              <w:rPr>
                <w:rFonts w:hint="eastAsia" w:hAnsi="宋体"/>
                <w:bCs/>
                <w:sz w:val="24"/>
              </w:rPr>
              <w:t>项目名称</w:t>
            </w:r>
          </w:p>
        </w:tc>
        <w:tc>
          <w:tcPr>
            <w:tcW w:w="5996" w:type="dxa"/>
            <w:gridSpan w:val="2"/>
            <w:vAlign w:val="center"/>
          </w:tcPr>
          <w:p>
            <w:pPr>
              <w:rPr>
                <w:rFonts w:hAnsi="宋体"/>
                <w:bCs/>
                <w:sz w:val="24"/>
              </w:rPr>
            </w:pPr>
            <w:r>
              <w:rPr>
                <w:rFonts w:hint="eastAsia" w:hAnsi="宋体"/>
                <w:bCs/>
                <w:sz w:val="24"/>
              </w:rPr>
              <w:t>投标价（单位：人民币元）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3" w:hRule="atLeast"/>
          <w:jc w:val="center"/>
        </w:trPr>
        <w:tc>
          <w:tcPr>
            <w:tcW w:w="737" w:type="dxa"/>
            <w:vAlign w:val="center"/>
          </w:tcPr>
          <w:p>
            <w:pPr>
              <w:rPr>
                <w:rFonts w:hAnsi="宋体"/>
                <w:sz w:val="24"/>
              </w:rPr>
            </w:pPr>
            <w:r>
              <w:rPr>
                <w:rFonts w:hint="eastAsia" w:hAnsi="宋体"/>
                <w:sz w:val="24"/>
              </w:rPr>
              <w:t>1</w:t>
            </w:r>
          </w:p>
        </w:tc>
        <w:tc>
          <w:tcPr>
            <w:tcW w:w="2268" w:type="dxa"/>
            <w:vAlign w:val="center"/>
          </w:tcPr>
          <w:p>
            <w:pPr>
              <w:rPr>
                <w:rFonts w:hAnsi="宋体"/>
                <w:sz w:val="24"/>
              </w:rPr>
            </w:pPr>
            <w:r>
              <w:rPr>
                <w:rFonts w:hint="eastAsia" w:hAnsi="宋体"/>
                <w:sz w:val="24"/>
              </w:rPr>
              <w:t>投标总价</w:t>
            </w:r>
          </w:p>
        </w:tc>
        <w:tc>
          <w:tcPr>
            <w:tcW w:w="5996" w:type="dxa"/>
            <w:gridSpan w:val="2"/>
            <w:vAlign w:val="center"/>
          </w:tcPr>
          <w:p>
            <w:pPr>
              <w:rPr>
                <w:rFonts w:ascii="宋体" w:hAnsi="宋体"/>
                <w:sz w:val="24"/>
              </w:rPr>
            </w:pPr>
            <w:r>
              <w:rPr>
                <w:rFonts w:hint="eastAsia" w:ascii="宋体" w:hAnsi="宋体"/>
                <w:sz w:val="24"/>
              </w:rPr>
              <w:t>大写：</w:t>
            </w:r>
          </w:p>
          <w:p>
            <w:pPr>
              <w:rPr>
                <w:rFonts w:ascii="宋体" w:hAnsi="宋体"/>
                <w:sz w:val="24"/>
              </w:rPr>
            </w:pPr>
            <w:r>
              <w:rPr>
                <w:rFonts w:ascii="宋体" w:hAnsi="宋体"/>
                <w:sz w:val="24"/>
              </w:rPr>
              <w:t>小写</w:t>
            </w:r>
            <w:r>
              <w:rPr>
                <w:rFonts w:hint="eastAsia" w:ascii="宋体" w:hAnsi="宋体"/>
                <w:sz w:val="24"/>
              </w:rPr>
              <w:t>：</w:t>
            </w:r>
          </w:p>
          <w:p>
            <w:pPr>
              <w:rPr>
                <w:rFonts w:hAnsi="宋体"/>
                <w:sz w:val="24"/>
              </w:rPr>
            </w:pPr>
            <w:r>
              <w:rPr>
                <w:rFonts w:ascii="宋体" w:hAnsi="宋体"/>
                <w:sz w:val="24"/>
              </w:rPr>
              <w:t>其中</w:t>
            </w:r>
            <w:r>
              <w:rPr>
                <w:rFonts w:hint="eastAsia" w:ascii="宋体" w:hAnsi="宋体"/>
                <w:sz w:val="24"/>
              </w:rPr>
              <w:t>，电缆修复费用   元，废旧</w:t>
            </w:r>
            <w:r>
              <w:rPr>
                <w:rFonts w:ascii="宋体" w:hAnsi="宋体"/>
                <w:sz w:val="24"/>
              </w:rPr>
              <w:t>电缆回收费用</w:t>
            </w:r>
            <w:r>
              <w:rPr>
                <w:rFonts w:hint="eastAsia" w:ascii="宋体" w:hAnsi="宋体"/>
                <w:sz w:val="24"/>
              </w:rPr>
              <w:t xml:space="preserve">    </w:t>
            </w:r>
            <w:r>
              <w:rPr>
                <w:rFonts w:ascii="宋体" w:hAnsi="宋体"/>
                <w:sz w:val="24"/>
              </w:rPr>
              <w:t>元</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737" w:type="dxa"/>
            <w:vAlign w:val="center"/>
          </w:tcPr>
          <w:p>
            <w:pPr>
              <w:rPr>
                <w:rFonts w:hAnsi="宋体"/>
                <w:sz w:val="24"/>
              </w:rPr>
            </w:pPr>
            <w:r>
              <w:rPr>
                <w:rFonts w:hint="eastAsia" w:hAnsi="宋体"/>
                <w:sz w:val="24"/>
              </w:rPr>
              <w:t>2</w:t>
            </w:r>
          </w:p>
        </w:tc>
        <w:tc>
          <w:tcPr>
            <w:tcW w:w="2268" w:type="dxa"/>
            <w:vAlign w:val="center"/>
          </w:tcPr>
          <w:p>
            <w:pPr>
              <w:rPr>
                <w:rFonts w:hAnsi="宋体"/>
                <w:sz w:val="24"/>
              </w:rPr>
            </w:pPr>
            <w:r>
              <w:rPr>
                <w:rFonts w:hint="eastAsia" w:hAnsi="宋体"/>
                <w:sz w:val="24"/>
              </w:rPr>
              <w:t>投标工期</w:t>
            </w:r>
          </w:p>
        </w:tc>
        <w:tc>
          <w:tcPr>
            <w:tcW w:w="5996" w:type="dxa"/>
            <w:gridSpan w:val="2"/>
            <w:vAlign w:val="center"/>
          </w:tcPr>
          <w:p>
            <w:pP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737" w:type="dxa"/>
            <w:vAlign w:val="center"/>
          </w:tcPr>
          <w:p>
            <w:pPr>
              <w:rPr>
                <w:rFonts w:hAnsi="宋体"/>
                <w:sz w:val="24"/>
              </w:rPr>
            </w:pPr>
            <w:r>
              <w:rPr>
                <w:rFonts w:hint="eastAsia" w:hAnsi="宋体"/>
                <w:sz w:val="24"/>
              </w:rPr>
              <w:t>3</w:t>
            </w:r>
          </w:p>
        </w:tc>
        <w:tc>
          <w:tcPr>
            <w:tcW w:w="2268" w:type="dxa"/>
            <w:vAlign w:val="center"/>
          </w:tcPr>
          <w:p>
            <w:pPr>
              <w:rPr>
                <w:rFonts w:hAnsi="宋体"/>
                <w:sz w:val="24"/>
              </w:rPr>
            </w:pPr>
            <w:r>
              <w:rPr>
                <w:rFonts w:hint="eastAsia" w:hAnsi="宋体"/>
                <w:sz w:val="24"/>
              </w:rPr>
              <w:t>工程质量标准</w:t>
            </w:r>
          </w:p>
        </w:tc>
        <w:tc>
          <w:tcPr>
            <w:tcW w:w="5996" w:type="dxa"/>
            <w:gridSpan w:val="2"/>
            <w:vAlign w:val="center"/>
          </w:tcPr>
          <w:p>
            <w:pP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737" w:type="dxa"/>
            <w:vAlign w:val="center"/>
          </w:tcPr>
          <w:p>
            <w:pPr>
              <w:rPr>
                <w:rFonts w:hAnsi="宋体"/>
                <w:sz w:val="24"/>
              </w:rPr>
            </w:pPr>
            <w:r>
              <w:rPr>
                <w:rFonts w:hint="eastAsia" w:hAnsi="宋体"/>
                <w:sz w:val="24"/>
              </w:rPr>
              <w:t>4</w:t>
            </w:r>
          </w:p>
        </w:tc>
        <w:tc>
          <w:tcPr>
            <w:tcW w:w="2268" w:type="dxa"/>
            <w:vAlign w:val="center"/>
          </w:tcPr>
          <w:p>
            <w:pPr>
              <w:rPr>
                <w:rFonts w:hAnsi="宋体"/>
                <w:sz w:val="24"/>
              </w:rPr>
            </w:pPr>
            <w:r>
              <w:rPr>
                <w:rFonts w:hint="eastAsia" w:hAnsi="宋体"/>
                <w:sz w:val="24"/>
              </w:rPr>
              <w:t>保修期限</w:t>
            </w:r>
          </w:p>
        </w:tc>
        <w:tc>
          <w:tcPr>
            <w:tcW w:w="5996" w:type="dxa"/>
            <w:gridSpan w:val="2"/>
            <w:vAlign w:val="center"/>
          </w:tcPr>
          <w:p>
            <w:pP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37" w:type="dxa"/>
            <w:vMerge w:val="restart"/>
            <w:vAlign w:val="center"/>
          </w:tcPr>
          <w:p>
            <w:pPr>
              <w:rPr>
                <w:rFonts w:hAnsi="宋体"/>
                <w:sz w:val="24"/>
              </w:rPr>
            </w:pPr>
            <w:r>
              <w:rPr>
                <w:rFonts w:hint="eastAsia" w:hAnsi="宋体"/>
                <w:sz w:val="24"/>
              </w:rPr>
              <w:t>5</w:t>
            </w:r>
          </w:p>
        </w:tc>
        <w:tc>
          <w:tcPr>
            <w:tcW w:w="2268" w:type="dxa"/>
            <w:vMerge w:val="restart"/>
            <w:vAlign w:val="center"/>
          </w:tcPr>
          <w:p>
            <w:pPr>
              <w:rPr>
                <w:rFonts w:hAnsi="宋体"/>
                <w:sz w:val="24"/>
              </w:rPr>
            </w:pPr>
            <w:r>
              <w:rPr>
                <w:rFonts w:hint="eastAsia" w:hAnsi="宋体"/>
                <w:sz w:val="24"/>
              </w:rPr>
              <w:t>拟委派的项目</w:t>
            </w:r>
          </w:p>
          <w:p>
            <w:pPr>
              <w:rPr>
                <w:rFonts w:hAnsi="宋体"/>
                <w:sz w:val="24"/>
              </w:rPr>
            </w:pPr>
            <w:r>
              <w:rPr>
                <w:rFonts w:hint="eastAsia" w:hAnsi="宋体"/>
                <w:sz w:val="24"/>
              </w:rPr>
              <w:t>负责人</w:t>
            </w:r>
          </w:p>
        </w:tc>
        <w:tc>
          <w:tcPr>
            <w:tcW w:w="2126" w:type="dxa"/>
            <w:vAlign w:val="center"/>
          </w:tcPr>
          <w:p>
            <w:pPr>
              <w:rPr>
                <w:rFonts w:hAnsi="宋体"/>
                <w:sz w:val="24"/>
              </w:rPr>
            </w:pPr>
            <w:r>
              <w:rPr>
                <w:rFonts w:hint="eastAsia" w:hAnsi="宋体"/>
                <w:sz w:val="24"/>
              </w:rPr>
              <w:t>姓名</w:t>
            </w:r>
          </w:p>
        </w:tc>
        <w:tc>
          <w:tcPr>
            <w:tcW w:w="3870" w:type="dxa"/>
            <w:vAlign w:val="center"/>
          </w:tcPr>
          <w:p>
            <w:pP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37" w:type="dxa"/>
            <w:vMerge w:val="continue"/>
            <w:vAlign w:val="center"/>
          </w:tcPr>
          <w:p>
            <w:pPr>
              <w:rPr>
                <w:rFonts w:hAnsi="宋体"/>
                <w:sz w:val="24"/>
              </w:rPr>
            </w:pPr>
          </w:p>
        </w:tc>
        <w:tc>
          <w:tcPr>
            <w:tcW w:w="2268" w:type="dxa"/>
            <w:vMerge w:val="continue"/>
            <w:vAlign w:val="center"/>
          </w:tcPr>
          <w:p>
            <w:pPr>
              <w:rPr>
                <w:rFonts w:hAnsi="宋体"/>
                <w:sz w:val="24"/>
              </w:rPr>
            </w:pPr>
          </w:p>
        </w:tc>
        <w:tc>
          <w:tcPr>
            <w:tcW w:w="2126" w:type="dxa"/>
            <w:vAlign w:val="center"/>
          </w:tcPr>
          <w:p>
            <w:pPr>
              <w:rPr>
                <w:rFonts w:hAnsi="宋体"/>
                <w:sz w:val="24"/>
              </w:rPr>
            </w:pPr>
            <w:r>
              <w:rPr>
                <w:rFonts w:hint="eastAsia" w:hAnsi="宋体"/>
                <w:sz w:val="24"/>
              </w:rPr>
              <w:t>技术职称</w:t>
            </w:r>
          </w:p>
        </w:tc>
        <w:tc>
          <w:tcPr>
            <w:tcW w:w="3870" w:type="dxa"/>
            <w:vAlign w:val="center"/>
          </w:tcPr>
          <w:p>
            <w:pPr>
              <w:rPr>
                <w:rFonts w:hAnsi="宋体"/>
                <w:sz w:val="24"/>
              </w:rPr>
            </w:pPr>
          </w:p>
        </w:tc>
      </w:tr>
    </w:tbl>
    <w:p>
      <w:pPr>
        <w:rPr>
          <w:rFonts w:hAnsi="宋体"/>
        </w:rPr>
      </w:pPr>
    </w:p>
    <w:p>
      <w:pPr>
        <w:spacing w:line="360" w:lineRule="auto"/>
        <w:rPr>
          <w:rFonts w:hAnsi="宋体"/>
          <w:b/>
          <w:color w:val="FF0000"/>
        </w:rPr>
      </w:pPr>
      <w:r>
        <w:rPr>
          <w:rFonts w:hint="eastAsia" w:hAnsi="宋体"/>
        </w:rPr>
        <w:t>注：（1）投标总价为人民币报价。</w:t>
      </w:r>
      <w:r>
        <w:rPr>
          <w:rFonts w:hint="eastAsia" w:hAnsi="宋体"/>
          <w:b/>
          <w:color w:val="FF0000"/>
        </w:rPr>
        <w:t>投标总价为</w:t>
      </w:r>
      <w:r>
        <w:rPr>
          <w:rFonts w:hint="eastAsia" w:ascii="宋体" w:hAnsi="宋体"/>
          <w:b/>
          <w:color w:val="FF0000"/>
          <w:sz w:val="24"/>
        </w:rPr>
        <w:t>电缆修复费用与废旧</w:t>
      </w:r>
      <w:r>
        <w:rPr>
          <w:rFonts w:ascii="宋体" w:hAnsi="宋体"/>
          <w:b/>
          <w:color w:val="FF0000"/>
          <w:sz w:val="24"/>
        </w:rPr>
        <w:t>电缆回收费用</w:t>
      </w:r>
      <w:r>
        <w:rPr>
          <w:rFonts w:hint="eastAsia" w:ascii="宋体" w:hAnsi="宋体"/>
          <w:b/>
          <w:color w:val="FF0000"/>
          <w:sz w:val="24"/>
        </w:rPr>
        <w:t>相抵之后的金额，其中电缆修复费用报价不得高于采购限价。</w:t>
      </w:r>
    </w:p>
    <w:p>
      <w:pPr>
        <w:spacing w:line="360" w:lineRule="auto"/>
        <w:ind w:firstLine="420" w:firstLineChars="200"/>
        <w:rPr>
          <w:rFonts w:hAnsi="宋体"/>
        </w:rPr>
      </w:pPr>
      <w:r>
        <w:rPr>
          <w:rFonts w:hint="eastAsia" w:hAnsi="宋体"/>
        </w:rPr>
        <w:t>（2）投标总价是所有需采购人支付的本次项目采购的金额总数，应包括竞选文件要求的全部内容，投标人完成本项目（如果中标）所必须的</w:t>
      </w:r>
      <w:r>
        <w:rPr>
          <w:rFonts w:hint="eastAsia" w:hAnsi="宋体"/>
          <w:bCs/>
        </w:rPr>
        <w:t>所有成本费用和投标人应承担的一切税费</w:t>
      </w:r>
      <w:r>
        <w:rPr>
          <w:rFonts w:hint="eastAsia" w:hAnsi="宋体"/>
        </w:rPr>
        <w:t>，包括但不限于全部人工费、材料、设备、工具、机具、安装运输、规费、措施费、合理利润、管理费、税费等及清理现场的费用、合同实施过程中应预见和不可预见费用等等。</w:t>
      </w:r>
    </w:p>
    <w:p>
      <w:pPr>
        <w:tabs>
          <w:tab w:val="left" w:pos="8364"/>
        </w:tabs>
        <w:spacing w:line="360" w:lineRule="auto"/>
        <w:ind w:firstLine="420" w:firstLineChars="200"/>
        <w:rPr>
          <w:rFonts w:hAnsi="宋体"/>
          <w:bCs/>
        </w:rPr>
      </w:pPr>
      <w:r>
        <w:rPr>
          <w:rFonts w:hint="eastAsia" w:hAnsi="宋体"/>
        </w:rPr>
        <w:t>（3）若用小写表示的金额和用大写表示的金额不一致，以大写表示的金额为准。</w:t>
      </w:r>
    </w:p>
    <w:p>
      <w:pPr>
        <w:spacing w:line="400" w:lineRule="exact"/>
        <w:rPr>
          <w:rFonts w:hAnsi="宋体"/>
          <w:szCs w:val="21"/>
        </w:rPr>
      </w:pPr>
    </w:p>
    <w:p>
      <w:pPr>
        <w:spacing w:line="400" w:lineRule="exact"/>
        <w:rPr>
          <w:rFonts w:hAnsi="宋体"/>
          <w:szCs w:val="21"/>
        </w:rPr>
      </w:pPr>
    </w:p>
    <w:p>
      <w:pPr>
        <w:spacing w:line="400" w:lineRule="exact"/>
        <w:rPr>
          <w:rFonts w:hAnsi="宋体"/>
          <w:szCs w:val="21"/>
        </w:rPr>
      </w:pPr>
      <w:r>
        <w:rPr>
          <w:rFonts w:hint="eastAsia" w:hAnsi="宋体"/>
          <w:szCs w:val="21"/>
        </w:rPr>
        <w:t>投标人名称（盖章）：</w:t>
      </w:r>
    </w:p>
    <w:p>
      <w:pPr>
        <w:rPr>
          <w:rFonts w:hAnsi="宋体"/>
          <w:szCs w:val="21"/>
        </w:rPr>
      </w:pPr>
    </w:p>
    <w:p>
      <w:pPr>
        <w:rPr>
          <w:rFonts w:hAnsi="宋体"/>
          <w:szCs w:val="21"/>
        </w:rPr>
      </w:pPr>
    </w:p>
    <w:p>
      <w:pPr>
        <w:rPr>
          <w:rFonts w:ascii="仿宋" w:hAnsi="仿宋" w:eastAsia="仿宋" w:cs="仿宋"/>
          <w:szCs w:val="21"/>
        </w:rPr>
      </w:pPr>
      <w:r>
        <w:rPr>
          <w:rFonts w:hint="eastAsia" w:hAnsi="宋体"/>
          <w:szCs w:val="21"/>
        </w:rPr>
        <w:t>日期：202</w:t>
      </w:r>
      <w:r>
        <w:rPr>
          <w:rFonts w:hAnsi="宋体"/>
          <w:szCs w:val="21"/>
        </w:rPr>
        <w:t>1</w:t>
      </w:r>
      <w:r>
        <w:rPr>
          <w:rFonts w:hint="eastAsia" w:hAnsi="宋体"/>
          <w:szCs w:val="21"/>
        </w:rPr>
        <w:t xml:space="preserve">年 </w:t>
      </w:r>
      <w:r>
        <w:rPr>
          <w:rFonts w:hAnsi="宋体"/>
          <w:szCs w:val="21"/>
        </w:rPr>
        <w:t xml:space="preserve"> </w:t>
      </w:r>
      <w:r>
        <w:rPr>
          <w:rFonts w:hint="eastAsia" w:hAnsi="宋体"/>
          <w:szCs w:val="21"/>
        </w:rPr>
        <w:t xml:space="preserve">月 </w:t>
      </w:r>
      <w:r>
        <w:rPr>
          <w:rFonts w:hAnsi="宋体"/>
          <w:szCs w:val="21"/>
        </w:rPr>
        <w:t xml:space="preserve"> </w:t>
      </w:r>
      <w:r>
        <w:rPr>
          <w:rFonts w:hint="eastAsia" w:hAnsi="宋体"/>
          <w:szCs w:val="21"/>
        </w:rPr>
        <w:t>日</w:t>
      </w:r>
      <w:r>
        <w:rPr>
          <w:rFonts w:ascii="仿宋" w:hAnsi="仿宋" w:eastAsia="仿宋" w:cs="仿宋"/>
          <w:szCs w:val="21"/>
        </w:rPr>
        <w:br w:type="page"/>
      </w:r>
    </w:p>
    <w:p>
      <w:pPr>
        <w:spacing w:line="400" w:lineRule="exact"/>
        <w:rPr>
          <w:rFonts w:ascii="宋体" w:hAnsi="宋体" w:cs="Arial"/>
          <w:color w:val="000000"/>
          <w:sz w:val="30"/>
          <w:szCs w:val="30"/>
        </w:rPr>
      </w:pPr>
      <w:r>
        <w:rPr>
          <w:rFonts w:hint="eastAsia" w:ascii="宋体" w:hAnsi="宋体" w:cs="Arial"/>
          <w:color w:val="000000"/>
          <w:sz w:val="30"/>
          <w:szCs w:val="30"/>
        </w:rPr>
        <w:t>附件</w:t>
      </w:r>
      <w:r>
        <w:rPr>
          <w:rFonts w:ascii="宋体" w:hAnsi="宋体" w:cs="Arial"/>
          <w:color w:val="000000"/>
          <w:sz w:val="30"/>
          <w:szCs w:val="30"/>
        </w:rPr>
        <w:t>2</w:t>
      </w:r>
    </w:p>
    <w:tbl>
      <w:tblPr>
        <w:tblStyle w:val="15"/>
        <w:tblW w:w="9227" w:type="dxa"/>
        <w:tblInd w:w="95" w:type="dxa"/>
        <w:tblLayout w:type="fixed"/>
        <w:tblCellMar>
          <w:top w:w="0" w:type="dxa"/>
          <w:left w:w="108" w:type="dxa"/>
          <w:bottom w:w="0" w:type="dxa"/>
          <w:right w:w="108" w:type="dxa"/>
        </w:tblCellMar>
      </w:tblPr>
      <w:tblGrid>
        <w:gridCol w:w="1431"/>
        <w:gridCol w:w="2069"/>
        <w:gridCol w:w="1191"/>
        <w:gridCol w:w="1559"/>
        <w:gridCol w:w="1276"/>
        <w:gridCol w:w="1701"/>
      </w:tblGrid>
      <w:tr>
        <w:tblPrEx>
          <w:tblLayout w:type="fixed"/>
          <w:tblCellMar>
            <w:top w:w="0" w:type="dxa"/>
            <w:left w:w="108" w:type="dxa"/>
            <w:bottom w:w="0" w:type="dxa"/>
            <w:right w:w="108" w:type="dxa"/>
          </w:tblCellMar>
        </w:tblPrEx>
        <w:trPr>
          <w:trHeight w:val="444" w:hRule="atLeast"/>
        </w:trPr>
        <w:tc>
          <w:tcPr>
            <w:tcW w:w="9227" w:type="dxa"/>
            <w:gridSpan w:val="6"/>
            <w:tcBorders>
              <w:top w:val="nil"/>
              <w:left w:val="nil"/>
              <w:bottom w:val="nil"/>
              <w:right w:val="nil"/>
            </w:tcBorders>
            <w:shd w:val="clear" w:color="auto" w:fill="auto"/>
            <w:vAlign w:val="center"/>
          </w:tcPr>
          <w:p>
            <w:pPr>
              <w:widowControl/>
              <w:ind w:firstLine="3022" w:firstLineChars="687"/>
              <w:rPr>
                <w:rFonts w:ascii="黑体" w:hAnsi="黑体" w:eastAsia="黑体" w:cs="宋体"/>
                <w:kern w:val="0"/>
                <w:sz w:val="44"/>
                <w:szCs w:val="44"/>
              </w:rPr>
            </w:pPr>
            <w:r>
              <w:rPr>
                <w:rFonts w:hint="eastAsia" w:ascii="黑体" w:hAnsi="黑体" w:eastAsia="黑体" w:cs="宋体"/>
                <w:kern w:val="0"/>
                <w:sz w:val="44"/>
                <w:szCs w:val="44"/>
              </w:rPr>
              <w:t>供应商调查表</w:t>
            </w:r>
          </w:p>
        </w:tc>
      </w:tr>
      <w:tr>
        <w:tblPrEx>
          <w:tblLayout w:type="fixed"/>
          <w:tblCellMar>
            <w:top w:w="0" w:type="dxa"/>
            <w:left w:w="108" w:type="dxa"/>
            <w:bottom w:w="0" w:type="dxa"/>
            <w:right w:w="108" w:type="dxa"/>
          </w:tblCellMar>
        </w:tblPrEx>
        <w:trPr>
          <w:trHeight w:val="399" w:hRule="atLeast"/>
        </w:trPr>
        <w:tc>
          <w:tcPr>
            <w:tcW w:w="9227" w:type="dxa"/>
            <w:gridSpan w:val="6"/>
            <w:tcBorders>
              <w:top w:val="nil"/>
              <w:left w:val="nil"/>
              <w:bottom w:val="single" w:color="auto" w:sz="8" w:space="0"/>
              <w:right w:val="nil"/>
            </w:tcBorders>
            <w:shd w:val="clear" w:color="auto" w:fill="auto"/>
            <w:vAlign w:val="center"/>
          </w:tcPr>
          <w:p>
            <w:pPr>
              <w:widowControl/>
              <w:rPr>
                <w:rFonts w:ascii="宋体" w:hAnsi="宋体" w:cs="宋体"/>
                <w:kern w:val="0"/>
                <w:szCs w:val="21"/>
              </w:rPr>
            </w:pPr>
            <w:r>
              <w:rPr>
                <w:rFonts w:hint="eastAsia" w:ascii="宋体" w:hAnsi="宋体" w:cs="宋体"/>
                <w:kern w:val="0"/>
                <w:szCs w:val="21"/>
              </w:rPr>
              <w:t>项目名称：岭南印象园博物馆2#专变房10kV高压供电电缆修复工程</w:t>
            </w:r>
          </w:p>
        </w:tc>
      </w:tr>
      <w:tr>
        <w:tblPrEx>
          <w:tblLayout w:type="fixed"/>
          <w:tblCellMar>
            <w:top w:w="0" w:type="dxa"/>
            <w:left w:w="108" w:type="dxa"/>
            <w:bottom w:w="0" w:type="dxa"/>
            <w:right w:w="108" w:type="dxa"/>
          </w:tblCellMar>
        </w:tblPrEx>
        <w:trPr>
          <w:trHeight w:val="399"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xml:space="preserve">供应商名称 </w:t>
            </w:r>
          </w:p>
        </w:tc>
        <w:tc>
          <w:tcPr>
            <w:tcW w:w="481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27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法人代表</w:t>
            </w:r>
          </w:p>
        </w:tc>
        <w:tc>
          <w:tcPr>
            <w:tcW w:w="170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rPr>
            </w:pPr>
          </w:p>
        </w:tc>
      </w:tr>
      <w:tr>
        <w:tblPrEx>
          <w:tblLayout w:type="fixed"/>
          <w:tblCellMar>
            <w:top w:w="0" w:type="dxa"/>
            <w:left w:w="108" w:type="dxa"/>
            <w:bottom w:w="0" w:type="dxa"/>
            <w:right w:w="108" w:type="dxa"/>
          </w:tblCellMar>
        </w:tblPrEx>
        <w:trPr>
          <w:trHeight w:val="399"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详细地址</w:t>
            </w:r>
          </w:p>
        </w:tc>
        <w:tc>
          <w:tcPr>
            <w:tcW w:w="481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27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邮    编</w:t>
            </w:r>
          </w:p>
        </w:tc>
        <w:tc>
          <w:tcPr>
            <w:tcW w:w="170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rPr>
            </w:pPr>
          </w:p>
        </w:tc>
      </w:tr>
      <w:tr>
        <w:tblPrEx>
          <w:tblLayout w:type="fixed"/>
          <w:tblCellMar>
            <w:top w:w="0" w:type="dxa"/>
            <w:left w:w="108" w:type="dxa"/>
            <w:bottom w:w="0" w:type="dxa"/>
            <w:right w:w="108" w:type="dxa"/>
          </w:tblCellMar>
        </w:tblPrEx>
        <w:trPr>
          <w:trHeight w:val="876"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成立日期</w:t>
            </w:r>
          </w:p>
        </w:tc>
        <w:tc>
          <w:tcPr>
            <w:tcW w:w="206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19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营业执照号码</w:t>
            </w:r>
          </w:p>
        </w:tc>
        <w:tc>
          <w:tcPr>
            <w:tcW w:w="155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27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发证机构</w:t>
            </w:r>
          </w:p>
        </w:tc>
        <w:tc>
          <w:tcPr>
            <w:tcW w:w="170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rPr>
            </w:pPr>
          </w:p>
        </w:tc>
      </w:tr>
      <w:tr>
        <w:tblPrEx>
          <w:tblLayout w:type="fixed"/>
          <w:tblCellMar>
            <w:top w:w="0" w:type="dxa"/>
            <w:left w:w="108" w:type="dxa"/>
            <w:bottom w:w="0" w:type="dxa"/>
            <w:right w:w="108" w:type="dxa"/>
          </w:tblCellMar>
        </w:tblPrEx>
        <w:trPr>
          <w:trHeight w:val="399"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固定电话号码</w:t>
            </w:r>
          </w:p>
        </w:tc>
        <w:tc>
          <w:tcPr>
            <w:tcW w:w="206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19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传真号码</w:t>
            </w:r>
          </w:p>
        </w:tc>
        <w:tc>
          <w:tcPr>
            <w:tcW w:w="155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27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注册资金</w:t>
            </w:r>
          </w:p>
        </w:tc>
        <w:tc>
          <w:tcPr>
            <w:tcW w:w="170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rPr>
            </w:pPr>
          </w:p>
        </w:tc>
      </w:tr>
      <w:tr>
        <w:tblPrEx>
          <w:tblLayout w:type="fixed"/>
          <w:tblCellMar>
            <w:top w:w="0" w:type="dxa"/>
            <w:left w:w="108" w:type="dxa"/>
            <w:bottom w:w="0" w:type="dxa"/>
            <w:right w:w="108" w:type="dxa"/>
          </w:tblCellMar>
        </w:tblPrEx>
        <w:trPr>
          <w:trHeight w:val="399"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公司类型</w:t>
            </w:r>
          </w:p>
        </w:tc>
        <w:tc>
          <w:tcPr>
            <w:tcW w:w="326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rPr>
            </w:pPr>
          </w:p>
        </w:tc>
        <w:tc>
          <w:tcPr>
            <w:tcW w:w="155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机构性质</w:t>
            </w:r>
          </w:p>
        </w:tc>
        <w:tc>
          <w:tcPr>
            <w:tcW w:w="297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rPr>
            </w:pPr>
          </w:p>
        </w:tc>
      </w:tr>
      <w:tr>
        <w:tblPrEx>
          <w:tblLayout w:type="fixed"/>
          <w:tblCellMar>
            <w:top w:w="0" w:type="dxa"/>
            <w:left w:w="108" w:type="dxa"/>
            <w:bottom w:w="0" w:type="dxa"/>
            <w:right w:w="108" w:type="dxa"/>
          </w:tblCellMar>
        </w:tblPrEx>
        <w:trPr>
          <w:trHeight w:val="399"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项目联系人</w:t>
            </w:r>
          </w:p>
        </w:tc>
        <w:tc>
          <w:tcPr>
            <w:tcW w:w="326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rPr>
            </w:pPr>
          </w:p>
        </w:tc>
        <w:tc>
          <w:tcPr>
            <w:tcW w:w="155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联系电话</w:t>
            </w:r>
          </w:p>
        </w:tc>
        <w:tc>
          <w:tcPr>
            <w:tcW w:w="297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rPr>
            </w:pPr>
          </w:p>
        </w:tc>
      </w:tr>
      <w:tr>
        <w:tblPrEx>
          <w:tblLayout w:type="fixed"/>
          <w:tblCellMar>
            <w:top w:w="0" w:type="dxa"/>
            <w:left w:w="108" w:type="dxa"/>
            <w:bottom w:w="0" w:type="dxa"/>
            <w:right w:w="108" w:type="dxa"/>
          </w:tblCellMar>
        </w:tblPrEx>
        <w:trPr>
          <w:trHeight w:val="399"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经营范围</w:t>
            </w:r>
          </w:p>
        </w:tc>
        <w:tc>
          <w:tcPr>
            <w:tcW w:w="7796"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宋体" w:hAnsi="宋体" w:cs="宋体"/>
                <w:b/>
                <w:bCs/>
                <w:kern w:val="0"/>
                <w:sz w:val="24"/>
              </w:rPr>
            </w:pPr>
          </w:p>
          <w:p>
            <w:pPr>
              <w:widowControl/>
              <w:rPr>
                <w:rFonts w:ascii="宋体" w:hAnsi="宋体" w:cs="宋体"/>
                <w:b/>
                <w:bCs/>
                <w:kern w:val="0"/>
                <w:sz w:val="24"/>
              </w:rPr>
            </w:pPr>
          </w:p>
          <w:p>
            <w:pPr>
              <w:widowControl/>
              <w:rPr>
                <w:rFonts w:ascii="宋体" w:hAnsi="宋体" w:cs="宋体"/>
                <w:b/>
                <w:bCs/>
                <w:kern w:val="0"/>
                <w:sz w:val="24"/>
              </w:rPr>
            </w:pPr>
          </w:p>
          <w:p>
            <w:pPr>
              <w:widowControl/>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序号</w:t>
            </w:r>
          </w:p>
        </w:tc>
        <w:tc>
          <w:tcPr>
            <w:tcW w:w="481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资质证书（认证项目）名称</w:t>
            </w:r>
          </w:p>
        </w:tc>
        <w:tc>
          <w:tcPr>
            <w:tcW w:w="297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发证机关</w:t>
            </w: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p>
        </w:tc>
        <w:tc>
          <w:tcPr>
            <w:tcW w:w="481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297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w:t>
            </w:r>
          </w:p>
        </w:tc>
        <w:tc>
          <w:tcPr>
            <w:tcW w:w="481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297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w:t>
            </w:r>
          </w:p>
        </w:tc>
        <w:tc>
          <w:tcPr>
            <w:tcW w:w="481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297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481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297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主要服务行业</w:t>
            </w:r>
          </w:p>
        </w:tc>
        <w:tc>
          <w:tcPr>
            <w:tcW w:w="326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55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主要客户</w:t>
            </w:r>
          </w:p>
        </w:tc>
        <w:tc>
          <w:tcPr>
            <w:tcW w:w="297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9227"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近三年类似业绩</w:t>
            </w: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序号</w:t>
            </w:r>
          </w:p>
        </w:tc>
        <w:tc>
          <w:tcPr>
            <w:tcW w:w="326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服务单位</w:t>
            </w:r>
          </w:p>
        </w:tc>
        <w:tc>
          <w:tcPr>
            <w:tcW w:w="4536"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项目内容</w:t>
            </w: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p>
        </w:tc>
        <w:tc>
          <w:tcPr>
            <w:tcW w:w="326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4536"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w:t>
            </w:r>
          </w:p>
        </w:tc>
        <w:tc>
          <w:tcPr>
            <w:tcW w:w="326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4536"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w:t>
            </w:r>
          </w:p>
        </w:tc>
        <w:tc>
          <w:tcPr>
            <w:tcW w:w="326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4536" w:type="dxa"/>
            <w:gridSpan w:val="3"/>
            <w:tcBorders>
              <w:top w:val="single" w:color="auto" w:sz="8" w:space="0"/>
              <w:left w:val="single" w:color="auto" w:sz="8" w:space="0"/>
              <w:bottom w:val="single" w:color="auto" w:sz="8" w:space="0"/>
              <w:right w:val="single" w:color="auto" w:sz="8" w:space="0"/>
            </w:tcBorders>
            <w:shd w:val="clear" w:color="auto" w:fill="auto"/>
          </w:tcPr>
          <w:p>
            <w:pPr>
              <w:widowControl/>
              <w:jc w:val="center"/>
              <w:rPr>
                <w:b/>
                <w:bCs/>
                <w:kern w:val="0"/>
                <w:sz w:val="24"/>
              </w:rPr>
            </w:pPr>
          </w:p>
        </w:tc>
      </w:tr>
    </w:tbl>
    <w:p>
      <w:pPr>
        <w:spacing w:line="400" w:lineRule="exact"/>
        <w:ind w:left="560" w:hanging="560" w:hangingChars="200"/>
        <w:rPr>
          <w:sz w:val="28"/>
          <w:szCs w:val="28"/>
        </w:rPr>
      </w:pPr>
    </w:p>
    <w:p>
      <w:pPr>
        <w:spacing w:line="400" w:lineRule="exact"/>
        <w:ind w:left="560" w:hanging="560" w:hangingChars="200"/>
        <w:rPr>
          <w:sz w:val="28"/>
          <w:szCs w:val="28"/>
        </w:rPr>
      </w:pPr>
    </w:p>
    <w:p>
      <w:pPr>
        <w:spacing w:line="400" w:lineRule="exact"/>
        <w:ind w:left="560" w:hanging="560" w:hangingChars="200"/>
        <w:rPr>
          <w:sz w:val="28"/>
          <w:szCs w:val="28"/>
        </w:rPr>
      </w:pPr>
      <w:r>
        <w:rPr>
          <w:sz w:val="28"/>
          <w:szCs w:val="28"/>
        </w:rPr>
        <w:t>投标单位</w:t>
      </w:r>
      <w:r>
        <w:rPr>
          <w:rFonts w:hint="eastAsia"/>
          <w:sz w:val="28"/>
          <w:szCs w:val="28"/>
        </w:rPr>
        <w:t>（盖章）：</w:t>
      </w:r>
    </w:p>
    <w:p>
      <w:pPr>
        <w:spacing w:line="400" w:lineRule="exact"/>
        <w:ind w:left="560" w:hanging="560" w:hangingChars="200"/>
        <w:rPr>
          <w:sz w:val="28"/>
          <w:szCs w:val="28"/>
        </w:rPr>
      </w:pPr>
    </w:p>
    <w:p>
      <w:pPr>
        <w:spacing w:line="400" w:lineRule="exact"/>
        <w:ind w:left="560" w:hanging="560" w:hangingChars="200"/>
        <w:rPr>
          <w:sz w:val="28"/>
          <w:szCs w:val="28"/>
        </w:rPr>
      </w:pPr>
      <w:r>
        <w:rPr>
          <w:rFonts w:hint="eastAsia"/>
          <w:sz w:val="28"/>
          <w:szCs w:val="28"/>
        </w:rPr>
        <w:t>日期：202</w:t>
      </w:r>
      <w:r>
        <w:rPr>
          <w:sz w:val="28"/>
          <w:szCs w:val="28"/>
        </w:rPr>
        <w:t>1</w:t>
      </w:r>
      <w:r>
        <w:rPr>
          <w:rFonts w:hint="eastAsia"/>
          <w:sz w:val="28"/>
          <w:szCs w:val="28"/>
        </w:rPr>
        <w:t xml:space="preserve">年 </w:t>
      </w:r>
      <w:r>
        <w:rPr>
          <w:sz w:val="28"/>
          <w:szCs w:val="28"/>
        </w:rPr>
        <w:t xml:space="preserve">  </w:t>
      </w:r>
      <w:r>
        <w:rPr>
          <w:rFonts w:hint="eastAsia"/>
          <w:sz w:val="28"/>
          <w:szCs w:val="28"/>
        </w:rPr>
        <w:t xml:space="preserve">月 </w:t>
      </w:r>
      <w:r>
        <w:rPr>
          <w:sz w:val="28"/>
          <w:szCs w:val="28"/>
        </w:rPr>
        <w:t xml:space="preserve"> </w:t>
      </w:r>
      <w:r>
        <w:rPr>
          <w:rFonts w:hint="eastAsia"/>
          <w:sz w:val="28"/>
          <w:szCs w:val="28"/>
        </w:rPr>
        <w:t>日</w:t>
      </w:r>
    </w:p>
    <w:p>
      <w:pPr>
        <w:spacing w:line="400" w:lineRule="exact"/>
        <w:ind w:left="560" w:hanging="560" w:hangingChars="200"/>
        <w:rPr>
          <w:rFonts w:ascii="宋体" w:hAnsi="宋体"/>
          <w:bCs/>
          <w:sz w:val="30"/>
          <w:szCs w:val="30"/>
        </w:rPr>
      </w:pPr>
      <w:r>
        <w:rPr>
          <w:sz w:val="28"/>
          <w:szCs w:val="28"/>
        </w:rPr>
        <w:br w:type="page"/>
      </w:r>
      <w:r>
        <w:rPr>
          <w:rFonts w:hint="eastAsia" w:ascii="宋体" w:hAnsi="宋体"/>
          <w:bCs/>
          <w:sz w:val="30"/>
          <w:szCs w:val="30"/>
        </w:rPr>
        <w:t>附件</w:t>
      </w:r>
      <w:r>
        <w:rPr>
          <w:rFonts w:ascii="宋体" w:hAnsi="宋体"/>
          <w:bCs/>
          <w:sz w:val="30"/>
          <w:szCs w:val="30"/>
        </w:rPr>
        <w:t>3</w:t>
      </w:r>
    </w:p>
    <w:p>
      <w:pPr>
        <w:spacing w:line="500" w:lineRule="exact"/>
        <w:jc w:val="center"/>
        <w:rPr>
          <w:rFonts w:eastAsia="黑体"/>
          <w:b/>
          <w:bCs/>
          <w:sz w:val="36"/>
        </w:rPr>
      </w:pPr>
      <w:r>
        <w:rPr>
          <w:rFonts w:hint="eastAsia" w:eastAsia="黑体"/>
          <w:b/>
          <w:bCs/>
          <w:sz w:val="36"/>
        </w:rPr>
        <w:t>法定代表人身份证明书</w:t>
      </w:r>
    </w:p>
    <w:p>
      <w:pPr>
        <w:spacing w:line="500" w:lineRule="exact"/>
        <w:jc w:val="center"/>
        <w:rPr>
          <w:b/>
          <w:bCs/>
          <w:szCs w:val="21"/>
        </w:rPr>
      </w:pPr>
    </w:p>
    <w:p>
      <w:pPr>
        <w:spacing w:line="500" w:lineRule="exact"/>
        <w:ind w:firstLine="560" w:firstLineChars="200"/>
        <w:rPr>
          <w:rFonts w:ascii="宋体" w:hAnsi="宋体" w:cs="宋体"/>
          <w:sz w:val="28"/>
        </w:rPr>
      </w:pPr>
      <w:r>
        <w:rPr>
          <w:rFonts w:hint="eastAsia" w:ascii="宋体" w:hAnsi="宋体" w:cs="宋体"/>
          <w:sz w:val="28"/>
          <w:u w:val="single"/>
        </w:rPr>
        <w:t xml:space="preserve"> </w:t>
      </w:r>
      <w:r>
        <w:rPr>
          <w:rFonts w:ascii="宋体" w:hAnsi="宋体" w:cs="宋体"/>
          <w:sz w:val="28"/>
          <w:u w:val="single"/>
        </w:rPr>
        <w:t xml:space="preserve">       </w:t>
      </w:r>
      <w:r>
        <w:rPr>
          <w:rFonts w:hint="eastAsia" w:ascii="宋体" w:hAnsi="宋体" w:cs="宋体"/>
          <w:sz w:val="28"/>
        </w:rPr>
        <w:t>在我单位任</w:t>
      </w:r>
      <w:r>
        <w:rPr>
          <w:rFonts w:hint="eastAsia" w:ascii="宋体" w:hAnsi="宋体" w:cs="宋体"/>
          <w:sz w:val="28"/>
          <w:u w:val="single"/>
        </w:rPr>
        <w:t xml:space="preserve"> </w:t>
      </w:r>
      <w:r>
        <w:rPr>
          <w:rFonts w:ascii="宋体" w:hAnsi="宋体" w:cs="宋体"/>
          <w:sz w:val="28"/>
          <w:u w:val="single"/>
        </w:rPr>
        <w:t xml:space="preserve">       </w:t>
      </w:r>
      <w:r>
        <w:rPr>
          <w:rFonts w:hint="eastAsia" w:ascii="宋体" w:hAnsi="宋体" w:cs="宋体"/>
          <w:sz w:val="28"/>
        </w:rPr>
        <w:t>职务，是我单位法定代表人，身份证号为</w:t>
      </w:r>
      <w:r>
        <w:rPr>
          <w:rFonts w:hint="eastAsia" w:ascii="宋体" w:hAnsi="宋体" w:cs="宋体"/>
          <w:sz w:val="28"/>
          <w:u w:val="single"/>
        </w:rPr>
        <w:t xml:space="preserve"> </w:t>
      </w:r>
      <w:r>
        <w:rPr>
          <w:rFonts w:ascii="宋体" w:hAnsi="宋体" w:cs="宋体"/>
          <w:sz w:val="28"/>
          <w:u w:val="single"/>
        </w:rPr>
        <w:t xml:space="preserve">                         </w:t>
      </w:r>
      <w:r>
        <w:rPr>
          <w:rFonts w:hint="eastAsia" w:ascii="宋体" w:hAnsi="宋体" w:cs="宋体"/>
          <w:sz w:val="28"/>
        </w:rPr>
        <w:t>，特此证明。</w:t>
      </w:r>
    </w:p>
    <w:p>
      <w:pPr>
        <w:spacing w:line="500" w:lineRule="exact"/>
        <w:ind w:firstLine="627" w:firstLineChars="224"/>
        <w:rPr>
          <w:rFonts w:ascii="宋体" w:hAnsi="宋体" w:cs="宋体"/>
          <w:sz w:val="28"/>
        </w:rPr>
      </w:pPr>
    </w:p>
    <w:p>
      <w:pPr>
        <w:spacing w:line="500" w:lineRule="exact"/>
        <w:jc w:val="left"/>
        <w:rPr>
          <w:rFonts w:ascii="宋体" w:hAnsi="宋体" w:cs="宋体"/>
          <w:sz w:val="28"/>
        </w:rPr>
      </w:pPr>
      <w:r>
        <w:rPr>
          <w:rFonts w:hint="eastAsia" w:ascii="宋体" w:hAnsi="宋体" w:cs="宋体"/>
          <w:sz w:val="28"/>
        </w:rPr>
        <w:t>（单位盖章）</w:t>
      </w:r>
    </w:p>
    <w:p>
      <w:pPr>
        <w:spacing w:line="500" w:lineRule="exact"/>
        <w:ind w:firstLine="627" w:firstLineChars="224"/>
        <w:rPr>
          <w:rFonts w:hAnsi="宋体" w:cs="宋体"/>
          <w:sz w:val="28"/>
          <w:szCs w:val="28"/>
        </w:rPr>
      </w:pPr>
    </w:p>
    <w:p>
      <w:pPr>
        <w:spacing w:line="500" w:lineRule="exact"/>
        <w:rPr>
          <w:rFonts w:ascii="宋体" w:hAnsi="宋体" w:cs="宋体"/>
          <w:sz w:val="28"/>
        </w:rPr>
      </w:pPr>
      <w:r>
        <w:rPr>
          <w:rFonts w:hint="eastAsia" w:hAnsi="宋体" w:cs="宋体"/>
          <w:sz w:val="28"/>
          <w:szCs w:val="28"/>
        </w:rPr>
        <w:t>日期：202</w:t>
      </w:r>
      <w:r>
        <w:rPr>
          <w:rFonts w:hAnsi="宋体" w:cs="宋体"/>
          <w:sz w:val="28"/>
          <w:szCs w:val="28"/>
        </w:rPr>
        <w:t>1</w:t>
      </w:r>
      <w:r>
        <w:rPr>
          <w:rFonts w:hint="eastAsia" w:hAnsi="宋体" w:cs="宋体"/>
          <w:sz w:val="28"/>
          <w:szCs w:val="28"/>
        </w:rPr>
        <w:t xml:space="preserve">年 </w:t>
      </w:r>
      <w:r>
        <w:rPr>
          <w:rFonts w:hAnsi="宋体" w:cs="宋体"/>
          <w:sz w:val="28"/>
          <w:szCs w:val="28"/>
        </w:rPr>
        <w:t xml:space="preserve">  </w:t>
      </w:r>
      <w:r>
        <w:rPr>
          <w:rFonts w:hint="eastAsia" w:hAnsi="宋体" w:cs="宋体"/>
          <w:sz w:val="28"/>
          <w:szCs w:val="28"/>
        </w:rPr>
        <w:t xml:space="preserve">月 </w:t>
      </w:r>
      <w:r>
        <w:rPr>
          <w:rFonts w:hAnsi="宋体" w:cs="宋体"/>
          <w:sz w:val="28"/>
          <w:szCs w:val="28"/>
        </w:rPr>
        <w:t xml:space="preserve"> </w:t>
      </w:r>
      <w:r>
        <w:rPr>
          <w:rFonts w:hint="eastAsia" w:hAnsi="宋体" w:cs="宋体"/>
          <w:sz w:val="28"/>
          <w:szCs w:val="28"/>
        </w:rPr>
        <w:t>日</w:t>
      </w:r>
    </w:p>
    <w:p>
      <w:pPr>
        <w:spacing w:line="500" w:lineRule="exact"/>
        <w:rPr>
          <w:rFonts w:ascii="宋体" w:hAnsi="宋体" w:cs="宋体"/>
          <w:sz w:val="28"/>
        </w:rPr>
      </w:pPr>
      <w:r>
        <w:rPr>
          <w:rFonts w:hint="eastAsia" w:ascii="宋体" w:hAnsi="宋体" w:cs="宋体"/>
          <w:sz w:val="28"/>
        </w:rPr>
        <w:t xml:space="preserve">单位通信地址：                                </w:t>
      </w:r>
    </w:p>
    <w:p>
      <w:pPr>
        <w:spacing w:line="500" w:lineRule="exact"/>
        <w:rPr>
          <w:rFonts w:ascii="宋体" w:hAnsi="宋体" w:cs="宋体"/>
          <w:sz w:val="28"/>
        </w:rPr>
      </w:pPr>
    </w:p>
    <w:p>
      <w:pPr>
        <w:spacing w:line="500" w:lineRule="exact"/>
        <w:rPr>
          <w:rFonts w:ascii="宋体" w:hAnsi="宋体" w:cs="宋体"/>
          <w:sz w:val="28"/>
        </w:rPr>
      </w:pPr>
      <w:r>
        <w:rPr>
          <w:rFonts w:hint="eastAsia" w:ascii="宋体" w:hAnsi="宋体" w:cs="宋体"/>
          <w:sz w:val="28"/>
        </w:rPr>
        <w:t xml:space="preserve">邮政编码：                 单位联系电话：   </w:t>
      </w:r>
    </w:p>
    <w:p/>
    <w:p>
      <w:pPr>
        <w:spacing w:line="360" w:lineRule="auto"/>
        <w:rPr>
          <w:rFonts w:ascii="宋体" w:hAnsi="宋体" w:cs="Arial"/>
          <w:color w:val="000000"/>
          <w:sz w:val="28"/>
          <w:szCs w:val="28"/>
        </w:rPr>
      </w:pPr>
      <w:r>
        <w:rPr>
          <w:rFonts w:hint="eastAsia" w:ascii="宋体" w:hAnsi="宋体" w:cs="Arial"/>
          <w:color w:val="000000"/>
          <w:sz w:val="28"/>
          <w:szCs w:val="28"/>
        </w:rPr>
        <w:t>附：法定代表人身份证正反面或其他身份证明材料复印件</w:t>
      </w:r>
    </w:p>
    <w:p>
      <w:pPr>
        <w:spacing w:line="360" w:lineRule="auto"/>
        <w:rPr>
          <w:rFonts w:ascii="宋体" w:hAnsi="宋体" w:cs="Arial"/>
          <w:color w:val="000000"/>
          <w:sz w:val="28"/>
          <w:szCs w:val="28"/>
        </w:rPr>
      </w:pPr>
    </w:p>
    <w:p>
      <w:pPr>
        <w:spacing w:line="360" w:lineRule="auto"/>
        <w:rPr>
          <w:rFonts w:ascii="宋体" w:hAnsi="宋体" w:cs="Arial"/>
          <w:color w:val="000000"/>
          <w:sz w:val="30"/>
          <w:szCs w:val="30"/>
        </w:rPr>
      </w:pPr>
      <w:r>
        <w:rPr>
          <w:rFonts w:hint="eastAsia" w:ascii="宋体" w:hAnsi="宋体" w:cs="Arial"/>
          <w:color w:val="000000"/>
          <w:sz w:val="28"/>
          <w:szCs w:val="28"/>
        </w:rPr>
        <w:br w:type="page"/>
      </w:r>
      <w:r>
        <w:rPr>
          <w:rFonts w:hint="eastAsia" w:ascii="宋体" w:hAnsi="宋体" w:cs="黑体"/>
          <w:color w:val="000000"/>
          <w:sz w:val="30"/>
          <w:szCs w:val="30"/>
        </w:rPr>
        <w:t>附件</w:t>
      </w:r>
      <w:r>
        <w:rPr>
          <w:rFonts w:ascii="宋体" w:hAnsi="宋体" w:cs="黑体"/>
          <w:color w:val="000000"/>
          <w:sz w:val="30"/>
          <w:szCs w:val="30"/>
        </w:rPr>
        <w:t>4</w:t>
      </w:r>
    </w:p>
    <w:p>
      <w:pPr>
        <w:spacing w:line="500" w:lineRule="exact"/>
        <w:ind w:firstLine="2168" w:firstLineChars="600"/>
        <w:rPr>
          <w:rFonts w:eastAsia="黑体"/>
          <w:b/>
          <w:bCs/>
          <w:sz w:val="36"/>
        </w:rPr>
      </w:pPr>
      <w:r>
        <w:rPr>
          <w:rFonts w:hint="eastAsia" w:eastAsia="黑体"/>
          <w:b/>
          <w:bCs/>
          <w:sz w:val="36"/>
        </w:rPr>
        <w:t>法定代表人授权委托证明书</w:t>
      </w:r>
    </w:p>
    <w:p>
      <w:pPr>
        <w:pStyle w:val="18"/>
        <w:spacing w:line="360" w:lineRule="auto"/>
        <w:ind w:firstLine="424" w:firstLineChars="177"/>
        <w:rPr>
          <w:rFonts w:hAnsi="宋体"/>
          <w:bCs/>
          <w:sz w:val="24"/>
          <w:szCs w:val="24"/>
        </w:rPr>
      </w:pPr>
    </w:p>
    <w:p>
      <w:pPr>
        <w:pStyle w:val="18"/>
        <w:spacing w:line="360" w:lineRule="auto"/>
        <w:ind w:firstLine="480" w:firstLineChars="200"/>
        <w:rPr>
          <w:rFonts w:hAnsi="宋体"/>
          <w:sz w:val="24"/>
          <w:szCs w:val="24"/>
        </w:rPr>
      </w:pPr>
      <w:r>
        <w:rPr>
          <w:rFonts w:hint="eastAsia" w:hAnsi="宋体"/>
          <w:bCs/>
          <w:sz w:val="24"/>
          <w:szCs w:val="24"/>
        </w:rPr>
        <w:t>兹授权</w:t>
      </w:r>
      <w:r>
        <w:rPr>
          <w:rFonts w:hint="eastAsia" w:hAnsi="宋体"/>
          <w:bCs/>
          <w:sz w:val="24"/>
          <w:szCs w:val="24"/>
          <w:u w:val="single"/>
        </w:rPr>
        <w:t>（委托代理人姓名）</w:t>
      </w:r>
      <w:r>
        <w:rPr>
          <w:rFonts w:hint="eastAsia" w:hAnsi="宋体"/>
          <w:bCs/>
          <w:sz w:val="24"/>
          <w:szCs w:val="24"/>
        </w:rPr>
        <w:t>为我方委托代理人，其权限是：</w:t>
      </w:r>
      <w:r>
        <w:rPr>
          <w:rFonts w:hint="eastAsia" w:hAnsi="宋体"/>
          <w:sz w:val="24"/>
          <w:szCs w:val="24"/>
        </w:rPr>
        <w:t xml:space="preserve">办理                       </w:t>
      </w:r>
      <w:r>
        <w:rPr>
          <w:rFonts w:hint="eastAsia" w:hAnsi="宋体"/>
          <w:sz w:val="24"/>
          <w:szCs w:val="24"/>
          <w:u w:val="single"/>
        </w:rPr>
        <w:t>广州大学城投资经营管理有限公司</w:t>
      </w:r>
      <w:r>
        <w:rPr>
          <w:rFonts w:hint="eastAsia" w:hAnsi="宋体"/>
          <w:sz w:val="24"/>
          <w:szCs w:val="24"/>
        </w:rPr>
        <w:t>组织的“</w:t>
      </w:r>
      <w:r>
        <w:rPr>
          <w:rFonts w:hint="eastAsia" w:hAnsi="宋体"/>
          <w:sz w:val="24"/>
          <w:szCs w:val="24"/>
          <w:u w:val="single"/>
        </w:rPr>
        <w:t>岭南印象园博物馆2#专变房10kV高压供电电缆修复工程</w:t>
      </w:r>
      <w:r>
        <w:rPr>
          <w:rFonts w:hint="eastAsia" w:hAnsi="宋体"/>
          <w:sz w:val="24"/>
          <w:szCs w:val="24"/>
        </w:rPr>
        <w:t>”的投标和合同执行，以我方的名义处理一切与之有关的事宜。</w:t>
      </w:r>
    </w:p>
    <w:p>
      <w:pPr>
        <w:pStyle w:val="18"/>
        <w:spacing w:line="360" w:lineRule="auto"/>
        <w:ind w:firstLine="480" w:firstLineChars="200"/>
        <w:rPr>
          <w:rFonts w:hAnsi="宋体"/>
          <w:bCs/>
          <w:sz w:val="24"/>
          <w:szCs w:val="24"/>
        </w:rPr>
      </w:pPr>
      <w:r>
        <w:rPr>
          <w:rFonts w:hint="eastAsia" w:hAnsi="宋体"/>
          <w:sz w:val="24"/>
          <w:szCs w:val="24"/>
          <w:lang w:val="en-GB"/>
        </w:rPr>
        <w:t>本</w:t>
      </w:r>
      <w:r>
        <w:rPr>
          <w:rFonts w:hint="eastAsia" w:hAnsi="宋体"/>
          <w:sz w:val="24"/>
          <w:szCs w:val="24"/>
        </w:rPr>
        <w:t>授权书</w:t>
      </w:r>
      <w:r>
        <w:rPr>
          <w:rFonts w:hint="eastAsia" w:hAnsi="宋体"/>
          <w:sz w:val="24"/>
          <w:szCs w:val="24"/>
          <w:lang w:val="en-GB"/>
        </w:rPr>
        <w:t>自</w:t>
      </w:r>
      <w:r>
        <w:rPr>
          <w:rFonts w:hint="eastAsia" w:hAnsi="宋体"/>
          <w:sz w:val="24"/>
          <w:szCs w:val="24"/>
        </w:rPr>
        <w:t>年月日</w:t>
      </w:r>
      <w:r>
        <w:rPr>
          <w:rFonts w:hint="eastAsia" w:hAnsi="宋体"/>
          <w:sz w:val="24"/>
          <w:szCs w:val="24"/>
          <w:lang w:val="en-GB"/>
        </w:rPr>
        <w:t>签章之日起生效，特此声明。</w:t>
      </w:r>
    </w:p>
    <w:p>
      <w:pPr>
        <w:pStyle w:val="18"/>
        <w:spacing w:line="360" w:lineRule="auto"/>
        <w:ind w:firstLine="480" w:firstLineChars="200"/>
        <w:rPr>
          <w:rFonts w:hAnsi="宋体"/>
          <w:sz w:val="24"/>
          <w:szCs w:val="24"/>
          <w:u w:val="single"/>
        </w:rPr>
      </w:pPr>
      <w:r>
        <w:rPr>
          <w:rFonts w:hint="eastAsia" w:hAnsi="宋体"/>
          <w:sz w:val="24"/>
          <w:szCs w:val="24"/>
        </w:rPr>
        <w:t>附：代理人性别：   年龄：   职务：</w:t>
      </w:r>
    </w:p>
    <w:p>
      <w:pPr>
        <w:pStyle w:val="18"/>
        <w:spacing w:line="360" w:lineRule="auto"/>
        <w:ind w:firstLine="480" w:firstLineChars="200"/>
        <w:rPr>
          <w:rFonts w:hAnsi="宋体"/>
          <w:sz w:val="24"/>
          <w:szCs w:val="24"/>
          <w:u w:val="single"/>
        </w:rPr>
      </w:pPr>
      <w:r>
        <w:rPr>
          <w:rFonts w:hint="eastAsia" w:hAnsi="宋体"/>
          <w:sz w:val="24"/>
          <w:szCs w:val="24"/>
        </w:rPr>
        <w:t>　　身份证号码：</w:t>
      </w:r>
    </w:p>
    <w:p>
      <w:pPr>
        <w:pStyle w:val="18"/>
        <w:spacing w:line="360" w:lineRule="auto"/>
        <w:ind w:firstLine="480" w:firstLineChars="200"/>
        <w:rPr>
          <w:rFonts w:hAnsi="宋体"/>
          <w:sz w:val="24"/>
          <w:szCs w:val="24"/>
          <w:u w:val="single"/>
        </w:rPr>
      </w:pPr>
      <w:r>
        <w:rPr>
          <w:rFonts w:hint="eastAsia" w:hAnsi="宋体"/>
          <w:sz w:val="24"/>
          <w:szCs w:val="24"/>
        </w:rPr>
        <w:t>　　（营业执照等）注册号码：</w:t>
      </w:r>
    </w:p>
    <w:p>
      <w:pPr>
        <w:pStyle w:val="18"/>
        <w:spacing w:line="360" w:lineRule="auto"/>
        <w:ind w:firstLine="480" w:firstLineChars="200"/>
        <w:rPr>
          <w:rFonts w:hAnsi="宋体"/>
          <w:sz w:val="24"/>
          <w:szCs w:val="24"/>
          <w:u w:val="single"/>
        </w:rPr>
      </w:pPr>
      <w:r>
        <w:rPr>
          <w:rFonts w:hint="eastAsia" w:hAnsi="宋体"/>
          <w:sz w:val="24"/>
          <w:szCs w:val="24"/>
        </w:rPr>
        <w:t>　　企业类型：</w:t>
      </w:r>
    </w:p>
    <w:p>
      <w:pPr>
        <w:pStyle w:val="18"/>
        <w:spacing w:line="360" w:lineRule="auto"/>
        <w:ind w:firstLine="480" w:firstLineChars="200"/>
        <w:rPr>
          <w:rFonts w:hAnsi="宋体"/>
          <w:sz w:val="24"/>
          <w:szCs w:val="24"/>
          <w:u w:val="single"/>
        </w:rPr>
      </w:pPr>
      <w:r>
        <w:rPr>
          <w:rFonts w:hint="eastAsia" w:hAnsi="宋体"/>
          <w:sz w:val="24"/>
          <w:szCs w:val="24"/>
        </w:rPr>
        <w:t>　　经营范围：</w:t>
      </w:r>
    </w:p>
    <w:p>
      <w:pPr>
        <w:pStyle w:val="18"/>
        <w:spacing w:line="360" w:lineRule="auto"/>
        <w:rPr>
          <w:rFonts w:hAnsi="宋体"/>
          <w:sz w:val="24"/>
          <w:szCs w:val="24"/>
        </w:rPr>
      </w:pPr>
      <w:r>
        <w:rPr>
          <w:rFonts w:hint="eastAsia" w:hAnsi="宋体"/>
          <w:sz w:val="24"/>
          <w:szCs w:val="24"/>
        </w:rPr>
        <w:t>附：被授权人有效身份证正反面或其他身份证明材料复印　　　　　　　</w:t>
      </w:r>
    </w:p>
    <w:p>
      <w:pPr>
        <w:pStyle w:val="17"/>
        <w:spacing w:line="360" w:lineRule="auto"/>
        <w:jc w:val="both"/>
        <w:rPr>
          <w:rFonts w:hAnsi="宋体"/>
          <w:sz w:val="24"/>
          <w:szCs w:val="24"/>
        </w:rPr>
      </w:pPr>
    </w:p>
    <w:p>
      <w:pPr>
        <w:pStyle w:val="17"/>
        <w:spacing w:line="360" w:lineRule="auto"/>
        <w:jc w:val="both"/>
        <w:rPr>
          <w:rFonts w:hAnsi="宋体" w:eastAsia="宋体" w:cs="宋体"/>
          <w:sz w:val="28"/>
        </w:rPr>
      </w:pPr>
    </w:p>
    <w:p>
      <w:pPr>
        <w:pStyle w:val="17"/>
        <w:spacing w:line="360" w:lineRule="auto"/>
        <w:jc w:val="both"/>
        <w:rPr>
          <w:rFonts w:hAnsi="宋体" w:eastAsia="宋体" w:cs="宋体"/>
          <w:sz w:val="28"/>
        </w:rPr>
      </w:pPr>
    </w:p>
    <w:p>
      <w:pPr>
        <w:pStyle w:val="17"/>
        <w:spacing w:line="360" w:lineRule="auto"/>
        <w:jc w:val="both"/>
        <w:rPr>
          <w:rFonts w:hAnsi="宋体" w:eastAsia="宋体" w:cs="宋体"/>
          <w:sz w:val="28"/>
        </w:rPr>
      </w:pPr>
    </w:p>
    <w:p>
      <w:pPr>
        <w:pStyle w:val="17"/>
        <w:spacing w:line="360" w:lineRule="auto"/>
        <w:jc w:val="both"/>
        <w:rPr>
          <w:rFonts w:hAnsi="宋体" w:eastAsia="宋体" w:cs="宋体"/>
          <w:sz w:val="28"/>
        </w:rPr>
      </w:pPr>
    </w:p>
    <w:p>
      <w:pPr>
        <w:pStyle w:val="17"/>
        <w:spacing w:line="360" w:lineRule="auto"/>
        <w:jc w:val="both"/>
        <w:rPr>
          <w:rFonts w:hAnsi="宋体" w:eastAsia="宋体" w:cs="宋体"/>
          <w:sz w:val="28"/>
        </w:rPr>
      </w:pPr>
    </w:p>
    <w:p>
      <w:pPr>
        <w:pStyle w:val="17"/>
        <w:spacing w:line="360" w:lineRule="auto"/>
        <w:jc w:val="both"/>
        <w:rPr>
          <w:rFonts w:hAnsi="宋体" w:eastAsia="宋体" w:cs="宋体"/>
          <w:sz w:val="24"/>
          <w:szCs w:val="24"/>
        </w:rPr>
      </w:pPr>
      <w:r>
        <w:rPr>
          <w:rFonts w:hint="eastAsia" w:hAnsi="宋体" w:eastAsia="宋体" w:cs="宋体"/>
          <w:sz w:val="24"/>
          <w:szCs w:val="24"/>
        </w:rPr>
        <w:t>（单位盖章）：</w:t>
      </w:r>
    </w:p>
    <w:p>
      <w:pPr>
        <w:pStyle w:val="17"/>
        <w:spacing w:line="360" w:lineRule="auto"/>
        <w:jc w:val="both"/>
        <w:rPr>
          <w:rFonts w:hAnsi="宋体" w:eastAsia="宋体" w:cs="宋体"/>
          <w:sz w:val="24"/>
          <w:szCs w:val="24"/>
        </w:rPr>
      </w:pPr>
    </w:p>
    <w:p>
      <w:pPr>
        <w:pStyle w:val="17"/>
        <w:spacing w:line="360" w:lineRule="auto"/>
        <w:jc w:val="both"/>
        <w:rPr>
          <w:rFonts w:hAnsi="宋体" w:eastAsia="宋体" w:cs="宋体"/>
          <w:sz w:val="24"/>
          <w:szCs w:val="24"/>
        </w:rPr>
      </w:pPr>
      <w:r>
        <w:rPr>
          <w:rFonts w:hint="eastAsia" w:hAnsi="宋体" w:eastAsia="宋体" w:cs="宋体"/>
          <w:sz w:val="24"/>
          <w:szCs w:val="24"/>
        </w:rPr>
        <w:t>法定代表人（签字或盖章）：</w:t>
      </w:r>
    </w:p>
    <w:p>
      <w:pPr>
        <w:pStyle w:val="17"/>
        <w:spacing w:line="360" w:lineRule="auto"/>
        <w:jc w:val="both"/>
        <w:rPr>
          <w:rFonts w:hAnsi="宋体" w:eastAsia="宋体" w:cs="宋体"/>
          <w:sz w:val="24"/>
          <w:szCs w:val="24"/>
        </w:rPr>
      </w:pPr>
      <w:r>
        <w:rPr>
          <w:rFonts w:hint="eastAsia" w:hAnsi="宋体" w:eastAsia="宋体" w:cs="宋体"/>
          <w:sz w:val="24"/>
          <w:szCs w:val="24"/>
        </w:rPr>
        <w:t>被授权人（签字或盖章）：</w:t>
      </w:r>
    </w:p>
    <w:p>
      <w:pPr>
        <w:pStyle w:val="17"/>
        <w:spacing w:line="360" w:lineRule="auto"/>
        <w:jc w:val="both"/>
        <w:rPr>
          <w:rFonts w:hAnsi="宋体" w:eastAsia="宋体" w:cs="宋体"/>
          <w:sz w:val="24"/>
          <w:szCs w:val="24"/>
        </w:rPr>
      </w:pPr>
      <w:r>
        <w:rPr>
          <w:rFonts w:hint="eastAsia" w:hAnsi="宋体" w:eastAsia="宋体" w:cs="宋体"/>
          <w:sz w:val="24"/>
          <w:szCs w:val="24"/>
        </w:rPr>
        <w:t>日期： 202</w:t>
      </w:r>
      <w:r>
        <w:rPr>
          <w:rFonts w:hAnsi="宋体" w:eastAsia="宋体" w:cs="宋体"/>
          <w:sz w:val="24"/>
          <w:szCs w:val="24"/>
        </w:rPr>
        <w:t>1</w:t>
      </w:r>
      <w:r>
        <w:rPr>
          <w:rFonts w:hint="eastAsia" w:hAnsi="宋体" w:eastAsia="宋体" w:cs="宋体"/>
          <w:sz w:val="24"/>
          <w:szCs w:val="24"/>
        </w:rPr>
        <w:t>年   月   日</w:t>
      </w:r>
    </w:p>
    <w:p>
      <w:pPr>
        <w:rPr>
          <w:sz w:val="24"/>
        </w:rPr>
      </w:pPr>
      <w:r>
        <w:rPr>
          <w:rFonts w:hint="eastAsia" w:hAnsi="宋体" w:cs="宋体"/>
          <w:sz w:val="24"/>
          <w:lang w:val="zh-CN"/>
        </w:rPr>
        <w:t>说明：法定代表人亲自办理投标事宜的，无需提交本证明书。</w:t>
      </w:r>
    </w:p>
    <w:p>
      <w:pPr>
        <w:spacing w:line="360" w:lineRule="auto"/>
        <w:rPr>
          <w:sz w:val="28"/>
          <w:szCs w:val="28"/>
        </w:rPr>
      </w:pPr>
    </w:p>
    <w:p>
      <w:pPr>
        <w:rPr>
          <w:rFonts w:ascii="仿宋" w:hAnsi="仿宋" w:eastAsia="仿宋" w:cs="仿宋"/>
          <w:szCs w:val="21"/>
        </w:rPr>
      </w:pPr>
      <w:r>
        <w:rPr>
          <w:rFonts w:ascii="仿宋" w:hAnsi="仿宋" w:eastAsia="仿宋" w:cs="仿宋"/>
          <w:szCs w:val="21"/>
        </w:rPr>
        <w:br w:type="page"/>
      </w:r>
    </w:p>
    <w:p>
      <w:pPr>
        <w:rPr>
          <w:rFonts w:hAnsi="宋体"/>
          <w:sz w:val="30"/>
          <w:szCs w:val="30"/>
        </w:rPr>
      </w:pPr>
      <w:r>
        <w:rPr>
          <w:rFonts w:hint="eastAsia" w:ascii="宋体" w:hAnsi="宋体" w:cs="Arial"/>
          <w:color w:val="000000"/>
          <w:sz w:val="30"/>
          <w:szCs w:val="30"/>
        </w:rPr>
        <w:t>附件</w:t>
      </w:r>
      <w:r>
        <w:rPr>
          <w:rFonts w:ascii="宋体" w:hAnsi="宋体" w:cs="Arial"/>
          <w:color w:val="000000"/>
          <w:sz w:val="30"/>
          <w:szCs w:val="30"/>
        </w:rPr>
        <w:t>5</w:t>
      </w:r>
    </w:p>
    <w:p>
      <w:pPr>
        <w:ind w:firstLine="2891" w:firstLineChars="800"/>
        <w:rPr>
          <w:rFonts w:ascii="宋体" w:hAnsi="宋体" w:cs="宋体"/>
          <w:b/>
          <w:bCs/>
          <w:sz w:val="36"/>
          <w:szCs w:val="36"/>
        </w:rPr>
      </w:pPr>
      <w:r>
        <w:rPr>
          <w:rFonts w:hint="eastAsia" w:ascii="宋体" w:hAnsi="宋体" w:cs="宋体"/>
          <w:b/>
          <w:bCs/>
          <w:sz w:val="36"/>
          <w:szCs w:val="36"/>
        </w:rPr>
        <w:t>投标人资格审查表</w:t>
      </w:r>
    </w:p>
    <w:p>
      <w:pPr>
        <w:spacing w:line="360" w:lineRule="auto"/>
        <w:rPr>
          <w:rFonts w:ascii="宋体" w:hAnsi="宋体"/>
          <w:bCs/>
          <w:szCs w:val="21"/>
        </w:rPr>
      </w:pPr>
      <w:r>
        <w:rPr>
          <w:rFonts w:hint="eastAsia" w:ascii="宋体" w:hAnsi="宋体"/>
          <w:bCs/>
          <w:szCs w:val="21"/>
        </w:rPr>
        <w:t>项目名称：</w:t>
      </w:r>
      <w:r>
        <w:rPr>
          <w:rFonts w:hint="eastAsia" w:ascii="宋体" w:hAnsi="宋体" w:cs="宋体"/>
          <w:kern w:val="0"/>
          <w:szCs w:val="21"/>
        </w:rPr>
        <w:t>岭南印象园博物馆2#专变房10kV高压供电电缆修复工程</w:t>
      </w:r>
    </w:p>
    <w:tbl>
      <w:tblPr>
        <w:tblStyle w:val="15"/>
        <w:tblW w:w="874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0"/>
        <w:gridCol w:w="6509"/>
        <w:gridCol w:w="15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90" w:type="dxa"/>
            <w:vAlign w:val="center"/>
          </w:tcPr>
          <w:p>
            <w:pPr>
              <w:rPr>
                <w:rFonts w:ascii="宋体" w:hAnsi="宋体"/>
                <w:b/>
                <w:szCs w:val="21"/>
              </w:rPr>
            </w:pPr>
            <w:r>
              <w:rPr>
                <w:rFonts w:hint="eastAsia" w:ascii="宋体" w:hAnsi="宋体" w:cs="宋体"/>
                <w:b/>
                <w:bCs/>
                <w:szCs w:val="21"/>
              </w:rPr>
              <w:t>序号</w:t>
            </w:r>
          </w:p>
        </w:tc>
        <w:tc>
          <w:tcPr>
            <w:tcW w:w="6509" w:type="dxa"/>
            <w:vAlign w:val="center"/>
          </w:tcPr>
          <w:p>
            <w:pPr>
              <w:jc w:val="center"/>
              <w:rPr>
                <w:rFonts w:ascii="宋体" w:hAnsi="宋体"/>
                <w:b/>
                <w:szCs w:val="21"/>
              </w:rPr>
            </w:pPr>
            <w:r>
              <w:rPr>
                <w:rFonts w:hint="eastAsia" w:ascii="宋体" w:hAnsi="宋体" w:cs="宋体"/>
                <w:b/>
                <w:bCs/>
                <w:szCs w:val="21"/>
              </w:rPr>
              <w:t>评审内容</w:t>
            </w:r>
          </w:p>
        </w:tc>
        <w:tc>
          <w:tcPr>
            <w:tcW w:w="1549" w:type="dxa"/>
            <w:vAlign w:val="center"/>
          </w:tcPr>
          <w:p>
            <w:pPr>
              <w:rPr>
                <w:rFonts w:ascii="宋体" w:hAnsi="宋体"/>
                <w:b/>
                <w:szCs w:val="21"/>
              </w:rPr>
            </w:pPr>
            <w:r>
              <w:rPr>
                <w:rFonts w:hint="eastAsia" w:ascii="宋体" w:hAnsi="宋体" w:cs="宋体"/>
                <w:b/>
                <w:bCs/>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90" w:type="dxa"/>
            <w:shd w:val="clear" w:color="auto" w:fill="auto"/>
            <w:vAlign w:val="center"/>
          </w:tcPr>
          <w:p>
            <w:pPr>
              <w:rPr>
                <w:rFonts w:ascii="宋体" w:hAnsi="宋体"/>
                <w:bCs/>
                <w:szCs w:val="21"/>
              </w:rPr>
            </w:pPr>
            <w:r>
              <w:rPr>
                <w:rFonts w:hint="eastAsia" w:ascii="宋体" w:hAnsi="宋体" w:cs="宋体"/>
                <w:szCs w:val="21"/>
              </w:rPr>
              <w:t>1</w:t>
            </w:r>
          </w:p>
        </w:tc>
        <w:tc>
          <w:tcPr>
            <w:tcW w:w="6509" w:type="dxa"/>
            <w:shd w:val="clear" w:color="auto" w:fill="auto"/>
            <w:vAlign w:val="center"/>
          </w:tcPr>
          <w:p>
            <w:pPr>
              <w:rPr>
                <w:rFonts w:ascii="宋体" w:hAnsi="宋体"/>
                <w:szCs w:val="21"/>
              </w:rPr>
            </w:pPr>
            <w:r>
              <w:rPr>
                <w:rFonts w:hint="eastAsia" w:ascii="宋体" w:hAnsi="宋体"/>
                <w:szCs w:val="21"/>
              </w:rPr>
              <w:t>具备有效的工商营业执照、企业法人组织机构代码证书、税务登记证书（或三证合一）（复印件盖章）</w:t>
            </w:r>
          </w:p>
        </w:tc>
        <w:tc>
          <w:tcPr>
            <w:tcW w:w="1549"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90" w:type="dxa"/>
            <w:shd w:val="clear" w:color="auto" w:fill="auto"/>
            <w:vAlign w:val="center"/>
          </w:tcPr>
          <w:p>
            <w:pPr>
              <w:rPr>
                <w:rFonts w:ascii="宋体" w:hAnsi="宋体" w:cs="宋体"/>
                <w:szCs w:val="21"/>
              </w:rPr>
            </w:pPr>
            <w:r>
              <w:rPr>
                <w:rFonts w:ascii="宋体" w:hAnsi="宋体" w:cs="宋体"/>
                <w:szCs w:val="21"/>
              </w:rPr>
              <w:t>2</w:t>
            </w:r>
          </w:p>
        </w:tc>
        <w:tc>
          <w:tcPr>
            <w:tcW w:w="6509" w:type="dxa"/>
            <w:shd w:val="clear" w:color="auto" w:fill="auto"/>
            <w:vAlign w:val="center"/>
          </w:tcPr>
          <w:p>
            <w:pPr>
              <w:rPr>
                <w:rFonts w:ascii="宋体" w:hAnsi="宋体" w:cs="宋体"/>
                <w:szCs w:val="21"/>
              </w:rPr>
            </w:pPr>
            <w:r>
              <w:rPr>
                <w:rFonts w:hint="eastAsia" w:ascii="宋体" w:hAnsi="宋体" w:cs="宋体"/>
                <w:szCs w:val="21"/>
              </w:rPr>
              <w:t>法定代表人证明书原件或法定代表人授权委托书原件</w:t>
            </w:r>
          </w:p>
        </w:tc>
        <w:tc>
          <w:tcPr>
            <w:tcW w:w="1549" w:type="dxa"/>
            <w:vAlign w:val="center"/>
          </w:tcPr>
          <w:p>
            <w:pP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90" w:type="dxa"/>
            <w:shd w:val="clear" w:color="auto" w:fill="auto"/>
            <w:vAlign w:val="center"/>
          </w:tcPr>
          <w:p>
            <w:pPr>
              <w:rPr>
                <w:rFonts w:ascii="宋体" w:hAnsi="宋体" w:cs="宋体"/>
                <w:szCs w:val="21"/>
              </w:rPr>
            </w:pPr>
            <w:r>
              <w:rPr>
                <w:rFonts w:hint="eastAsia" w:ascii="宋体" w:hAnsi="宋体" w:cs="宋体"/>
                <w:szCs w:val="21"/>
              </w:rPr>
              <w:t>3</w:t>
            </w:r>
          </w:p>
        </w:tc>
        <w:tc>
          <w:tcPr>
            <w:tcW w:w="6509" w:type="dxa"/>
            <w:shd w:val="clear" w:color="auto" w:fill="auto"/>
            <w:vAlign w:val="center"/>
          </w:tcPr>
          <w:p>
            <w:pPr>
              <w:rPr>
                <w:rFonts w:ascii="宋体" w:hAnsi="宋体" w:cs="宋体"/>
                <w:szCs w:val="21"/>
              </w:rPr>
            </w:pPr>
            <w:r>
              <w:rPr>
                <w:rFonts w:hint="eastAsia" w:ascii="宋体" w:hAnsi="宋体" w:cs="宋体"/>
                <w:szCs w:val="21"/>
              </w:rPr>
              <w:t>具有承装（修、试）电力设施许可证五级或以上资质</w:t>
            </w:r>
          </w:p>
        </w:tc>
        <w:tc>
          <w:tcPr>
            <w:tcW w:w="1549" w:type="dxa"/>
            <w:vAlign w:val="center"/>
          </w:tcPr>
          <w:p>
            <w:pP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90" w:type="dxa"/>
            <w:vAlign w:val="center"/>
          </w:tcPr>
          <w:p>
            <w:pPr>
              <w:rPr>
                <w:rFonts w:ascii="宋体" w:hAnsi="宋体"/>
                <w:bCs/>
                <w:szCs w:val="21"/>
              </w:rPr>
            </w:pPr>
            <w:r>
              <w:rPr>
                <w:rFonts w:hint="eastAsia" w:ascii="宋体" w:hAnsi="宋体"/>
                <w:bCs/>
                <w:szCs w:val="21"/>
              </w:rPr>
              <w:t>4</w:t>
            </w:r>
          </w:p>
        </w:tc>
        <w:tc>
          <w:tcPr>
            <w:tcW w:w="6509" w:type="dxa"/>
            <w:vAlign w:val="center"/>
          </w:tcPr>
          <w:p>
            <w:pPr>
              <w:rPr>
                <w:rFonts w:ascii="宋体" w:hAnsi="宋体" w:cs="宋体"/>
                <w:bCs/>
                <w:szCs w:val="21"/>
              </w:rPr>
            </w:pPr>
            <w:r>
              <w:rPr>
                <w:rFonts w:hint="eastAsia" w:ascii="宋体" w:hAnsi="宋体" w:cs="宋体"/>
                <w:bCs/>
                <w:szCs w:val="21"/>
              </w:rPr>
              <w:t>有效的</w:t>
            </w:r>
            <w:r>
              <w:rPr>
                <w:rFonts w:ascii="宋体" w:hAnsi="宋体" w:cs="宋体"/>
                <w:bCs/>
                <w:szCs w:val="21"/>
              </w:rPr>
              <w:t>安全生产许可证</w:t>
            </w:r>
            <w:r>
              <w:rPr>
                <w:rFonts w:hint="eastAsia" w:ascii="宋体" w:hAnsi="宋体" w:cs="宋体"/>
                <w:bCs/>
                <w:szCs w:val="21"/>
              </w:rPr>
              <w:t>（复印件盖章）</w:t>
            </w:r>
          </w:p>
        </w:tc>
        <w:tc>
          <w:tcPr>
            <w:tcW w:w="1549"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90" w:type="dxa"/>
            <w:vAlign w:val="center"/>
          </w:tcPr>
          <w:p>
            <w:pPr>
              <w:rPr>
                <w:rFonts w:ascii="宋体" w:hAnsi="宋体"/>
                <w:bCs/>
                <w:szCs w:val="21"/>
              </w:rPr>
            </w:pPr>
            <w:r>
              <w:rPr>
                <w:rFonts w:hint="eastAsia" w:ascii="宋体" w:hAnsi="宋体"/>
                <w:bCs/>
                <w:szCs w:val="21"/>
              </w:rPr>
              <w:t>5</w:t>
            </w:r>
          </w:p>
        </w:tc>
        <w:tc>
          <w:tcPr>
            <w:tcW w:w="6509" w:type="dxa"/>
            <w:vAlign w:val="center"/>
          </w:tcPr>
          <w:p>
            <w:pPr>
              <w:rPr>
                <w:rFonts w:ascii="宋体" w:hAnsi="宋体" w:cs="宋体"/>
                <w:bCs/>
                <w:szCs w:val="21"/>
              </w:rPr>
            </w:pPr>
            <w:r>
              <w:rPr>
                <w:rFonts w:hint="eastAsia" w:ascii="宋体" w:hAnsi="宋体" w:cs="宋体"/>
                <w:szCs w:val="21"/>
              </w:rPr>
              <w:t>投标人近3年内(20</w:t>
            </w:r>
            <w:r>
              <w:rPr>
                <w:rFonts w:ascii="宋体" w:hAnsi="宋体" w:cs="宋体"/>
                <w:szCs w:val="21"/>
              </w:rPr>
              <w:t>18</w:t>
            </w:r>
            <w:r>
              <w:rPr>
                <w:rFonts w:hint="eastAsia" w:ascii="宋体" w:hAnsi="宋体" w:cs="宋体"/>
                <w:szCs w:val="21"/>
              </w:rPr>
              <w:t>年1月1日至今)完成过质量合格的类似工程项目业绩（需提供合同等相关证明材料复印件）</w:t>
            </w:r>
          </w:p>
        </w:tc>
        <w:tc>
          <w:tcPr>
            <w:tcW w:w="1549"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90" w:type="dxa"/>
            <w:vAlign w:val="center"/>
          </w:tcPr>
          <w:p>
            <w:pPr>
              <w:rPr>
                <w:rFonts w:ascii="宋体" w:hAnsi="宋体"/>
                <w:bCs/>
                <w:szCs w:val="21"/>
              </w:rPr>
            </w:pPr>
          </w:p>
        </w:tc>
        <w:tc>
          <w:tcPr>
            <w:tcW w:w="6509" w:type="dxa"/>
            <w:vAlign w:val="center"/>
          </w:tcPr>
          <w:p>
            <w:pPr>
              <w:rPr>
                <w:rFonts w:ascii="宋体" w:hAnsi="宋体"/>
                <w:szCs w:val="21"/>
              </w:rPr>
            </w:pPr>
            <w:r>
              <w:rPr>
                <w:rFonts w:hint="eastAsia" w:ascii="宋体" w:hAnsi="宋体" w:cs="宋体"/>
                <w:b/>
                <w:bCs/>
                <w:szCs w:val="21"/>
              </w:rPr>
              <w:t>评审结论（</w:t>
            </w:r>
            <w:r>
              <w:rPr>
                <w:rFonts w:hint="eastAsia" w:ascii="宋体" w:hAnsi="宋体"/>
                <w:szCs w:val="21"/>
              </w:rPr>
              <w:t>通过/不通过</w:t>
            </w:r>
            <w:r>
              <w:rPr>
                <w:rFonts w:hint="eastAsia" w:ascii="宋体" w:hAnsi="宋体" w:cs="宋体"/>
                <w:b/>
                <w:bCs/>
                <w:szCs w:val="21"/>
              </w:rPr>
              <w:t>）</w:t>
            </w:r>
          </w:p>
        </w:tc>
        <w:tc>
          <w:tcPr>
            <w:tcW w:w="1549" w:type="dxa"/>
            <w:vAlign w:val="center"/>
          </w:tcPr>
          <w:p>
            <w:pPr>
              <w:spacing w:line="360" w:lineRule="auto"/>
              <w:rPr>
                <w:rFonts w:ascii="宋体" w:hAnsi="宋体"/>
                <w:b/>
                <w:szCs w:val="21"/>
              </w:rPr>
            </w:pPr>
          </w:p>
        </w:tc>
      </w:tr>
    </w:tbl>
    <w:p>
      <w:pPr>
        <w:spacing w:line="400" w:lineRule="exact"/>
        <w:rPr>
          <w:rFonts w:ascii="宋体" w:hAnsi="宋体"/>
          <w:szCs w:val="21"/>
        </w:rPr>
      </w:pPr>
      <w:r>
        <w:rPr>
          <w:rFonts w:hint="eastAsia" w:ascii="宋体" w:hAnsi="宋体"/>
          <w:szCs w:val="21"/>
        </w:rPr>
        <w:t>注：</w:t>
      </w:r>
    </w:p>
    <w:p>
      <w:pPr>
        <w:numPr>
          <w:ilvl w:val="0"/>
          <w:numId w:val="4"/>
        </w:numPr>
        <w:adjustRightInd w:val="0"/>
        <w:snapToGrid w:val="0"/>
        <w:spacing w:line="400" w:lineRule="exact"/>
        <w:rPr>
          <w:rFonts w:ascii="宋体" w:hAnsi="宋体"/>
          <w:szCs w:val="21"/>
        </w:rPr>
      </w:pPr>
      <w:r>
        <w:rPr>
          <w:rFonts w:hint="eastAsia" w:ascii="宋体" w:hAnsi="宋体"/>
          <w:szCs w:val="21"/>
        </w:rPr>
        <w:t>投标人分栏中填写“√”表示该项符合竞选文件要求，“×”表示该项不符合竞选文件要求，“○”表示无该项内容；</w:t>
      </w:r>
    </w:p>
    <w:p>
      <w:pPr>
        <w:numPr>
          <w:ilvl w:val="0"/>
          <w:numId w:val="4"/>
        </w:numPr>
        <w:adjustRightInd w:val="0"/>
        <w:snapToGrid w:val="0"/>
        <w:spacing w:line="400" w:lineRule="exact"/>
        <w:rPr>
          <w:rFonts w:ascii="宋体" w:hAnsi="宋体"/>
          <w:szCs w:val="21"/>
        </w:rPr>
      </w:pPr>
      <w:r>
        <w:rPr>
          <w:rFonts w:hint="eastAsia" w:ascii="宋体" w:hAnsi="宋体"/>
          <w:szCs w:val="21"/>
        </w:rPr>
        <w:t>经评标委员会审核后，出现一个“×”的结论为“不通过”，即按废标处理。</w:t>
      </w:r>
    </w:p>
    <w:p>
      <w:pPr>
        <w:numPr>
          <w:ilvl w:val="0"/>
          <w:numId w:val="4"/>
        </w:numPr>
        <w:adjustRightInd w:val="0"/>
        <w:snapToGrid w:val="0"/>
        <w:spacing w:line="400" w:lineRule="exact"/>
        <w:rPr>
          <w:rFonts w:ascii="宋体" w:hAnsi="宋体"/>
          <w:szCs w:val="21"/>
        </w:rPr>
      </w:pPr>
      <w:r>
        <w:rPr>
          <w:rFonts w:hint="eastAsia" w:ascii="宋体" w:hAnsi="宋体"/>
          <w:szCs w:val="21"/>
        </w:rPr>
        <w:t>表中全部条件满足为“通过”，同意进入下一阶段评审。</w:t>
      </w:r>
    </w:p>
    <w:p>
      <w:pPr>
        <w:numPr>
          <w:ilvl w:val="0"/>
          <w:numId w:val="4"/>
        </w:numPr>
        <w:adjustRightInd w:val="0"/>
        <w:snapToGrid w:val="0"/>
        <w:spacing w:line="400" w:lineRule="exact"/>
        <w:rPr>
          <w:rFonts w:ascii="宋体" w:hAnsi="宋体"/>
          <w:szCs w:val="21"/>
        </w:rPr>
      </w:pPr>
      <w:r>
        <w:rPr>
          <w:rFonts w:hint="eastAsia"/>
          <w:szCs w:val="21"/>
        </w:rPr>
        <w:t>如对本表中某种情形的</w:t>
      </w:r>
      <w:r>
        <w:rPr>
          <w:rFonts w:hint="eastAsia" w:ascii="宋体" w:hAnsi="宋体"/>
          <w:szCs w:val="21"/>
        </w:rPr>
        <w:t>评委意见不一致时，</w:t>
      </w:r>
      <w:r>
        <w:rPr>
          <w:rFonts w:hint="eastAsia"/>
          <w:szCs w:val="21"/>
        </w:rPr>
        <w:t>以评标委员会过半数成员的意见作为评标委员会对该情形的认定结论。</w:t>
      </w:r>
    </w:p>
    <w:p>
      <w:pPr>
        <w:adjustRightInd w:val="0"/>
        <w:snapToGrid w:val="0"/>
        <w:spacing w:line="400" w:lineRule="exact"/>
        <w:rPr>
          <w:rFonts w:ascii="宋体" w:hAnsi="宋体"/>
          <w:szCs w:val="21"/>
        </w:rPr>
      </w:pPr>
    </w:p>
    <w:p>
      <w:pPr>
        <w:spacing w:line="400" w:lineRule="exact"/>
        <w:rPr>
          <w:rFonts w:ascii="宋体" w:hAnsi="宋体"/>
          <w:bCs/>
          <w:szCs w:val="21"/>
        </w:rPr>
      </w:pPr>
      <w:r>
        <w:rPr>
          <w:rFonts w:hint="eastAsia" w:ascii="宋体" w:hAnsi="宋体"/>
          <w:bCs/>
          <w:szCs w:val="21"/>
        </w:rPr>
        <w:t xml:space="preserve">评委签名：    </w:t>
      </w:r>
    </w:p>
    <w:p>
      <w:pPr>
        <w:spacing w:line="400" w:lineRule="exact"/>
        <w:ind w:left="420"/>
        <w:rPr>
          <w:rFonts w:ascii="宋体" w:hAnsi="宋体"/>
          <w:bCs/>
          <w:szCs w:val="21"/>
        </w:rPr>
      </w:pPr>
    </w:p>
    <w:p>
      <w:pPr>
        <w:spacing w:line="400" w:lineRule="exact"/>
        <w:rPr>
          <w:rFonts w:ascii="宋体" w:hAnsi="宋体"/>
          <w:szCs w:val="21"/>
        </w:rPr>
      </w:pPr>
      <w:r>
        <w:rPr>
          <w:rFonts w:hint="eastAsia" w:ascii="宋体" w:hAnsi="宋体"/>
          <w:bCs/>
          <w:szCs w:val="21"/>
        </w:rPr>
        <w:t>日 期：</w:t>
      </w:r>
      <w:r>
        <w:rPr>
          <w:rFonts w:ascii="宋体" w:hAnsi="宋体"/>
          <w:szCs w:val="21"/>
        </w:rPr>
        <w:t>2021</w:t>
      </w:r>
      <w:r>
        <w:rPr>
          <w:rFonts w:hint="eastAsia" w:ascii="宋体" w:hAnsi="宋体"/>
          <w:szCs w:val="21"/>
        </w:rPr>
        <w:t>年   月   日</w:t>
      </w:r>
    </w:p>
    <w:p>
      <w:pPr>
        <w:rPr>
          <w:rFonts w:ascii="仿宋" w:hAnsi="仿宋" w:eastAsia="仿宋" w:cs="仿宋"/>
          <w:szCs w:val="21"/>
        </w:rPr>
      </w:pPr>
      <w:r>
        <w:rPr>
          <w:rFonts w:ascii="仿宋" w:hAnsi="仿宋" w:eastAsia="仿宋" w:cs="仿宋"/>
          <w:szCs w:val="21"/>
        </w:rPr>
        <w:br w:type="page"/>
      </w:r>
    </w:p>
    <w:p>
      <w:pPr>
        <w:spacing w:line="400" w:lineRule="exact"/>
        <w:rPr>
          <w:rFonts w:hAnsi="宋体"/>
          <w:szCs w:val="21"/>
        </w:rPr>
      </w:pPr>
      <w:r>
        <w:rPr>
          <w:rFonts w:hint="eastAsia" w:ascii="宋体" w:hAnsi="宋体" w:cs="Arial"/>
          <w:color w:val="000000"/>
          <w:sz w:val="30"/>
          <w:szCs w:val="30"/>
        </w:rPr>
        <w:t>附件</w:t>
      </w:r>
      <w:r>
        <w:rPr>
          <w:rFonts w:ascii="宋体" w:hAnsi="宋体" w:cs="Arial"/>
          <w:color w:val="000000"/>
          <w:sz w:val="30"/>
          <w:szCs w:val="30"/>
        </w:rPr>
        <w:t>6</w:t>
      </w:r>
    </w:p>
    <w:p>
      <w:pPr>
        <w:jc w:val="center"/>
        <w:rPr>
          <w:rFonts w:ascii="宋体" w:hAnsi="宋体" w:cs="宋体"/>
          <w:b/>
          <w:bCs/>
          <w:sz w:val="24"/>
        </w:rPr>
      </w:pPr>
      <w:r>
        <w:rPr>
          <w:rFonts w:hint="eastAsia" w:ascii="宋体" w:hAnsi="宋体" w:cs="宋体"/>
          <w:b/>
          <w:bCs/>
          <w:sz w:val="36"/>
          <w:szCs w:val="36"/>
        </w:rPr>
        <w:t>投标文件有效性审查表</w:t>
      </w:r>
    </w:p>
    <w:p>
      <w:pPr>
        <w:spacing w:line="360" w:lineRule="auto"/>
        <w:rPr>
          <w:rFonts w:ascii="宋体" w:hAnsi="宋体"/>
          <w:bCs/>
          <w:szCs w:val="21"/>
        </w:rPr>
      </w:pPr>
      <w:r>
        <w:rPr>
          <w:rFonts w:hint="eastAsia" w:ascii="宋体" w:hAnsi="宋体"/>
          <w:bCs/>
          <w:szCs w:val="21"/>
        </w:rPr>
        <w:t>项目名称：岭南印象园博物馆2#专变房10kV高压供电电缆修复工程</w:t>
      </w:r>
    </w:p>
    <w:tbl>
      <w:tblPr>
        <w:tblStyle w:val="15"/>
        <w:tblW w:w="806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2"/>
        <w:gridCol w:w="6225"/>
        <w:gridCol w:w="118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vAlign w:val="center"/>
          </w:tcPr>
          <w:p>
            <w:pPr>
              <w:rPr>
                <w:rFonts w:ascii="宋体" w:hAnsi="宋体"/>
                <w:b/>
                <w:szCs w:val="21"/>
              </w:rPr>
            </w:pPr>
            <w:r>
              <w:rPr>
                <w:rFonts w:hint="eastAsia" w:ascii="宋体" w:hAnsi="宋体" w:cs="宋体"/>
                <w:b/>
                <w:bCs/>
                <w:szCs w:val="21"/>
              </w:rPr>
              <w:t>序号</w:t>
            </w:r>
          </w:p>
        </w:tc>
        <w:tc>
          <w:tcPr>
            <w:tcW w:w="6225" w:type="dxa"/>
            <w:vAlign w:val="center"/>
          </w:tcPr>
          <w:p>
            <w:pPr>
              <w:jc w:val="center"/>
              <w:rPr>
                <w:rFonts w:ascii="宋体" w:hAnsi="宋体"/>
                <w:b/>
                <w:szCs w:val="21"/>
              </w:rPr>
            </w:pPr>
            <w:r>
              <w:rPr>
                <w:rFonts w:hint="eastAsia" w:ascii="宋体" w:hAnsi="宋体" w:cs="宋体"/>
                <w:b/>
                <w:bCs/>
                <w:szCs w:val="21"/>
              </w:rPr>
              <w:t>评审内容</w:t>
            </w:r>
          </w:p>
        </w:tc>
        <w:tc>
          <w:tcPr>
            <w:tcW w:w="1183" w:type="dxa"/>
            <w:vAlign w:val="center"/>
          </w:tcPr>
          <w:p>
            <w:pPr>
              <w:rPr>
                <w:rFonts w:ascii="宋体" w:hAnsi="宋体"/>
                <w:b/>
                <w:szCs w:val="21"/>
              </w:rPr>
            </w:pPr>
            <w:r>
              <w:rPr>
                <w:rFonts w:hint="eastAsia" w:ascii="宋体" w:hAnsi="宋体" w:cs="宋体"/>
                <w:b/>
                <w:bCs/>
                <w:szCs w:val="21"/>
              </w:rPr>
              <w:t>投标人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ascii="宋体" w:hAnsi="宋体"/>
                <w:bCs/>
                <w:szCs w:val="21"/>
              </w:rPr>
            </w:pPr>
            <w:r>
              <w:rPr>
                <w:rFonts w:hint="eastAsia" w:ascii="宋体" w:hAnsi="宋体" w:cs="宋体"/>
                <w:szCs w:val="21"/>
              </w:rPr>
              <w:t>1</w:t>
            </w:r>
          </w:p>
        </w:tc>
        <w:tc>
          <w:tcPr>
            <w:tcW w:w="6225" w:type="dxa"/>
            <w:shd w:val="clear" w:color="auto" w:fill="auto"/>
            <w:vAlign w:val="center"/>
          </w:tcPr>
          <w:p>
            <w:pPr>
              <w:rPr>
                <w:rFonts w:ascii="宋体" w:hAnsi="宋体"/>
                <w:szCs w:val="21"/>
              </w:rPr>
            </w:pPr>
            <w:r>
              <w:rPr>
                <w:rFonts w:hint="eastAsia" w:ascii="宋体" w:hAnsi="宋体"/>
                <w:szCs w:val="21"/>
              </w:rPr>
              <w:t>投标文件未按竞选文件的规定密封、盖章和签署；</w:t>
            </w:r>
          </w:p>
        </w:tc>
        <w:tc>
          <w:tcPr>
            <w:tcW w:w="1183"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ascii="宋体" w:hAnsi="宋体"/>
                <w:bCs/>
                <w:szCs w:val="21"/>
              </w:rPr>
            </w:pPr>
            <w:r>
              <w:rPr>
                <w:rFonts w:hint="eastAsia" w:ascii="宋体" w:hAnsi="宋体" w:cs="宋体"/>
                <w:szCs w:val="21"/>
              </w:rPr>
              <w:t>2</w:t>
            </w:r>
          </w:p>
        </w:tc>
        <w:tc>
          <w:tcPr>
            <w:tcW w:w="6225" w:type="dxa"/>
            <w:shd w:val="clear" w:color="auto" w:fill="auto"/>
            <w:vAlign w:val="center"/>
          </w:tcPr>
          <w:p>
            <w:pPr>
              <w:rPr>
                <w:rFonts w:ascii="宋体" w:hAnsi="宋体"/>
                <w:szCs w:val="21"/>
              </w:rPr>
            </w:pPr>
            <w:r>
              <w:rPr>
                <w:rFonts w:hint="eastAsia" w:ascii="宋体" w:hAnsi="宋体"/>
                <w:szCs w:val="21"/>
              </w:rPr>
              <w:t>投标文件未按竞选文件规定的格式填写，内容不全或关键字迹模糊、无法辩认；</w:t>
            </w:r>
          </w:p>
        </w:tc>
        <w:tc>
          <w:tcPr>
            <w:tcW w:w="1183"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ascii="宋体" w:hAnsi="宋体"/>
                <w:bCs/>
                <w:szCs w:val="21"/>
              </w:rPr>
            </w:pPr>
            <w:r>
              <w:rPr>
                <w:rFonts w:hint="eastAsia" w:ascii="宋体" w:hAnsi="宋体" w:cs="宋体"/>
                <w:szCs w:val="21"/>
              </w:rPr>
              <w:t>3</w:t>
            </w:r>
          </w:p>
        </w:tc>
        <w:tc>
          <w:tcPr>
            <w:tcW w:w="6225" w:type="dxa"/>
            <w:shd w:val="clear" w:color="auto" w:fill="auto"/>
            <w:vAlign w:val="center"/>
          </w:tcPr>
          <w:p>
            <w:pPr>
              <w:rPr>
                <w:rFonts w:ascii="宋体" w:hAnsi="宋体"/>
                <w:szCs w:val="21"/>
              </w:rPr>
            </w:pPr>
            <w:r>
              <w:rPr>
                <w:rFonts w:hint="eastAsia" w:ascii="宋体" w:hAnsi="宋体" w:cs="宋体"/>
                <w:szCs w:val="21"/>
              </w:rPr>
              <w:t>对同一竞选项目出现两个或以上的投标报价，且没声明哪个有效；</w:t>
            </w:r>
          </w:p>
        </w:tc>
        <w:tc>
          <w:tcPr>
            <w:tcW w:w="1183"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ascii="宋体" w:hAnsi="宋体" w:cs="宋体"/>
                <w:szCs w:val="21"/>
              </w:rPr>
            </w:pPr>
            <w:r>
              <w:rPr>
                <w:rFonts w:hint="eastAsia" w:ascii="宋体" w:hAnsi="宋体" w:cs="宋体"/>
                <w:szCs w:val="21"/>
              </w:rPr>
              <w:t>4</w:t>
            </w:r>
          </w:p>
        </w:tc>
        <w:tc>
          <w:tcPr>
            <w:tcW w:w="6225" w:type="dxa"/>
            <w:shd w:val="clear" w:color="auto" w:fill="auto"/>
            <w:vAlign w:val="center"/>
          </w:tcPr>
          <w:p>
            <w:pPr>
              <w:rPr>
                <w:rFonts w:ascii="宋体" w:hAnsi="宋体" w:cs="宋体"/>
                <w:szCs w:val="21"/>
              </w:rPr>
            </w:pPr>
            <w:r>
              <w:rPr>
                <w:rFonts w:hint="eastAsia" w:ascii="宋体" w:hAnsi="宋体" w:cs="宋体"/>
                <w:szCs w:val="21"/>
              </w:rPr>
              <w:t>投标总报价高于采购限价；</w:t>
            </w:r>
          </w:p>
        </w:tc>
        <w:tc>
          <w:tcPr>
            <w:tcW w:w="1183"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ascii="宋体" w:hAnsi="宋体"/>
                <w:bCs/>
                <w:szCs w:val="21"/>
              </w:rPr>
            </w:pPr>
            <w:r>
              <w:rPr>
                <w:rFonts w:ascii="宋体" w:hAnsi="宋体" w:cs="宋体"/>
                <w:szCs w:val="21"/>
              </w:rPr>
              <w:t>5</w:t>
            </w:r>
          </w:p>
        </w:tc>
        <w:tc>
          <w:tcPr>
            <w:tcW w:w="6225" w:type="dxa"/>
            <w:shd w:val="clear" w:color="auto" w:fill="auto"/>
            <w:vAlign w:val="center"/>
          </w:tcPr>
          <w:p>
            <w:pPr>
              <w:rPr>
                <w:rFonts w:ascii="宋体" w:hAnsi="宋体"/>
                <w:szCs w:val="21"/>
              </w:rPr>
            </w:pPr>
            <w:r>
              <w:rPr>
                <w:rFonts w:hint="eastAsia" w:ascii="宋体" w:hAnsi="宋体" w:cs="宋体"/>
                <w:szCs w:val="21"/>
              </w:rPr>
              <w:t>投标总报价低于企业自身成本；</w:t>
            </w:r>
          </w:p>
        </w:tc>
        <w:tc>
          <w:tcPr>
            <w:tcW w:w="1183" w:type="dxa"/>
            <w:vAlign w:val="center"/>
          </w:tcPr>
          <w:p>
            <w:pPr>
              <w:tabs>
                <w:tab w:val="left" w:pos="553"/>
              </w:tabs>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ascii="宋体" w:hAnsi="宋体" w:cs="宋体"/>
                <w:szCs w:val="21"/>
              </w:rPr>
            </w:pPr>
            <w:r>
              <w:rPr>
                <w:rFonts w:ascii="宋体" w:hAnsi="宋体" w:cs="宋体"/>
                <w:szCs w:val="21"/>
              </w:rPr>
              <w:t>6</w:t>
            </w:r>
          </w:p>
        </w:tc>
        <w:tc>
          <w:tcPr>
            <w:tcW w:w="6225" w:type="dxa"/>
            <w:shd w:val="clear" w:color="auto" w:fill="auto"/>
            <w:vAlign w:val="center"/>
          </w:tcPr>
          <w:p>
            <w:pPr>
              <w:rPr>
                <w:szCs w:val="21"/>
              </w:rPr>
            </w:pPr>
            <w:r>
              <w:rPr>
                <w:rFonts w:hint="eastAsia" w:ascii="宋体" w:hAnsi="宋体" w:cs="宋体"/>
                <w:szCs w:val="21"/>
              </w:rPr>
              <w:t>工期不满足竞选文件要求的；</w:t>
            </w:r>
          </w:p>
        </w:tc>
        <w:tc>
          <w:tcPr>
            <w:tcW w:w="1183" w:type="dxa"/>
            <w:vAlign w:val="center"/>
          </w:tcPr>
          <w:p>
            <w:pPr>
              <w:tabs>
                <w:tab w:val="left" w:pos="553"/>
              </w:tabs>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ascii="宋体" w:hAnsi="宋体"/>
                <w:bCs/>
                <w:szCs w:val="21"/>
              </w:rPr>
            </w:pPr>
            <w:r>
              <w:rPr>
                <w:rFonts w:ascii="宋体" w:hAnsi="宋体" w:cs="宋体"/>
                <w:szCs w:val="21"/>
              </w:rPr>
              <w:t>7</w:t>
            </w:r>
          </w:p>
        </w:tc>
        <w:tc>
          <w:tcPr>
            <w:tcW w:w="6225" w:type="dxa"/>
            <w:shd w:val="clear" w:color="auto" w:fill="auto"/>
            <w:vAlign w:val="center"/>
          </w:tcPr>
          <w:p>
            <w:pPr>
              <w:rPr>
                <w:szCs w:val="21"/>
              </w:rPr>
            </w:pPr>
            <w:r>
              <w:rPr>
                <w:rFonts w:hint="eastAsia" w:ascii="宋体" w:hAnsi="宋体" w:cs="宋体"/>
                <w:szCs w:val="21"/>
              </w:rPr>
              <w:t>施工方案或施工组织设计未响应竞选文件中已明确必须要作实质性响应的内容；</w:t>
            </w:r>
          </w:p>
        </w:tc>
        <w:tc>
          <w:tcPr>
            <w:tcW w:w="1183"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ascii="宋体" w:hAnsi="宋体"/>
                <w:bCs/>
                <w:szCs w:val="21"/>
              </w:rPr>
            </w:pPr>
            <w:r>
              <w:rPr>
                <w:rFonts w:ascii="宋体" w:hAnsi="宋体" w:cs="宋体"/>
                <w:szCs w:val="21"/>
              </w:rPr>
              <w:t>8</w:t>
            </w:r>
          </w:p>
        </w:tc>
        <w:tc>
          <w:tcPr>
            <w:tcW w:w="6225" w:type="dxa"/>
            <w:shd w:val="clear" w:color="auto" w:fill="auto"/>
            <w:vAlign w:val="center"/>
          </w:tcPr>
          <w:p>
            <w:pPr>
              <w:rPr>
                <w:szCs w:val="21"/>
              </w:rPr>
            </w:pPr>
            <w:r>
              <w:rPr>
                <w:rFonts w:hint="eastAsia" w:ascii="宋体" w:hAnsi="宋体" w:cs="宋体"/>
                <w:szCs w:val="21"/>
              </w:rPr>
              <w:t>投标文件附有采购人不能接受的条件；</w:t>
            </w:r>
          </w:p>
        </w:tc>
        <w:tc>
          <w:tcPr>
            <w:tcW w:w="1183"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ascii="宋体" w:hAnsi="宋体"/>
                <w:bCs/>
                <w:szCs w:val="21"/>
              </w:rPr>
            </w:pPr>
            <w:r>
              <w:rPr>
                <w:rFonts w:ascii="宋体" w:hAnsi="宋体" w:cs="宋体"/>
                <w:szCs w:val="21"/>
              </w:rPr>
              <w:t>9</w:t>
            </w:r>
          </w:p>
        </w:tc>
        <w:tc>
          <w:tcPr>
            <w:tcW w:w="6225" w:type="dxa"/>
            <w:shd w:val="clear" w:color="auto" w:fill="auto"/>
            <w:vAlign w:val="center"/>
          </w:tcPr>
          <w:p>
            <w:pPr>
              <w:rPr>
                <w:szCs w:val="21"/>
              </w:rPr>
            </w:pPr>
            <w:r>
              <w:rPr>
                <w:rFonts w:hint="eastAsia" w:ascii="宋体" w:hAnsi="宋体" w:cs="宋体"/>
                <w:szCs w:val="21"/>
              </w:rPr>
              <w:t>不符合竞选文件中规定的其他实质性要求。</w:t>
            </w:r>
          </w:p>
        </w:tc>
        <w:tc>
          <w:tcPr>
            <w:tcW w:w="1183"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vAlign w:val="center"/>
          </w:tcPr>
          <w:p>
            <w:pPr>
              <w:rPr>
                <w:rFonts w:ascii="宋体" w:hAnsi="宋体"/>
                <w:bCs/>
                <w:szCs w:val="21"/>
              </w:rPr>
            </w:pPr>
          </w:p>
        </w:tc>
        <w:tc>
          <w:tcPr>
            <w:tcW w:w="6225" w:type="dxa"/>
            <w:vAlign w:val="center"/>
          </w:tcPr>
          <w:p>
            <w:pPr>
              <w:rPr>
                <w:rFonts w:ascii="宋体" w:hAnsi="宋体"/>
                <w:szCs w:val="21"/>
              </w:rPr>
            </w:pPr>
            <w:r>
              <w:rPr>
                <w:rFonts w:hint="eastAsia" w:ascii="宋体" w:hAnsi="宋体" w:cs="宋体"/>
                <w:b/>
                <w:bCs/>
                <w:szCs w:val="21"/>
              </w:rPr>
              <w:t>评审结论（</w:t>
            </w:r>
            <w:r>
              <w:rPr>
                <w:rFonts w:hint="eastAsia" w:ascii="宋体" w:hAnsi="宋体"/>
                <w:szCs w:val="21"/>
              </w:rPr>
              <w:t>通过/不通过</w:t>
            </w:r>
            <w:r>
              <w:rPr>
                <w:rFonts w:hint="eastAsia" w:ascii="宋体" w:hAnsi="宋体" w:cs="宋体"/>
                <w:b/>
                <w:bCs/>
                <w:szCs w:val="21"/>
              </w:rPr>
              <w:t>）</w:t>
            </w:r>
          </w:p>
        </w:tc>
        <w:tc>
          <w:tcPr>
            <w:tcW w:w="1183" w:type="dxa"/>
            <w:vAlign w:val="center"/>
          </w:tcPr>
          <w:p>
            <w:pPr>
              <w:spacing w:line="360" w:lineRule="auto"/>
              <w:rPr>
                <w:rFonts w:ascii="宋体" w:hAnsi="宋体"/>
                <w:b/>
                <w:szCs w:val="21"/>
              </w:rPr>
            </w:pPr>
          </w:p>
        </w:tc>
      </w:tr>
    </w:tbl>
    <w:p>
      <w:pPr>
        <w:spacing w:line="400" w:lineRule="exact"/>
        <w:ind w:firstLine="420" w:firstLineChars="200"/>
        <w:rPr>
          <w:rFonts w:ascii="宋体" w:hAnsi="宋体"/>
          <w:szCs w:val="21"/>
        </w:rPr>
      </w:pPr>
      <w:r>
        <w:rPr>
          <w:rFonts w:hint="eastAsia" w:ascii="宋体" w:hAnsi="宋体"/>
          <w:szCs w:val="21"/>
        </w:rPr>
        <w:t>注：</w:t>
      </w:r>
    </w:p>
    <w:p>
      <w:pPr>
        <w:numPr>
          <w:ilvl w:val="0"/>
          <w:numId w:val="5"/>
        </w:numPr>
        <w:adjustRightInd w:val="0"/>
        <w:snapToGrid w:val="0"/>
        <w:spacing w:line="400" w:lineRule="exact"/>
        <w:ind w:firstLine="424" w:firstLineChars="202"/>
        <w:rPr>
          <w:rFonts w:ascii="宋体" w:hAnsi="宋体"/>
          <w:szCs w:val="21"/>
        </w:rPr>
      </w:pPr>
      <w:r>
        <w:rPr>
          <w:rFonts w:hint="eastAsia" w:ascii="宋体" w:hAnsi="宋体"/>
          <w:szCs w:val="21"/>
        </w:rPr>
        <w:t>投标人分栏中填写“√”表示该项符合竞选文件要求，“×”表示该项不符合竞选文件要求，“○”表示无该项内容；</w:t>
      </w:r>
    </w:p>
    <w:p>
      <w:pPr>
        <w:numPr>
          <w:ilvl w:val="0"/>
          <w:numId w:val="5"/>
        </w:numPr>
        <w:adjustRightInd w:val="0"/>
        <w:snapToGrid w:val="0"/>
        <w:spacing w:line="400" w:lineRule="exact"/>
        <w:ind w:firstLine="424" w:firstLineChars="202"/>
        <w:rPr>
          <w:rFonts w:ascii="宋体" w:hAnsi="宋体"/>
          <w:szCs w:val="21"/>
        </w:rPr>
      </w:pPr>
      <w:r>
        <w:rPr>
          <w:rFonts w:hint="eastAsia" w:ascii="宋体" w:hAnsi="宋体"/>
          <w:szCs w:val="21"/>
        </w:rPr>
        <w:t>经评标委员会审核后，出现一个“×”的结论为“不通过”，即按废标处理。</w:t>
      </w:r>
    </w:p>
    <w:p>
      <w:pPr>
        <w:numPr>
          <w:ilvl w:val="0"/>
          <w:numId w:val="5"/>
        </w:numPr>
        <w:adjustRightInd w:val="0"/>
        <w:snapToGrid w:val="0"/>
        <w:spacing w:line="400" w:lineRule="exact"/>
        <w:ind w:firstLine="424" w:firstLineChars="202"/>
        <w:rPr>
          <w:rFonts w:ascii="宋体" w:hAnsi="宋体"/>
          <w:szCs w:val="21"/>
        </w:rPr>
      </w:pPr>
      <w:r>
        <w:rPr>
          <w:rFonts w:hint="eastAsia" w:ascii="宋体" w:hAnsi="宋体"/>
          <w:szCs w:val="21"/>
        </w:rPr>
        <w:t>表中全部条件满足为“通过”，同意进入下一阶段评审。</w:t>
      </w:r>
    </w:p>
    <w:p>
      <w:pPr>
        <w:numPr>
          <w:ilvl w:val="0"/>
          <w:numId w:val="5"/>
        </w:numPr>
        <w:adjustRightInd w:val="0"/>
        <w:snapToGrid w:val="0"/>
        <w:spacing w:line="400" w:lineRule="exact"/>
        <w:ind w:firstLine="424" w:firstLineChars="202"/>
        <w:rPr>
          <w:rFonts w:ascii="宋体" w:hAnsi="宋体"/>
          <w:szCs w:val="21"/>
        </w:rPr>
      </w:pPr>
      <w:r>
        <w:rPr>
          <w:rFonts w:hint="eastAsia"/>
          <w:szCs w:val="21"/>
        </w:rPr>
        <w:t>如对本表中某种情形的</w:t>
      </w:r>
      <w:r>
        <w:rPr>
          <w:rFonts w:hint="eastAsia" w:ascii="宋体" w:hAnsi="宋体"/>
          <w:szCs w:val="21"/>
        </w:rPr>
        <w:t>评委意见不一致时，</w:t>
      </w:r>
      <w:r>
        <w:rPr>
          <w:rFonts w:hint="eastAsia"/>
          <w:szCs w:val="21"/>
        </w:rPr>
        <w:t>以评标委员会过半数成员的意见作为评标委员会对该情形的认定结论。</w:t>
      </w:r>
    </w:p>
    <w:p>
      <w:pPr>
        <w:spacing w:line="400" w:lineRule="exact"/>
        <w:ind w:left="420"/>
        <w:rPr>
          <w:rFonts w:ascii="宋体" w:hAnsi="宋体"/>
          <w:bCs/>
          <w:szCs w:val="21"/>
        </w:rPr>
      </w:pPr>
    </w:p>
    <w:p>
      <w:pPr>
        <w:spacing w:line="400" w:lineRule="exact"/>
        <w:ind w:left="420"/>
        <w:rPr>
          <w:rFonts w:ascii="宋体" w:hAnsi="宋体"/>
          <w:bCs/>
          <w:szCs w:val="21"/>
        </w:rPr>
      </w:pPr>
      <w:r>
        <w:rPr>
          <w:rFonts w:hint="eastAsia" w:ascii="宋体" w:hAnsi="宋体"/>
          <w:bCs/>
          <w:szCs w:val="21"/>
        </w:rPr>
        <w:t xml:space="preserve">评委签名：                                                                                </w:t>
      </w:r>
    </w:p>
    <w:p>
      <w:pPr>
        <w:spacing w:line="400" w:lineRule="exact"/>
        <w:ind w:left="420"/>
        <w:rPr>
          <w:rFonts w:ascii="宋体" w:hAnsi="宋体"/>
          <w:bCs/>
          <w:szCs w:val="21"/>
        </w:rPr>
      </w:pPr>
    </w:p>
    <w:p>
      <w:pPr>
        <w:spacing w:line="400" w:lineRule="exact"/>
        <w:ind w:left="420"/>
        <w:rPr>
          <w:rFonts w:ascii="宋体" w:hAnsi="宋体"/>
          <w:szCs w:val="21"/>
        </w:rPr>
      </w:pPr>
      <w:r>
        <w:rPr>
          <w:rFonts w:hint="eastAsia" w:ascii="宋体" w:hAnsi="宋体"/>
          <w:bCs/>
          <w:szCs w:val="21"/>
        </w:rPr>
        <w:t>日 期：</w:t>
      </w:r>
      <w:r>
        <w:rPr>
          <w:rFonts w:ascii="宋体" w:hAnsi="宋体"/>
          <w:szCs w:val="21"/>
        </w:rPr>
        <w:t>2021</w:t>
      </w:r>
      <w:r>
        <w:rPr>
          <w:rFonts w:hint="eastAsia" w:ascii="宋体" w:hAnsi="宋体"/>
          <w:szCs w:val="21"/>
        </w:rPr>
        <w:t>年   月   日</w:t>
      </w:r>
    </w:p>
    <w:p>
      <w:pPr>
        <w:spacing w:line="360" w:lineRule="auto"/>
        <w:rPr>
          <w:sz w:val="28"/>
          <w:szCs w:val="28"/>
        </w:rPr>
      </w:pPr>
    </w:p>
    <w:sectPr>
      <w:footerReference r:id="rId3" w:type="default"/>
      <w:pgSz w:w="11906" w:h="16838"/>
      <w:pgMar w:top="1134" w:right="1418"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fldChar w:fldCharType="begin"/>
    </w:r>
    <w:r>
      <w:instrText xml:space="preserve"> PAGE   \* MERGEFORMAT </w:instrText>
    </w:r>
    <w:r>
      <w:fldChar w:fldCharType="separate"/>
    </w:r>
    <w:r>
      <w:rPr>
        <w:lang w:val="zh-CN"/>
      </w:rPr>
      <w:t>10</w:t>
    </w:r>
    <w: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839F1"/>
    <w:multiLevelType w:val="multilevel"/>
    <w:tmpl w:val="05A839F1"/>
    <w:lvl w:ilvl="0" w:tentative="0">
      <w:start w:val="1"/>
      <w:numFmt w:val="decimal"/>
      <w:suff w:val="nothing"/>
      <w:lvlText w:val="%1、"/>
      <w:lvlJc w:val="left"/>
      <w:pPr>
        <w:ind w:left="993" w:hanging="567"/>
      </w:pPr>
      <w:rPr>
        <w:rFonts w:hint="default"/>
      </w:rPr>
    </w:lvl>
    <w:lvl w:ilvl="1" w:tentative="0">
      <w:start w:val="1"/>
      <w:numFmt w:val="lowerLetter"/>
      <w:lvlText w:val="%2)"/>
      <w:lvlJc w:val="left"/>
      <w:pPr>
        <w:tabs>
          <w:tab w:val="left" w:pos="1266"/>
        </w:tabs>
        <w:ind w:left="1266" w:hanging="420"/>
      </w:pPr>
      <w:rPr>
        <w:rFonts w:hint="eastAsia"/>
      </w:rPr>
    </w:lvl>
    <w:lvl w:ilvl="2" w:tentative="0">
      <w:start w:val="1"/>
      <w:numFmt w:val="lowerRoman"/>
      <w:lvlText w:val="%3."/>
      <w:lvlJc w:val="right"/>
      <w:pPr>
        <w:tabs>
          <w:tab w:val="left" w:pos="1686"/>
        </w:tabs>
        <w:ind w:left="1686" w:hanging="420"/>
      </w:pPr>
      <w:rPr>
        <w:rFonts w:hint="eastAsia"/>
      </w:rPr>
    </w:lvl>
    <w:lvl w:ilvl="3" w:tentative="0">
      <w:start w:val="1"/>
      <w:numFmt w:val="decimal"/>
      <w:lvlText w:val="%4."/>
      <w:lvlJc w:val="left"/>
      <w:pPr>
        <w:tabs>
          <w:tab w:val="left" w:pos="2106"/>
        </w:tabs>
        <w:ind w:left="2106" w:hanging="420"/>
      </w:pPr>
      <w:rPr>
        <w:rFonts w:hint="eastAsia"/>
      </w:rPr>
    </w:lvl>
    <w:lvl w:ilvl="4" w:tentative="0">
      <w:start w:val="1"/>
      <w:numFmt w:val="lowerLetter"/>
      <w:lvlText w:val="%5)"/>
      <w:lvlJc w:val="left"/>
      <w:pPr>
        <w:tabs>
          <w:tab w:val="left" w:pos="2526"/>
        </w:tabs>
        <w:ind w:left="2526" w:hanging="420"/>
      </w:pPr>
      <w:rPr>
        <w:rFonts w:hint="eastAsia"/>
      </w:rPr>
    </w:lvl>
    <w:lvl w:ilvl="5" w:tentative="0">
      <w:start w:val="1"/>
      <w:numFmt w:val="lowerRoman"/>
      <w:lvlText w:val="%6."/>
      <w:lvlJc w:val="right"/>
      <w:pPr>
        <w:tabs>
          <w:tab w:val="left" w:pos="2946"/>
        </w:tabs>
        <w:ind w:left="2946" w:hanging="420"/>
      </w:pPr>
      <w:rPr>
        <w:rFonts w:hint="eastAsia"/>
      </w:rPr>
    </w:lvl>
    <w:lvl w:ilvl="6" w:tentative="0">
      <w:start w:val="1"/>
      <w:numFmt w:val="decimal"/>
      <w:lvlText w:val="%7."/>
      <w:lvlJc w:val="left"/>
      <w:pPr>
        <w:tabs>
          <w:tab w:val="left" w:pos="3366"/>
        </w:tabs>
        <w:ind w:left="3366" w:hanging="420"/>
      </w:pPr>
      <w:rPr>
        <w:rFonts w:hint="eastAsia"/>
      </w:rPr>
    </w:lvl>
    <w:lvl w:ilvl="7" w:tentative="0">
      <w:start w:val="1"/>
      <w:numFmt w:val="lowerLetter"/>
      <w:lvlText w:val="%8)"/>
      <w:lvlJc w:val="left"/>
      <w:pPr>
        <w:tabs>
          <w:tab w:val="left" w:pos="3786"/>
        </w:tabs>
        <w:ind w:left="3786" w:hanging="420"/>
      </w:pPr>
      <w:rPr>
        <w:rFonts w:hint="eastAsia"/>
      </w:rPr>
    </w:lvl>
    <w:lvl w:ilvl="8" w:tentative="0">
      <w:start w:val="1"/>
      <w:numFmt w:val="lowerRoman"/>
      <w:lvlText w:val="%9."/>
      <w:lvlJc w:val="right"/>
      <w:pPr>
        <w:tabs>
          <w:tab w:val="left" w:pos="4206"/>
        </w:tabs>
        <w:ind w:left="4206" w:hanging="420"/>
      </w:pPr>
      <w:rPr>
        <w:rFonts w:hint="eastAsia"/>
      </w:rPr>
    </w:lvl>
  </w:abstractNum>
  <w:abstractNum w:abstractNumId="1">
    <w:nsid w:val="158838E4"/>
    <w:multiLevelType w:val="multilevel"/>
    <w:tmpl w:val="158838E4"/>
    <w:lvl w:ilvl="0" w:tentative="0">
      <w:start w:val="1"/>
      <w:numFmt w:val="decimal"/>
      <w:lvlText w:val="%1、"/>
      <w:lvlJc w:val="left"/>
      <w:pPr>
        <w:tabs>
          <w:tab w:val="left" w:pos="993"/>
        </w:tabs>
        <w:ind w:left="993" w:hanging="567"/>
      </w:pPr>
      <w:rPr>
        <w:rFonts w:hint="default"/>
      </w:rPr>
    </w:lvl>
    <w:lvl w:ilvl="1" w:tentative="0">
      <w:start w:val="1"/>
      <w:numFmt w:val="lowerLetter"/>
      <w:lvlText w:val="%2)"/>
      <w:lvlJc w:val="left"/>
      <w:pPr>
        <w:tabs>
          <w:tab w:val="left" w:pos="1266"/>
        </w:tabs>
        <w:ind w:left="1266" w:hanging="420"/>
      </w:pPr>
    </w:lvl>
    <w:lvl w:ilvl="2" w:tentative="0">
      <w:start w:val="1"/>
      <w:numFmt w:val="lowerRoman"/>
      <w:lvlText w:val="%3."/>
      <w:lvlJc w:val="right"/>
      <w:pPr>
        <w:tabs>
          <w:tab w:val="left" w:pos="1686"/>
        </w:tabs>
        <w:ind w:left="1686" w:hanging="420"/>
      </w:pPr>
    </w:lvl>
    <w:lvl w:ilvl="3" w:tentative="0">
      <w:start w:val="1"/>
      <w:numFmt w:val="decimal"/>
      <w:lvlText w:val="%4."/>
      <w:lvlJc w:val="left"/>
      <w:pPr>
        <w:tabs>
          <w:tab w:val="left" w:pos="2106"/>
        </w:tabs>
        <w:ind w:left="2106" w:hanging="420"/>
      </w:pPr>
    </w:lvl>
    <w:lvl w:ilvl="4" w:tentative="0">
      <w:start w:val="1"/>
      <w:numFmt w:val="lowerLetter"/>
      <w:lvlText w:val="%5)"/>
      <w:lvlJc w:val="left"/>
      <w:pPr>
        <w:tabs>
          <w:tab w:val="left" w:pos="2526"/>
        </w:tabs>
        <w:ind w:left="2526" w:hanging="420"/>
      </w:pPr>
    </w:lvl>
    <w:lvl w:ilvl="5" w:tentative="0">
      <w:start w:val="1"/>
      <w:numFmt w:val="lowerRoman"/>
      <w:lvlText w:val="%6."/>
      <w:lvlJc w:val="right"/>
      <w:pPr>
        <w:tabs>
          <w:tab w:val="left" w:pos="2946"/>
        </w:tabs>
        <w:ind w:left="2946" w:hanging="420"/>
      </w:pPr>
    </w:lvl>
    <w:lvl w:ilvl="6" w:tentative="0">
      <w:start w:val="1"/>
      <w:numFmt w:val="decimal"/>
      <w:lvlText w:val="%7."/>
      <w:lvlJc w:val="left"/>
      <w:pPr>
        <w:tabs>
          <w:tab w:val="left" w:pos="3366"/>
        </w:tabs>
        <w:ind w:left="3366" w:hanging="420"/>
      </w:pPr>
    </w:lvl>
    <w:lvl w:ilvl="7" w:tentative="0">
      <w:start w:val="1"/>
      <w:numFmt w:val="lowerLetter"/>
      <w:lvlText w:val="%8)"/>
      <w:lvlJc w:val="left"/>
      <w:pPr>
        <w:tabs>
          <w:tab w:val="left" w:pos="3786"/>
        </w:tabs>
        <w:ind w:left="3786" w:hanging="420"/>
      </w:pPr>
    </w:lvl>
    <w:lvl w:ilvl="8" w:tentative="0">
      <w:start w:val="1"/>
      <w:numFmt w:val="lowerRoman"/>
      <w:lvlText w:val="%9."/>
      <w:lvlJc w:val="right"/>
      <w:pPr>
        <w:tabs>
          <w:tab w:val="left" w:pos="4206"/>
        </w:tabs>
        <w:ind w:left="4206" w:hanging="420"/>
      </w:pPr>
    </w:lvl>
  </w:abstractNum>
  <w:abstractNum w:abstractNumId="2">
    <w:nsid w:val="21D2323D"/>
    <w:multiLevelType w:val="multilevel"/>
    <w:tmpl w:val="21D2323D"/>
    <w:lvl w:ilvl="0" w:tentative="0">
      <w:start w:val="1"/>
      <w:numFmt w:val="decimal"/>
      <w:lvlText w:val="%1、"/>
      <w:lvlJc w:val="left"/>
      <w:pPr>
        <w:tabs>
          <w:tab w:val="left" w:pos="993"/>
        </w:tabs>
        <w:ind w:left="993" w:hanging="567"/>
      </w:pPr>
      <w:rPr>
        <w:rFonts w:hint="default"/>
      </w:rPr>
    </w:lvl>
    <w:lvl w:ilvl="1" w:tentative="0">
      <w:start w:val="1"/>
      <w:numFmt w:val="lowerLetter"/>
      <w:lvlText w:val="%2)"/>
      <w:lvlJc w:val="left"/>
      <w:pPr>
        <w:tabs>
          <w:tab w:val="left" w:pos="1266"/>
        </w:tabs>
        <w:ind w:left="1266" w:hanging="420"/>
      </w:pPr>
    </w:lvl>
    <w:lvl w:ilvl="2" w:tentative="0">
      <w:start w:val="1"/>
      <w:numFmt w:val="lowerRoman"/>
      <w:lvlText w:val="%3."/>
      <w:lvlJc w:val="right"/>
      <w:pPr>
        <w:tabs>
          <w:tab w:val="left" w:pos="1686"/>
        </w:tabs>
        <w:ind w:left="1686" w:hanging="420"/>
      </w:pPr>
    </w:lvl>
    <w:lvl w:ilvl="3" w:tentative="0">
      <w:start w:val="1"/>
      <w:numFmt w:val="decimal"/>
      <w:lvlText w:val="%4."/>
      <w:lvlJc w:val="left"/>
      <w:pPr>
        <w:tabs>
          <w:tab w:val="left" w:pos="2106"/>
        </w:tabs>
        <w:ind w:left="2106" w:hanging="420"/>
      </w:pPr>
    </w:lvl>
    <w:lvl w:ilvl="4" w:tentative="0">
      <w:start w:val="1"/>
      <w:numFmt w:val="lowerLetter"/>
      <w:lvlText w:val="%5)"/>
      <w:lvlJc w:val="left"/>
      <w:pPr>
        <w:tabs>
          <w:tab w:val="left" w:pos="2526"/>
        </w:tabs>
        <w:ind w:left="2526" w:hanging="420"/>
      </w:pPr>
    </w:lvl>
    <w:lvl w:ilvl="5" w:tentative="0">
      <w:start w:val="1"/>
      <w:numFmt w:val="lowerRoman"/>
      <w:lvlText w:val="%6."/>
      <w:lvlJc w:val="right"/>
      <w:pPr>
        <w:tabs>
          <w:tab w:val="left" w:pos="2946"/>
        </w:tabs>
        <w:ind w:left="2946" w:hanging="420"/>
      </w:pPr>
    </w:lvl>
    <w:lvl w:ilvl="6" w:tentative="0">
      <w:start w:val="1"/>
      <w:numFmt w:val="decimal"/>
      <w:lvlText w:val="%7."/>
      <w:lvlJc w:val="left"/>
      <w:pPr>
        <w:tabs>
          <w:tab w:val="left" w:pos="3366"/>
        </w:tabs>
        <w:ind w:left="3366" w:hanging="420"/>
      </w:pPr>
    </w:lvl>
    <w:lvl w:ilvl="7" w:tentative="0">
      <w:start w:val="1"/>
      <w:numFmt w:val="lowerLetter"/>
      <w:lvlText w:val="%8)"/>
      <w:lvlJc w:val="left"/>
      <w:pPr>
        <w:tabs>
          <w:tab w:val="left" w:pos="3786"/>
        </w:tabs>
        <w:ind w:left="3786" w:hanging="420"/>
      </w:pPr>
    </w:lvl>
    <w:lvl w:ilvl="8" w:tentative="0">
      <w:start w:val="1"/>
      <w:numFmt w:val="lowerRoman"/>
      <w:lvlText w:val="%9."/>
      <w:lvlJc w:val="right"/>
      <w:pPr>
        <w:tabs>
          <w:tab w:val="left" w:pos="4206"/>
        </w:tabs>
        <w:ind w:left="4206" w:hanging="420"/>
      </w:pPr>
    </w:lvl>
  </w:abstractNum>
  <w:abstractNum w:abstractNumId="3">
    <w:nsid w:val="2F92352D"/>
    <w:multiLevelType w:val="singleLevel"/>
    <w:tmpl w:val="2F92352D"/>
    <w:lvl w:ilvl="0" w:tentative="0">
      <w:start w:val="1"/>
      <w:numFmt w:val="decimal"/>
      <w:suff w:val="nothing"/>
      <w:lvlText w:val="%1."/>
      <w:lvlJc w:val="left"/>
    </w:lvl>
  </w:abstractNum>
  <w:abstractNum w:abstractNumId="4">
    <w:nsid w:val="572DE5B4"/>
    <w:multiLevelType w:val="singleLevel"/>
    <w:tmpl w:val="572DE5B4"/>
    <w:lvl w:ilvl="0" w:tentative="0">
      <w:start w:val="1"/>
      <w:numFmt w:val="decimal"/>
      <w:suff w:val="nothing"/>
      <w:lvlText w:val="%1."/>
      <w:lvlJc w:val="left"/>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232"/>
    <w:rsid w:val="00000237"/>
    <w:rsid w:val="00006EAB"/>
    <w:rsid w:val="0001269A"/>
    <w:rsid w:val="000248F2"/>
    <w:rsid w:val="00024DB1"/>
    <w:rsid w:val="000261AC"/>
    <w:rsid w:val="000511EF"/>
    <w:rsid w:val="00051834"/>
    <w:rsid w:val="000542BB"/>
    <w:rsid w:val="00054374"/>
    <w:rsid w:val="00066150"/>
    <w:rsid w:val="00066222"/>
    <w:rsid w:val="00086E31"/>
    <w:rsid w:val="00097540"/>
    <w:rsid w:val="000A00B3"/>
    <w:rsid w:val="000A2487"/>
    <w:rsid w:val="000A32B4"/>
    <w:rsid w:val="000A4DE7"/>
    <w:rsid w:val="000A75A0"/>
    <w:rsid w:val="000B75B2"/>
    <w:rsid w:val="000C6FE0"/>
    <w:rsid w:val="000D372E"/>
    <w:rsid w:val="000D4516"/>
    <w:rsid w:val="000E277D"/>
    <w:rsid w:val="001013A8"/>
    <w:rsid w:val="00105509"/>
    <w:rsid w:val="00115ACE"/>
    <w:rsid w:val="001300D3"/>
    <w:rsid w:val="00146B63"/>
    <w:rsid w:val="00155983"/>
    <w:rsid w:val="00161C4F"/>
    <w:rsid w:val="00167F5B"/>
    <w:rsid w:val="00171297"/>
    <w:rsid w:val="00172A27"/>
    <w:rsid w:val="00175957"/>
    <w:rsid w:val="00186019"/>
    <w:rsid w:val="00191017"/>
    <w:rsid w:val="00194365"/>
    <w:rsid w:val="001944F5"/>
    <w:rsid w:val="00195617"/>
    <w:rsid w:val="001B2E16"/>
    <w:rsid w:val="001C49E4"/>
    <w:rsid w:val="001C510A"/>
    <w:rsid w:val="001D1FFB"/>
    <w:rsid w:val="001D47BE"/>
    <w:rsid w:val="001D769B"/>
    <w:rsid w:val="001E0876"/>
    <w:rsid w:val="001E5338"/>
    <w:rsid w:val="001F6D6F"/>
    <w:rsid w:val="00202786"/>
    <w:rsid w:val="00205D19"/>
    <w:rsid w:val="002117D0"/>
    <w:rsid w:val="00211BF3"/>
    <w:rsid w:val="00214EFD"/>
    <w:rsid w:val="0021591C"/>
    <w:rsid w:val="00220F76"/>
    <w:rsid w:val="00221D47"/>
    <w:rsid w:val="0022476E"/>
    <w:rsid w:val="0023650D"/>
    <w:rsid w:val="0025569B"/>
    <w:rsid w:val="0026536E"/>
    <w:rsid w:val="00265945"/>
    <w:rsid w:val="00275CA3"/>
    <w:rsid w:val="00294486"/>
    <w:rsid w:val="002A558D"/>
    <w:rsid w:val="002D14AE"/>
    <w:rsid w:val="002D4296"/>
    <w:rsid w:val="002D7DD0"/>
    <w:rsid w:val="002E0B01"/>
    <w:rsid w:val="002F6943"/>
    <w:rsid w:val="003025E4"/>
    <w:rsid w:val="003202A4"/>
    <w:rsid w:val="00321DB1"/>
    <w:rsid w:val="00327AA1"/>
    <w:rsid w:val="0033236B"/>
    <w:rsid w:val="00333AA2"/>
    <w:rsid w:val="00343111"/>
    <w:rsid w:val="00353699"/>
    <w:rsid w:val="0036491C"/>
    <w:rsid w:val="00392549"/>
    <w:rsid w:val="003932F2"/>
    <w:rsid w:val="00394717"/>
    <w:rsid w:val="003954FA"/>
    <w:rsid w:val="003975C1"/>
    <w:rsid w:val="003A61B7"/>
    <w:rsid w:val="003A63C6"/>
    <w:rsid w:val="003D0FFC"/>
    <w:rsid w:val="003D6DDA"/>
    <w:rsid w:val="003F2B4E"/>
    <w:rsid w:val="00426155"/>
    <w:rsid w:val="004469BA"/>
    <w:rsid w:val="00456BC1"/>
    <w:rsid w:val="00467CAD"/>
    <w:rsid w:val="00473D77"/>
    <w:rsid w:val="00476BF0"/>
    <w:rsid w:val="00480966"/>
    <w:rsid w:val="00497671"/>
    <w:rsid w:val="004A0372"/>
    <w:rsid w:val="004A1A1D"/>
    <w:rsid w:val="004A23D1"/>
    <w:rsid w:val="004A4F9A"/>
    <w:rsid w:val="004B26CB"/>
    <w:rsid w:val="004B4D32"/>
    <w:rsid w:val="004B5C58"/>
    <w:rsid w:val="004C4EDB"/>
    <w:rsid w:val="004D248A"/>
    <w:rsid w:val="004D5436"/>
    <w:rsid w:val="004E2008"/>
    <w:rsid w:val="004E3B04"/>
    <w:rsid w:val="004E5C78"/>
    <w:rsid w:val="004E7A16"/>
    <w:rsid w:val="00513077"/>
    <w:rsid w:val="00517ED7"/>
    <w:rsid w:val="0052246D"/>
    <w:rsid w:val="00541171"/>
    <w:rsid w:val="00541BB1"/>
    <w:rsid w:val="00545D4B"/>
    <w:rsid w:val="00550B1F"/>
    <w:rsid w:val="005566FF"/>
    <w:rsid w:val="00557322"/>
    <w:rsid w:val="00561290"/>
    <w:rsid w:val="005613DF"/>
    <w:rsid w:val="00567151"/>
    <w:rsid w:val="0056721A"/>
    <w:rsid w:val="00567DB5"/>
    <w:rsid w:val="00576B93"/>
    <w:rsid w:val="005772A9"/>
    <w:rsid w:val="00585285"/>
    <w:rsid w:val="00592951"/>
    <w:rsid w:val="005969FB"/>
    <w:rsid w:val="005B2C4E"/>
    <w:rsid w:val="005B4909"/>
    <w:rsid w:val="005B6CEE"/>
    <w:rsid w:val="005D2CC7"/>
    <w:rsid w:val="005E018D"/>
    <w:rsid w:val="005E06B4"/>
    <w:rsid w:val="005E4E7C"/>
    <w:rsid w:val="00607731"/>
    <w:rsid w:val="006106FB"/>
    <w:rsid w:val="00611B4E"/>
    <w:rsid w:val="00617D0B"/>
    <w:rsid w:val="00621A9E"/>
    <w:rsid w:val="0062246F"/>
    <w:rsid w:val="006244A0"/>
    <w:rsid w:val="00634D74"/>
    <w:rsid w:val="00637977"/>
    <w:rsid w:val="0064000A"/>
    <w:rsid w:val="00643B2F"/>
    <w:rsid w:val="006448AF"/>
    <w:rsid w:val="00646FC2"/>
    <w:rsid w:val="006503EF"/>
    <w:rsid w:val="00666B5D"/>
    <w:rsid w:val="00690C78"/>
    <w:rsid w:val="00694033"/>
    <w:rsid w:val="006A3B53"/>
    <w:rsid w:val="006B2E51"/>
    <w:rsid w:val="006B36E7"/>
    <w:rsid w:val="006E54A2"/>
    <w:rsid w:val="006E7BA8"/>
    <w:rsid w:val="006F1914"/>
    <w:rsid w:val="00706205"/>
    <w:rsid w:val="007134DD"/>
    <w:rsid w:val="00714ACD"/>
    <w:rsid w:val="00715897"/>
    <w:rsid w:val="007216CB"/>
    <w:rsid w:val="0072216A"/>
    <w:rsid w:val="007423DA"/>
    <w:rsid w:val="00743DF1"/>
    <w:rsid w:val="00753739"/>
    <w:rsid w:val="00763505"/>
    <w:rsid w:val="007672D2"/>
    <w:rsid w:val="00776700"/>
    <w:rsid w:val="00786B2B"/>
    <w:rsid w:val="007A0E9C"/>
    <w:rsid w:val="007A2D85"/>
    <w:rsid w:val="007A3422"/>
    <w:rsid w:val="007A7F23"/>
    <w:rsid w:val="007C04CE"/>
    <w:rsid w:val="007C3669"/>
    <w:rsid w:val="007D7DD0"/>
    <w:rsid w:val="007F3362"/>
    <w:rsid w:val="007F4585"/>
    <w:rsid w:val="007F49B3"/>
    <w:rsid w:val="007F62C7"/>
    <w:rsid w:val="00800453"/>
    <w:rsid w:val="00800786"/>
    <w:rsid w:val="00814712"/>
    <w:rsid w:val="00815501"/>
    <w:rsid w:val="008160FF"/>
    <w:rsid w:val="00821F86"/>
    <w:rsid w:val="00843F0E"/>
    <w:rsid w:val="008451F2"/>
    <w:rsid w:val="0084579E"/>
    <w:rsid w:val="00846388"/>
    <w:rsid w:val="00854D07"/>
    <w:rsid w:val="00860A31"/>
    <w:rsid w:val="008638B9"/>
    <w:rsid w:val="008639B0"/>
    <w:rsid w:val="0086680E"/>
    <w:rsid w:val="00877012"/>
    <w:rsid w:val="00885F0E"/>
    <w:rsid w:val="008872F1"/>
    <w:rsid w:val="00892318"/>
    <w:rsid w:val="00894519"/>
    <w:rsid w:val="008A0E92"/>
    <w:rsid w:val="008A3D6E"/>
    <w:rsid w:val="008B670C"/>
    <w:rsid w:val="008C26B6"/>
    <w:rsid w:val="008C7560"/>
    <w:rsid w:val="008E3344"/>
    <w:rsid w:val="008F2808"/>
    <w:rsid w:val="008F4BC0"/>
    <w:rsid w:val="008F50D8"/>
    <w:rsid w:val="008F5C67"/>
    <w:rsid w:val="00902C05"/>
    <w:rsid w:val="0090551B"/>
    <w:rsid w:val="009159D7"/>
    <w:rsid w:val="00932FEC"/>
    <w:rsid w:val="00952170"/>
    <w:rsid w:val="0095677A"/>
    <w:rsid w:val="009729EA"/>
    <w:rsid w:val="0097363A"/>
    <w:rsid w:val="00973949"/>
    <w:rsid w:val="009767C9"/>
    <w:rsid w:val="00976A0B"/>
    <w:rsid w:val="00983A2A"/>
    <w:rsid w:val="00990E1A"/>
    <w:rsid w:val="009914C9"/>
    <w:rsid w:val="00991A45"/>
    <w:rsid w:val="009A2776"/>
    <w:rsid w:val="009A4D34"/>
    <w:rsid w:val="009A525E"/>
    <w:rsid w:val="009B4753"/>
    <w:rsid w:val="009B745A"/>
    <w:rsid w:val="009C3EE0"/>
    <w:rsid w:val="009C65A2"/>
    <w:rsid w:val="009C7BC9"/>
    <w:rsid w:val="009E12D5"/>
    <w:rsid w:val="009E29EF"/>
    <w:rsid w:val="009E359E"/>
    <w:rsid w:val="00A047AA"/>
    <w:rsid w:val="00A05921"/>
    <w:rsid w:val="00A105FC"/>
    <w:rsid w:val="00A15326"/>
    <w:rsid w:val="00A214CC"/>
    <w:rsid w:val="00A32246"/>
    <w:rsid w:val="00A46630"/>
    <w:rsid w:val="00A614CE"/>
    <w:rsid w:val="00A63DD1"/>
    <w:rsid w:val="00A735C6"/>
    <w:rsid w:val="00A81CD4"/>
    <w:rsid w:val="00A963B9"/>
    <w:rsid w:val="00AA7AB2"/>
    <w:rsid w:val="00AB341E"/>
    <w:rsid w:val="00AB7FA5"/>
    <w:rsid w:val="00AD4C1A"/>
    <w:rsid w:val="00AE5CBE"/>
    <w:rsid w:val="00AF3EDE"/>
    <w:rsid w:val="00AF442C"/>
    <w:rsid w:val="00B00BE7"/>
    <w:rsid w:val="00B03C03"/>
    <w:rsid w:val="00B25BB6"/>
    <w:rsid w:val="00B261B8"/>
    <w:rsid w:val="00B27F3C"/>
    <w:rsid w:val="00B30173"/>
    <w:rsid w:val="00B30809"/>
    <w:rsid w:val="00B43CD4"/>
    <w:rsid w:val="00B47E24"/>
    <w:rsid w:val="00B5736B"/>
    <w:rsid w:val="00B726C7"/>
    <w:rsid w:val="00B72889"/>
    <w:rsid w:val="00B860C3"/>
    <w:rsid w:val="00B90671"/>
    <w:rsid w:val="00B90B6E"/>
    <w:rsid w:val="00B9496A"/>
    <w:rsid w:val="00B96B7C"/>
    <w:rsid w:val="00BA4EFF"/>
    <w:rsid w:val="00BB1E59"/>
    <w:rsid w:val="00BB6D96"/>
    <w:rsid w:val="00BB7C3F"/>
    <w:rsid w:val="00BC0E38"/>
    <w:rsid w:val="00BC35DC"/>
    <w:rsid w:val="00BC4ED0"/>
    <w:rsid w:val="00BD5240"/>
    <w:rsid w:val="00BF0C77"/>
    <w:rsid w:val="00C062D1"/>
    <w:rsid w:val="00C07BF1"/>
    <w:rsid w:val="00C11059"/>
    <w:rsid w:val="00C110E4"/>
    <w:rsid w:val="00C17058"/>
    <w:rsid w:val="00C174A4"/>
    <w:rsid w:val="00C219B3"/>
    <w:rsid w:val="00C2645D"/>
    <w:rsid w:val="00C3119C"/>
    <w:rsid w:val="00C514A7"/>
    <w:rsid w:val="00C57767"/>
    <w:rsid w:val="00C706FF"/>
    <w:rsid w:val="00C74CE8"/>
    <w:rsid w:val="00C758F6"/>
    <w:rsid w:val="00C85998"/>
    <w:rsid w:val="00C90657"/>
    <w:rsid w:val="00C9536A"/>
    <w:rsid w:val="00C9758C"/>
    <w:rsid w:val="00CB1706"/>
    <w:rsid w:val="00CC78E6"/>
    <w:rsid w:val="00CD7E92"/>
    <w:rsid w:val="00CF3AA5"/>
    <w:rsid w:val="00CF5C4F"/>
    <w:rsid w:val="00CF678C"/>
    <w:rsid w:val="00D01A48"/>
    <w:rsid w:val="00D03706"/>
    <w:rsid w:val="00D14DB9"/>
    <w:rsid w:val="00D40EF6"/>
    <w:rsid w:val="00D51B1D"/>
    <w:rsid w:val="00D568F3"/>
    <w:rsid w:val="00D57C42"/>
    <w:rsid w:val="00D60FF1"/>
    <w:rsid w:val="00D648BA"/>
    <w:rsid w:val="00D70E13"/>
    <w:rsid w:val="00D71A5D"/>
    <w:rsid w:val="00D845E0"/>
    <w:rsid w:val="00D87D2D"/>
    <w:rsid w:val="00D9132A"/>
    <w:rsid w:val="00D92AC4"/>
    <w:rsid w:val="00D9769D"/>
    <w:rsid w:val="00DA71C3"/>
    <w:rsid w:val="00DB6F1F"/>
    <w:rsid w:val="00DC0A3E"/>
    <w:rsid w:val="00DD2666"/>
    <w:rsid w:val="00DD3D16"/>
    <w:rsid w:val="00DE00B8"/>
    <w:rsid w:val="00DE68FF"/>
    <w:rsid w:val="00DF1B2F"/>
    <w:rsid w:val="00DF211B"/>
    <w:rsid w:val="00DF4B6D"/>
    <w:rsid w:val="00E1751F"/>
    <w:rsid w:val="00E354F4"/>
    <w:rsid w:val="00E36D06"/>
    <w:rsid w:val="00E4358F"/>
    <w:rsid w:val="00E458D6"/>
    <w:rsid w:val="00E47B3B"/>
    <w:rsid w:val="00E47B59"/>
    <w:rsid w:val="00E546F2"/>
    <w:rsid w:val="00E60A10"/>
    <w:rsid w:val="00E63138"/>
    <w:rsid w:val="00E738C7"/>
    <w:rsid w:val="00E80794"/>
    <w:rsid w:val="00E97A9C"/>
    <w:rsid w:val="00EA11D6"/>
    <w:rsid w:val="00EA4024"/>
    <w:rsid w:val="00EA4B1F"/>
    <w:rsid w:val="00EC0CD3"/>
    <w:rsid w:val="00EC556A"/>
    <w:rsid w:val="00EE46A6"/>
    <w:rsid w:val="00EF00F4"/>
    <w:rsid w:val="00EF18C1"/>
    <w:rsid w:val="00F02A17"/>
    <w:rsid w:val="00F05829"/>
    <w:rsid w:val="00F1300D"/>
    <w:rsid w:val="00F154F7"/>
    <w:rsid w:val="00F25AE1"/>
    <w:rsid w:val="00F42B37"/>
    <w:rsid w:val="00F547F7"/>
    <w:rsid w:val="00F63FB3"/>
    <w:rsid w:val="00F71114"/>
    <w:rsid w:val="00F716E9"/>
    <w:rsid w:val="00F71ADB"/>
    <w:rsid w:val="00F74258"/>
    <w:rsid w:val="00F746EC"/>
    <w:rsid w:val="00F91977"/>
    <w:rsid w:val="00FA0034"/>
    <w:rsid w:val="00FB25F3"/>
    <w:rsid w:val="00FC33B2"/>
    <w:rsid w:val="00FC3A89"/>
    <w:rsid w:val="00FD50E2"/>
    <w:rsid w:val="00FE225B"/>
    <w:rsid w:val="01586AB7"/>
    <w:rsid w:val="042B4404"/>
    <w:rsid w:val="05F33E19"/>
    <w:rsid w:val="08A607DC"/>
    <w:rsid w:val="13033C28"/>
    <w:rsid w:val="13B94E90"/>
    <w:rsid w:val="16FA62BC"/>
    <w:rsid w:val="214926E0"/>
    <w:rsid w:val="3C823756"/>
    <w:rsid w:val="3C9B5EFD"/>
    <w:rsid w:val="3E13186C"/>
    <w:rsid w:val="485F4870"/>
    <w:rsid w:val="50055DC9"/>
    <w:rsid w:val="5FA63A90"/>
    <w:rsid w:val="656F3231"/>
    <w:rsid w:val="697F115B"/>
    <w:rsid w:val="6AB5708C"/>
    <w:rsid w:val="796C3466"/>
    <w:rsid w:val="7B2D3227"/>
    <w:rsid w:val="7D5D521C"/>
    <w:rsid w:val="7EBB2477"/>
    <w:rsid w:val="7F9430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0" w:semiHidden="0"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
    <w:qFormat/>
    <w:uiPriority w:val="9"/>
    <w:pPr>
      <w:spacing w:before="100" w:beforeAutospacing="1" w:after="100" w:afterAutospacing="1"/>
      <w:jc w:val="left"/>
      <w:outlineLvl w:val="0"/>
    </w:pPr>
    <w:rPr>
      <w:rFonts w:hint="eastAsia" w:ascii="宋体" w:hAnsi="宋体"/>
      <w:b/>
      <w:bCs/>
      <w:snapToGrid w:val="0"/>
      <w:kern w:val="44"/>
      <w:sz w:val="48"/>
      <w:szCs w:val="48"/>
    </w:rPr>
  </w:style>
  <w:style w:type="character" w:default="1" w:styleId="12">
    <w:name w:val="Default Paragraph Font"/>
    <w:semiHidden/>
    <w:unhideWhenUsed/>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26"/>
    <w:semiHidden/>
    <w:unhideWhenUsed/>
    <w:qFormat/>
    <w:uiPriority w:val="99"/>
    <w:rPr>
      <w:b/>
      <w:bCs/>
    </w:rPr>
  </w:style>
  <w:style w:type="paragraph" w:styleId="4">
    <w:name w:val="annotation text"/>
    <w:basedOn w:val="1"/>
    <w:link w:val="25"/>
    <w:semiHidden/>
    <w:unhideWhenUsed/>
    <w:qFormat/>
    <w:uiPriority w:val="99"/>
    <w:pPr>
      <w:jc w:val="left"/>
    </w:pPr>
  </w:style>
  <w:style w:type="paragraph" w:styleId="5">
    <w:name w:val="Closing"/>
    <w:basedOn w:val="1"/>
    <w:qFormat/>
    <w:uiPriority w:val="0"/>
    <w:pPr>
      <w:ind w:left="100" w:leftChars="2100"/>
    </w:pPr>
    <w:rPr>
      <w:rFonts w:ascii="宋体"/>
      <w:sz w:val="24"/>
    </w:rPr>
  </w:style>
  <w:style w:type="paragraph" w:styleId="6">
    <w:name w:val="Body Text Indent"/>
    <w:basedOn w:val="1"/>
    <w:link w:val="30"/>
    <w:qFormat/>
    <w:uiPriority w:val="0"/>
    <w:pPr>
      <w:spacing w:after="120"/>
      <w:ind w:left="420" w:leftChars="200"/>
    </w:pPr>
    <w:rPr>
      <w:rFonts w:ascii="Calibri" w:hAnsi="Calibri"/>
      <w:szCs w:val="22"/>
    </w:rPr>
  </w:style>
  <w:style w:type="paragraph" w:styleId="7">
    <w:name w:val="Plain Text"/>
    <w:basedOn w:val="1"/>
    <w:link w:val="24"/>
    <w:unhideWhenUsed/>
    <w:qFormat/>
    <w:uiPriority w:val="0"/>
    <w:pPr>
      <w:widowControl/>
      <w:adjustRightInd w:val="0"/>
      <w:snapToGrid w:val="0"/>
      <w:ind w:firstLine="200" w:firstLineChars="200"/>
      <w:jc w:val="left"/>
    </w:pPr>
    <w:rPr>
      <w:rFonts w:ascii="宋体" w:hAnsi="Courier New" w:eastAsia="微软雅黑" w:cs="Courier New"/>
      <w:kern w:val="0"/>
      <w:sz w:val="22"/>
      <w:szCs w:val="21"/>
    </w:rPr>
  </w:style>
  <w:style w:type="paragraph" w:styleId="8">
    <w:name w:val="Balloon Text"/>
    <w:basedOn w:val="1"/>
    <w:qFormat/>
    <w:uiPriority w:val="0"/>
    <w:rPr>
      <w:sz w:val="18"/>
      <w:szCs w:val="18"/>
    </w:rPr>
  </w:style>
  <w:style w:type="paragraph" w:styleId="9">
    <w:name w:val="footer"/>
    <w:basedOn w:val="1"/>
    <w:link w:val="20"/>
    <w:qFormat/>
    <w:uiPriority w:val="99"/>
    <w:pPr>
      <w:tabs>
        <w:tab w:val="center" w:pos="4153"/>
        <w:tab w:val="right" w:pos="8306"/>
      </w:tabs>
      <w:snapToGrid w:val="0"/>
      <w:jc w:val="left"/>
    </w:pPr>
    <w:rPr>
      <w:sz w:val="18"/>
      <w:szCs w:val="18"/>
    </w:rPr>
  </w:style>
  <w:style w:type="paragraph" w:styleId="10">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spacing w:before="100" w:beforeAutospacing="1" w:after="100" w:afterAutospacing="1"/>
      <w:jc w:val="left"/>
    </w:pPr>
    <w:rPr>
      <w:rFonts w:ascii="Calibri" w:hAnsi="Calibri"/>
      <w:kern w:val="0"/>
      <w:sz w:val="24"/>
      <w:szCs w:val="22"/>
    </w:rPr>
  </w:style>
  <w:style w:type="character" w:styleId="13">
    <w:name w:val="Hyperlink"/>
    <w:basedOn w:val="12"/>
    <w:unhideWhenUsed/>
    <w:qFormat/>
    <w:uiPriority w:val="99"/>
    <w:rPr>
      <w:color w:val="0000FF"/>
      <w:u w:val="single"/>
    </w:rPr>
  </w:style>
  <w:style w:type="character" w:styleId="14">
    <w:name w:val="annotation reference"/>
    <w:basedOn w:val="12"/>
    <w:semiHidden/>
    <w:unhideWhenUsed/>
    <w:qFormat/>
    <w:uiPriority w:val="99"/>
    <w:rPr>
      <w:sz w:val="21"/>
      <w:szCs w:val="21"/>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
    <w:name w:val="纯文本1"/>
    <w:basedOn w:val="1"/>
    <w:qFormat/>
    <w:uiPriority w:val="0"/>
    <w:pPr>
      <w:widowControl/>
      <w:jc w:val="left"/>
    </w:pPr>
    <w:rPr>
      <w:rFonts w:ascii="宋体" w:hAnsi="Courier New" w:eastAsia="微软雅黑"/>
      <w:kern w:val="0"/>
      <w:sz w:val="20"/>
      <w:szCs w:val="21"/>
    </w:rPr>
  </w:style>
  <w:style w:type="paragraph" w:customStyle="1" w:styleId="18">
    <w:name w:val="1_0"/>
    <w:basedOn w:val="1"/>
    <w:next w:val="17"/>
    <w:qFormat/>
    <w:uiPriority w:val="0"/>
    <w:rPr>
      <w:rFonts w:ascii="宋体" w:hAnsi="Courier New"/>
      <w:szCs w:val="22"/>
    </w:rPr>
  </w:style>
  <w:style w:type="paragraph" w:customStyle="1" w:styleId="19">
    <w:name w:val="无间隔1"/>
    <w:qFormat/>
    <w:uiPriority w:val="99"/>
    <w:pPr>
      <w:adjustRightInd w:val="0"/>
      <w:snapToGrid w:val="0"/>
    </w:pPr>
    <w:rPr>
      <w:rFonts w:ascii="Tahoma" w:hAnsi="Tahoma" w:eastAsia="微软雅黑" w:cs="Times New Roman"/>
      <w:sz w:val="22"/>
      <w:szCs w:val="22"/>
      <w:lang w:val="en-US" w:eastAsia="zh-CN" w:bidi="ar-SA"/>
    </w:rPr>
  </w:style>
  <w:style w:type="character" w:customStyle="1" w:styleId="20">
    <w:name w:val="页脚 Char"/>
    <w:link w:val="9"/>
    <w:qFormat/>
    <w:uiPriority w:val="99"/>
    <w:rPr>
      <w:kern w:val="2"/>
      <w:sz w:val="18"/>
      <w:szCs w:val="18"/>
    </w:rPr>
  </w:style>
  <w:style w:type="character" w:customStyle="1" w:styleId="21">
    <w:name w:val="apple-style-span"/>
    <w:basedOn w:val="12"/>
    <w:qFormat/>
    <w:uiPriority w:val="0"/>
  </w:style>
  <w:style w:type="character" w:customStyle="1" w:styleId="22">
    <w:name w:val="页眉 Char"/>
    <w:link w:val="10"/>
    <w:qFormat/>
    <w:uiPriority w:val="0"/>
    <w:rPr>
      <w:kern w:val="2"/>
      <w:sz w:val="18"/>
      <w:szCs w:val="18"/>
    </w:rPr>
  </w:style>
  <w:style w:type="character" w:customStyle="1" w:styleId="23">
    <w:name w:val="style141"/>
    <w:qFormat/>
    <w:uiPriority w:val="0"/>
    <w:rPr>
      <w:rFonts w:hint="eastAsia" w:ascii="宋体" w:hAnsi="宋体" w:eastAsia="宋体"/>
      <w:sz w:val="18"/>
      <w:szCs w:val="18"/>
    </w:rPr>
  </w:style>
  <w:style w:type="character" w:customStyle="1" w:styleId="24">
    <w:name w:val="纯文本 Char"/>
    <w:basedOn w:val="12"/>
    <w:link w:val="7"/>
    <w:qFormat/>
    <w:uiPriority w:val="0"/>
    <w:rPr>
      <w:rFonts w:ascii="宋体" w:hAnsi="Courier New" w:eastAsia="微软雅黑" w:cs="Courier New"/>
      <w:sz w:val="22"/>
      <w:szCs w:val="21"/>
    </w:rPr>
  </w:style>
  <w:style w:type="character" w:customStyle="1" w:styleId="25">
    <w:name w:val="批注文字 Char"/>
    <w:basedOn w:val="12"/>
    <w:link w:val="4"/>
    <w:semiHidden/>
    <w:qFormat/>
    <w:uiPriority w:val="99"/>
    <w:rPr>
      <w:kern w:val="2"/>
      <w:sz w:val="21"/>
      <w:szCs w:val="24"/>
    </w:rPr>
  </w:style>
  <w:style w:type="character" w:customStyle="1" w:styleId="26">
    <w:name w:val="批注主题 Char"/>
    <w:basedOn w:val="25"/>
    <w:link w:val="3"/>
    <w:semiHidden/>
    <w:qFormat/>
    <w:uiPriority w:val="99"/>
    <w:rPr>
      <w:b/>
      <w:bCs/>
      <w:kern w:val="2"/>
      <w:sz w:val="21"/>
      <w:szCs w:val="24"/>
    </w:rPr>
  </w:style>
  <w:style w:type="paragraph" w:styleId="27">
    <w:name w:val="List Paragraph"/>
    <w:basedOn w:val="1"/>
    <w:qFormat/>
    <w:uiPriority w:val="34"/>
    <w:pPr>
      <w:ind w:firstLine="420" w:firstLineChars="200"/>
    </w:pPr>
  </w:style>
  <w:style w:type="character" w:customStyle="1" w:styleId="28">
    <w:name w:val="标题 1 Char"/>
    <w:basedOn w:val="12"/>
    <w:link w:val="2"/>
    <w:qFormat/>
    <w:uiPriority w:val="9"/>
    <w:rPr>
      <w:rFonts w:ascii="宋体" w:hAnsi="宋体"/>
      <w:b/>
      <w:bCs/>
      <w:snapToGrid w:val="0"/>
      <w:kern w:val="44"/>
      <w:sz w:val="48"/>
      <w:szCs w:val="48"/>
    </w:rPr>
  </w:style>
  <w:style w:type="character" w:customStyle="1" w:styleId="29">
    <w:name w:val="font01"/>
    <w:basedOn w:val="12"/>
    <w:qFormat/>
    <w:uiPriority w:val="0"/>
    <w:rPr>
      <w:rFonts w:hint="eastAsia" w:ascii="宋体" w:hAnsi="宋体" w:eastAsia="宋体" w:cs="宋体"/>
      <w:color w:val="000000"/>
      <w:sz w:val="22"/>
      <w:szCs w:val="22"/>
      <w:u w:val="none"/>
      <w:vertAlign w:val="superscript"/>
    </w:rPr>
  </w:style>
  <w:style w:type="character" w:customStyle="1" w:styleId="30">
    <w:name w:val="正文文本缩进 Char"/>
    <w:basedOn w:val="12"/>
    <w:link w:val="6"/>
    <w:qFormat/>
    <w:uiPriority w:val="0"/>
    <w:rPr>
      <w:rFonts w:ascii="Calibri" w:hAnsi="Calibri"/>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work\&#37319;&#36141;&#21512;&#21516;&#37096;&#21508;&#31867;&#24037;&#20316;&#26631;&#20934;&#25991;&#20214;\&#20844;&#24320;&#31454;&#36873;\Norma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aaa</Company>
  <Pages>16</Pages>
  <Words>1050</Words>
  <Characters>5988</Characters>
  <Lines>49</Lines>
  <Paragraphs>14</Paragraphs>
  <TotalTime>988</TotalTime>
  <ScaleCrop>false</ScaleCrop>
  <LinksUpToDate>false</LinksUpToDate>
  <CharactersWithSpaces>7024</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2018-02-28T04:01:00Z</dcterms:created>
  <dc:creator>abc</dc:creator>
  <cp:lastModifiedBy>蒋明君</cp:lastModifiedBy>
  <cp:lastPrinted>2011-11-29T08:47:00Z</cp:lastPrinted>
  <dcterms:modified xsi:type="dcterms:W3CDTF">2021-06-01T09:15:59Z</dcterms:modified>
  <dc:title>广州大学城投资经营管理有限公司</dc:title>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