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广州市超算分布式能源投资有限公司</w:t>
      </w:r>
    </w:p>
    <w:p>
      <w:pPr>
        <w:jc w:val="center"/>
        <w:rPr>
          <w:b/>
          <w:sz w:val="28"/>
        </w:rPr>
      </w:pPr>
      <w:r>
        <w:rPr>
          <w:rFonts w:hint="eastAsia"/>
          <w:b/>
          <w:sz w:val="28"/>
        </w:rPr>
        <w:t>2021年备品备件采购</w:t>
      </w:r>
    </w:p>
    <w:p>
      <w:pPr>
        <w:jc w:val="center"/>
        <w:rPr>
          <w:b/>
          <w:sz w:val="28"/>
        </w:rPr>
      </w:pPr>
      <w:r>
        <w:rPr>
          <w:rFonts w:hint="eastAsia"/>
          <w:b/>
          <w:sz w:val="28"/>
        </w:rPr>
        <w:t>竞选文件</w:t>
      </w:r>
    </w:p>
    <w:p>
      <w:pPr>
        <w:spacing w:line="360" w:lineRule="auto"/>
        <w:ind w:firstLine="482" w:firstLineChars="200"/>
        <w:jc w:val="left"/>
        <w:rPr>
          <w:rFonts w:ascii="宋体" w:hAnsi="宋体"/>
          <w:b/>
          <w:sz w:val="24"/>
        </w:rPr>
      </w:pPr>
    </w:p>
    <w:p>
      <w:pPr>
        <w:pStyle w:val="11"/>
        <w:numPr>
          <w:ilvl w:val="0"/>
          <w:numId w:val="1"/>
        </w:numPr>
        <w:spacing w:line="360" w:lineRule="auto"/>
        <w:ind w:left="0" w:firstLine="480"/>
        <w:rPr>
          <w:rFonts w:ascii="宋体" w:hAnsi="宋体"/>
          <w:sz w:val="24"/>
        </w:rPr>
      </w:pPr>
      <w:r>
        <w:rPr>
          <w:rFonts w:hint="eastAsia" w:ascii="宋体" w:hAnsi="宋体"/>
          <w:sz w:val="24"/>
        </w:rPr>
        <w:t>项目名称和采购内容</w:t>
      </w:r>
    </w:p>
    <w:p>
      <w:pPr>
        <w:pStyle w:val="11"/>
        <w:tabs>
          <w:tab w:val="left" w:pos="420"/>
        </w:tabs>
        <w:spacing w:line="360" w:lineRule="auto"/>
        <w:ind w:firstLine="480"/>
        <w:rPr>
          <w:rFonts w:ascii="宋体" w:hAnsi="宋体"/>
          <w:sz w:val="24"/>
        </w:rPr>
      </w:pPr>
      <w:r>
        <w:rPr>
          <w:rFonts w:hint="eastAsia" w:ascii="宋体" w:hAnsi="宋体"/>
          <w:sz w:val="24"/>
        </w:rPr>
        <w:t>（一）项目名称：2021年备品备件采购</w:t>
      </w:r>
    </w:p>
    <w:p>
      <w:pPr>
        <w:pStyle w:val="11"/>
        <w:tabs>
          <w:tab w:val="left" w:pos="420"/>
        </w:tabs>
        <w:spacing w:line="360" w:lineRule="auto"/>
        <w:ind w:firstLine="480"/>
        <w:rPr>
          <w:rFonts w:ascii="宋体" w:hAnsi="宋体"/>
          <w:sz w:val="24"/>
        </w:rPr>
      </w:pPr>
      <w:r>
        <w:rPr>
          <w:rFonts w:hint="eastAsia" w:ascii="宋体" w:hAnsi="宋体"/>
          <w:sz w:val="24"/>
        </w:rPr>
        <w:t>（二）采购限价：44万元。（投标报价超过采购限价为无效投标）。</w:t>
      </w:r>
    </w:p>
    <w:p>
      <w:pPr>
        <w:pStyle w:val="11"/>
        <w:tabs>
          <w:tab w:val="left" w:pos="420"/>
        </w:tabs>
        <w:spacing w:line="360" w:lineRule="auto"/>
        <w:ind w:firstLine="480"/>
        <w:rPr>
          <w:rFonts w:ascii="宋体" w:hAnsi="宋体"/>
          <w:sz w:val="24"/>
        </w:rPr>
      </w:pPr>
      <w:r>
        <w:rPr>
          <w:rFonts w:hint="eastAsia" w:ascii="宋体" w:hAnsi="宋体"/>
          <w:sz w:val="24"/>
        </w:rPr>
        <w:t>（三）采购内容：主机</w:t>
      </w:r>
      <w:r>
        <w:rPr>
          <w:rFonts w:hint="eastAsia" w:ascii="宋体" w:hAnsi="宋体" w:eastAsia="宋体" w:cs="宋体"/>
          <w:sz w:val="24"/>
        </w:rPr>
        <w:t>材料</w:t>
      </w:r>
      <w:r>
        <w:rPr>
          <w:rFonts w:hint="eastAsia" w:ascii="宋体" w:hAnsi="宋体"/>
          <w:sz w:val="24"/>
        </w:rPr>
        <w:t>，具体详见附件1本项目“采购需求”。</w:t>
      </w:r>
    </w:p>
    <w:p>
      <w:pPr>
        <w:spacing w:line="360" w:lineRule="auto"/>
        <w:ind w:firstLine="480" w:firstLineChars="200"/>
        <w:rPr>
          <w:rFonts w:ascii="宋体" w:hAnsi="宋体"/>
          <w:sz w:val="24"/>
        </w:rPr>
      </w:pPr>
      <w:r>
        <w:rPr>
          <w:rFonts w:hint="eastAsia" w:ascii="宋体" w:hAnsi="宋体"/>
          <w:sz w:val="24"/>
        </w:rPr>
        <w:t>二、合格供应商资格要求</w:t>
      </w:r>
    </w:p>
    <w:p>
      <w:pPr>
        <w:pStyle w:val="11"/>
        <w:numPr>
          <w:ilvl w:val="0"/>
          <w:numId w:val="2"/>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11"/>
        <w:numPr>
          <w:ilvl w:val="0"/>
          <w:numId w:val="2"/>
        </w:numPr>
        <w:tabs>
          <w:tab w:val="left" w:pos="420"/>
        </w:tabs>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11"/>
        <w:numPr>
          <w:ilvl w:val="0"/>
          <w:numId w:val="2"/>
        </w:numPr>
        <w:tabs>
          <w:tab w:val="left" w:pos="420"/>
        </w:tabs>
        <w:spacing w:line="360" w:lineRule="auto"/>
        <w:ind w:firstLine="480"/>
        <w:rPr>
          <w:rFonts w:ascii="宋体" w:hAnsi="宋体"/>
          <w:sz w:val="24"/>
        </w:rPr>
      </w:pPr>
      <w:r>
        <w:rPr>
          <w:rFonts w:hint="eastAsia" w:ascii="宋体" w:hAnsi="宋体"/>
          <w:sz w:val="24"/>
        </w:rPr>
        <w:t>不接受联合体报价。</w:t>
      </w:r>
    </w:p>
    <w:p>
      <w:pPr>
        <w:pStyle w:val="11"/>
        <w:numPr>
          <w:ilvl w:val="0"/>
          <w:numId w:val="3"/>
        </w:numPr>
        <w:spacing w:line="360" w:lineRule="auto"/>
        <w:ind w:left="0" w:firstLine="480"/>
        <w:rPr>
          <w:rFonts w:ascii="宋体" w:hAnsi="宋体"/>
          <w:sz w:val="24"/>
        </w:rPr>
      </w:pPr>
      <w:r>
        <w:rPr>
          <w:rFonts w:hint="eastAsia" w:ascii="宋体" w:hAnsi="宋体"/>
          <w:sz w:val="24"/>
        </w:rPr>
        <w:t>费用、支付方式及货期。</w:t>
      </w:r>
    </w:p>
    <w:p>
      <w:pPr>
        <w:pStyle w:val="11"/>
        <w:numPr>
          <w:ilvl w:val="0"/>
          <w:numId w:val="4"/>
        </w:numPr>
        <w:spacing w:line="360" w:lineRule="auto"/>
        <w:ind w:firstLine="480"/>
        <w:rPr>
          <w:rFonts w:ascii="宋体" w:hAnsi="宋体"/>
          <w:sz w:val="24"/>
        </w:rPr>
      </w:pPr>
      <w:r>
        <w:rPr>
          <w:rFonts w:hint="eastAsia" w:ascii="宋体" w:hAnsi="宋体"/>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pStyle w:val="11"/>
        <w:numPr>
          <w:ilvl w:val="0"/>
          <w:numId w:val="4"/>
        </w:numPr>
        <w:spacing w:line="360" w:lineRule="auto"/>
        <w:ind w:firstLine="480"/>
        <w:rPr>
          <w:rFonts w:ascii="宋体" w:hAnsi="宋体"/>
          <w:sz w:val="24"/>
        </w:rPr>
      </w:pPr>
      <w:r>
        <w:rPr>
          <w:rFonts w:hint="eastAsia" w:ascii="宋体" w:hAnsi="宋体"/>
          <w:sz w:val="24"/>
        </w:rPr>
        <w:t>付款方式：</w:t>
      </w:r>
    </w:p>
    <w:p>
      <w:pPr>
        <w:pStyle w:val="11"/>
        <w:tabs>
          <w:tab w:val="left" w:pos="420"/>
        </w:tabs>
        <w:spacing w:line="360" w:lineRule="auto"/>
        <w:ind w:firstLineChars="0"/>
        <w:rPr>
          <w:rFonts w:ascii="宋体" w:hAnsi="宋体"/>
          <w:sz w:val="24"/>
        </w:rPr>
      </w:pPr>
      <w:r>
        <w:rPr>
          <w:rFonts w:hint="eastAsia" w:ascii="宋体" w:hAnsi="宋体"/>
          <w:sz w:val="24"/>
        </w:rPr>
        <w:t>采购清单中各项全部货物货到现场并经双方验收合格签字和收到供方相关的技术资料后15天内支付至结算价的97%款项，同时余下结算价的3%作为质保金，质保期为1年，质保期满供方履行完质保期义务后付清余款。付款前供方开具相应金额增值税(含13%增值税)专用发票给需方。</w:t>
      </w:r>
    </w:p>
    <w:p>
      <w:pPr>
        <w:pStyle w:val="11"/>
        <w:numPr>
          <w:ilvl w:val="0"/>
          <w:numId w:val="4"/>
        </w:numPr>
        <w:spacing w:line="360" w:lineRule="auto"/>
        <w:ind w:firstLine="480"/>
        <w:rPr>
          <w:rFonts w:ascii="宋体" w:hAnsi="宋体"/>
          <w:sz w:val="24"/>
        </w:rPr>
      </w:pPr>
      <w:r>
        <w:rPr>
          <w:rFonts w:hint="eastAsia" w:ascii="宋体" w:hAnsi="宋体"/>
          <w:sz w:val="24"/>
        </w:rPr>
        <w:t>货期：按照供应商报价响应所承诺的货期</w:t>
      </w:r>
      <w:r>
        <w:rPr>
          <w:rFonts w:hint="eastAsia"/>
          <w:sz w:val="24"/>
        </w:rPr>
        <w:t>将</w:t>
      </w:r>
      <w:r>
        <w:rPr>
          <w:rFonts w:hint="eastAsia" w:ascii="宋体" w:hAnsi="宋体"/>
          <w:sz w:val="24"/>
        </w:rPr>
        <w:t>货物安全、完整、按时</w:t>
      </w:r>
      <w:r>
        <w:rPr>
          <w:rFonts w:hint="eastAsia"/>
          <w:sz w:val="24"/>
        </w:rPr>
        <w:t>送货到</w:t>
      </w:r>
      <w:r>
        <w:rPr>
          <w:rFonts w:hint="eastAsia" w:ascii="宋体" w:hAnsi="宋体"/>
          <w:sz w:val="24"/>
        </w:rPr>
        <w:t>采购人指定地点，货期最长不超过2个月</w:t>
      </w:r>
      <w:r>
        <w:rPr>
          <w:rFonts w:ascii="宋体" w:hAnsi="宋体"/>
          <w:sz w:val="24"/>
        </w:rPr>
        <w:t>。</w:t>
      </w:r>
    </w:p>
    <w:p>
      <w:pPr>
        <w:pStyle w:val="11"/>
        <w:numPr>
          <w:ilvl w:val="0"/>
          <w:numId w:val="4"/>
        </w:numPr>
        <w:spacing w:line="360" w:lineRule="auto"/>
        <w:ind w:firstLine="480"/>
        <w:rPr>
          <w:rFonts w:ascii="宋体" w:hAnsi="宋体"/>
          <w:sz w:val="24"/>
        </w:rPr>
      </w:pPr>
      <w:r>
        <w:rPr>
          <w:rFonts w:hint="eastAsia" w:ascii="宋体" w:hAnsi="宋体"/>
          <w:sz w:val="24"/>
        </w:rPr>
        <w:t>送货地点：广州大学城外环东路137号超算分布式能源站</w:t>
      </w:r>
    </w:p>
    <w:p>
      <w:pPr>
        <w:spacing w:line="360" w:lineRule="auto"/>
        <w:ind w:firstLine="480" w:firstLineChars="200"/>
        <w:rPr>
          <w:rFonts w:ascii="宋体" w:hAnsi="宋体"/>
          <w:sz w:val="24"/>
        </w:rPr>
      </w:pPr>
      <w:r>
        <w:rPr>
          <w:rFonts w:hint="eastAsia" w:ascii="宋体" w:hAnsi="宋体"/>
          <w:sz w:val="24"/>
        </w:rPr>
        <w:t>四、报价响应要求</w:t>
      </w:r>
    </w:p>
    <w:p>
      <w:pPr>
        <w:pStyle w:val="11"/>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pPr>
        <w:pStyle w:val="11"/>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pPr>
        <w:pStyle w:val="11"/>
        <w:spacing w:line="360" w:lineRule="auto"/>
        <w:ind w:firstLine="480"/>
        <w:rPr>
          <w:rFonts w:ascii="宋体" w:hAnsi="宋体"/>
          <w:sz w:val="24"/>
        </w:rPr>
      </w:pPr>
      <w:r>
        <w:rPr>
          <w:rFonts w:hint="eastAsia" w:ascii="宋体" w:hAnsi="宋体"/>
          <w:sz w:val="24"/>
        </w:rPr>
        <w:t>五、投标文件</w:t>
      </w:r>
    </w:p>
    <w:p>
      <w:pPr>
        <w:pStyle w:val="11"/>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1"/>
        <w:numPr>
          <w:ilvl w:val="0"/>
          <w:numId w:val="6"/>
        </w:numPr>
        <w:spacing w:line="360" w:lineRule="auto"/>
        <w:ind w:firstLine="480"/>
        <w:rPr>
          <w:rFonts w:ascii="宋体" w:hAnsi="宋体"/>
          <w:sz w:val="24"/>
        </w:rPr>
      </w:pPr>
      <w:r>
        <w:rPr>
          <w:rFonts w:hint="eastAsia" w:ascii="宋体" w:hAnsi="宋体"/>
          <w:sz w:val="24"/>
        </w:rPr>
        <w:t>价格文件（格式见附件2，加盖公章）</w:t>
      </w:r>
    </w:p>
    <w:p>
      <w:pPr>
        <w:numPr>
          <w:ilvl w:val="0"/>
          <w:numId w:val="7"/>
        </w:numPr>
        <w:spacing w:line="360" w:lineRule="auto"/>
        <w:ind w:firstLine="480" w:firstLineChars="200"/>
        <w:rPr>
          <w:rFonts w:ascii="宋体" w:hAnsi="宋体"/>
          <w:sz w:val="24"/>
        </w:rPr>
      </w:pPr>
      <w:r>
        <w:rPr>
          <w:rFonts w:hint="eastAsia" w:ascii="宋体" w:hAnsi="宋体"/>
          <w:sz w:val="24"/>
        </w:rPr>
        <w:t>报价明细表</w:t>
      </w:r>
    </w:p>
    <w:p>
      <w:pPr>
        <w:pStyle w:val="11"/>
        <w:numPr>
          <w:ilvl w:val="0"/>
          <w:numId w:val="6"/>
        </w:numPr>
        <w:spacing w:line="360" w:lineRule="auto"/>
        <w:ind w:firstLine="480"/>
        <w:rPr>
          <w:rFonts w:ascii="宋体" w:hAnsi="宋体"/>
          <w:sz w:val="24"/>
        </w:rPr>
      </w:pPr>
      <w:r>
        <w:rPr>
          <w:rFonts w:hint="eastAsia" w:ascii="宋体" w:hAnsi="宋体"/>
          <w:sz w:val="24"/>
        </w:rPr>
        <w:t>商务部分</w:t>
      </w:r>
    </w:p>
    <w:p>
      <w:pPr>
        <w:pStyle w:val="11"/>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11"/>
        <w:numPr>
          <w:ilvl w:val="0"/>
          <w:numId w:val="8"/>
        </w:numPr>
        <w:spacing w:line="360" w:lineRule="auto"/>
        <w:ind w:left="0" w:firstLine="480"/>
        <w:rPr>
          <w:rFonts w:ascii="宋体" w:hAnsi="宋体"/>
          <w:sz w:val="24"/>
        </w:rPr>
      </w:pPr>
      <w:r>
        <w:rPr>
          <w:rFonts w:hint="eastAsia" w:ascii="宋体" w:hAnsi="宋体"/>
          <w:sz w:val="24"/>
        </w:rPr>
        <w:t>供应商调查表（格式见附件4）。</w:t>
      </w:r>
    </w:p>
    <w:p>
      <w:pPr>
        <w:pStyle w:val="11"/>
        <w:numPr>
          <w:ilvl w:val="0"/>
          <w:numId w:val="8"/>
        </w:numPr>
        <w:spacing w:line="360" w:lineRule="auto"/>
        <w:ind w:left="0" w:firstLine="480"/>
        <w:rPr>
          <w:rFonts w:ascii="宋体" w:hAnsi="宋体"/>
          <w:sz w:val="24"/>
        </w:rPr>
      </w:pPr>
      <w:r>
        <w:rPr>
          <w:rFonts w:hint="eastAsia" w:ascii="宋体" w:hAnsi="宋体"/>
          <w:sz w:val="24"/>
        </w:rPr>
        <w:t>实质性要求响应表（格式见附件5）。</w:t>
      </w:r>
    </w:p>
    <w:p>
      <w:pPr>
        <w:pStyle w:val="11"/>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pPr>
        <w:pStyle w:val="11"/>
        <w:numPr>
          <w:ilvl w:val="0"/>
          <w:numId w:val="6"/>
        </w:numPr>
        <w:spacing w:line="360" w:lineRule="auto"/>
        <w:ind w:firstLine="480"/>
        <w:rPr>
          <w:rFonts w:ascii="宋体" w:hAnsi="宋体"/>
          <w:sz w:val="24"/>
        </w:rPr>
      </w:pPr>
      <w:r>
        <w:rPr>
          <w:rFonts w:hint="eastAsia" w:ascii="宋体" w:hAnsi="宋体"/>
          <w:sz w:val="24"/>
        </w:rPr>
        <w:t>技术部分（如有，格式自定，加盖公章）</w:t>
      </w:r>
    </w:p>
    <w:p>
      <w:pPr>
        <w:pStyle w:val="11"/>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11"/>
        <w:numPr>
          <w:ilvl w:val="255"/>
          <w:numId w:val="0"/>
        </w:numPr>
        <w:spacing w:line="360" w:lineRule="auto"/>
        <w:ind w:left="420" w:leftChars="200"/>
        <w:rPr>
          <w:rFonts w:ascii="宋体" w:hAnsi="宋体"/>
          <w:sz w:val="24"/>
        </w:rPr>
      </w:pPr>
      <w:r>
        <w:rPr>
          <w:rFonts w:hint="eastAsia" w:ascii="宋体" w:hAnsi="宋体"/>
          <w:sz w:val="24"/>
        </w:rPr>
        <w:t>1、总体实施方案；</w:t>
      </w:r>
    </w:p>
    <w:p>
      <w:pPr>
        <w:pStyle w:val="11"/>
        <w:numPr>
          <w:ilvl w:val="255"/>
          <w:numId w:val="0"/>
        </w:numPr>
        <w:spacing w:line="360" w:lineRule="auto"/>
        <w:ind w:left="420" w:leftChars="200"/>
        <w:rPr>
          <w:rFonts w:ascii="宋体" w:hAnsi="宋体"/>
          <w:sz w:val="24"/>
        </w:rPr>
      </w:pPr>
      <w:r>
        <w:rPr>
          <w:rFonts w:hint="eastAsia" w:ascii="宋体" w:hAnsi="宋体"/>
          <w:sz w:val="24"/>
        </w:rPr>
        <w:t>2、实施进度计划和工期承诺书；</w:t>
      </w:r>
    </w:p>
    <w:p>
      <w:pPr>
        <w:pStyle w:val="11"/>
        <w:numPr>
          <w:ilvl w:val="255"/>
          <w:numId w:val="0"/>
        </w:numPr>
        <w:spacing w:line="360" w:lineRule="auto"/>
        <w:ind w:left="420" w:leftChars="200"/>
        <w:rPr>
          <w:rFonts w:ascii="宋体" w:hAnsi="宋体"/>
          <w:sz w:val="24"/>
        </w:rPr>
      </w:pPr>
      <w:r>
        <w:rPr>
          <w:rFonts w:hint="eastAsia" w:ascii="宋体" w:hAnsi="宋体"/>
          <w:sz w:val="24"/>
        </w:rPr>
        <w:t>3、确保实施进度的技术和组织措施；</w:t>
      </w:r>
    </w:p>
    <w:p>
      <w:pPr>
        <w:pStyle w:val="11"/>
        <w:numPr>
          <w:ilvl w:val="255"/>
          <w:numId w:val="0"/>
        </w:numPr>
        <w:spacing w:line="360" w:lineRule="auto"/>
        <w:ind w:left="420" w:leftChars="200"/>
        <w:rPr>
          <w:rFonts w:ascii="宋体" w:hAnsi="宋体"/>
          <w:sz w:val="24"/>
        </w:rPr>
      </w:pPr>
      <w:r>
        <w:rPr>
          <w:rFonts w:hint="eastAsia" w:ascii="宋体" w:hAnsi="宋体"/>
          <w:sz w:val="24"/>
        </w:rPr>
        <w:t>4、确保安全文明施工的技术和组织措施；</w:t>
      </w:r>
    </w:p>
    <w:p>
      <w:pPr>
        <w:pStyle w:val="11"/>
        <w:numPr>
          <w:ilvl w:val="255"/>
          <w:numId w:val="0"/>
        </w:numPr>
        <w:spacing w:line="360" w:lineRule="auto"/>
        <w:ind w:left="420" w:leftChars="200"/>
        <w:rPr>
          <w:rFonts w:ascii="宋体" w:hAnsi="宋体"/>
          <w:sz w:val="24"/>
        </w:rPr>
      </w:pPr>
      <w:r>
        <w:rPr>
          <w:rFonts w:hint="eastAsia" w:ascii="宋体" w:hAnsi="宋体"/>
          <w:sz w:val="24"/>
        </w:rPr>
        <w:t>5、投入的人员配置情况；</w:t>
      </w:r>
    </w:p>
    <w:p>
      <w:pPr>
        <w:pStyle w:val="11"/>
        <w:numPr>
          <w:ilvl w:val="255"/>
          <w:numId w:val="0"/>
        </w:numPr>
        <w:spacing w:line="360" w:lineRule="auto"/>
        <w:ind w:left="420" w:leftChars="200"/>
        <w:rPr>
          <w:rFonts w:ascii="宋体" w:hAnsi="宋体"/>
          <w:sz w:val="24"/>
        </w:rPr>
      </w:pPr>
      <w:r>
        <w:rPr>
          <w:rFonts w:hint="eastAsia" w:ascii="宋体" w:hAnsi="宋体"/>
          <w:sz w:val="24"/>
        </w:rPr>
        <w:t>6、供应商认为其它需要说明的文字。</w:t>
      </w:r>
    </w:p>
    <w:p>
      <w:pPr>
        <w:spacing w:line="360" w:lineRule="auto"/>
        <w:ind w:firstLine="480" w:firstLineChars="200"/>
        <w:rPr>
          <w:rFonts w:ascii="宋体" w:hAnsi="宋体"/>
          <w:sz w:val="24"/>
        </w:rPr>
      </w:pPr>
      <w:r>
        <w:rPr>
          <w:rFonts w:hint="eastAsia" w:ascii="宋体" w:hAnsi="宋体"/>
          <w:sz w:val="24"/>
        </w:rPr>
        <w:t>六、评标方法：</w:t>
      </w:r>
    </w:p>
    <w:p>
      <w:pPr>
        <w:spacing w:line="360" w:lineRule="auto"/>
        <w:ind w:firstLine="480" w:firstLineChars="200"/>
        <w:rPr>
          <w:rFonts w:ascii="宋体" w:hAnsi="宋体"/>
          <w:sz w:val="24"/>
        </w:rPr>
      </w:pPr>
      <w:r>
        <w:rPr>
          <w:rFonts w:hint="eastAsia" w:ascii="宋体" w:hAnsi="宋体"/>
          <w:sz w:val="24"/>
        </w:rPr>
        <w:t>本项目采取经评审的最低价投标法。通过资格性和有效性审查表（附件5）后，各供应商按照有效投标报价由低到高的顺序依次排列，排名第一的供应商为第一中标候选人。报价相同的由评委会随机抽取确定。</w:t>
      </w:r>
    </w:p>
    <w:p>
      <w:pPr>
        <w:spacing w:line="360" w:lineRule="auto"/>
        <w:ind w:firstLine="482" w:firstLineChars="200"/>
        <w:rPr>
          <w:rFonts w:ascii="宋体" w:hAnsi="宋体"/>
          <w:b/>
          <w:sz w:val="24"/>
        </w:rPr>
      </w:pPr>
      <w:r>
        <w:rPr>
          <w:rFonts w:hint="eastAsia" w:ascii="宋体" w:hAnsi="宋体"/>
          <w:b/>
          <w:sz w:val="24"/>
        </w:rPr>
        <w:t>七、递交投标文件</w:t>
      </w:r>
    </w:p>
    <w:p>
      <w:pPr>
        <w:spacing w:line="360" w:lineRule="auto"/>
        <w:ind w:firstLine="480" w:firstLineChars="200"/>
        <w:rPr>
          <w:rFonts w:ascii="宋体" w:hAnsi="宋体"/>
          <w:sz w:val="24"/>
        </w:rPr>
      </w:pPr>
      <w:r>
        <w:rPr>
          <w:rFonts w:hint="eastAsia" w:ascii="宋体" w:hAnsi="宋体"/>
          <w:sz w:val="24"/>
        </w:rPr>
        <w:t xml:space="preserve">（一）投标文件递交截止时间：2021年3月 </w:t>
      </w:r>
      <w:r>
        <w:rPr>
          <w:rFonts w:hint="eastAsia" w:ascii="宋体" w:hAnsi="宋体"/>
          <w:sz w:val="24"/>
          <w:lang w:val="en-US" w:eastAsia="zh-CN"/>
        </w:rPr>
        <w:t>31</w:t>
      </w:r>
      <w:r>
        <w:rPr>
          <w:rFonts w:hint="eastAsia" w:ascii="宋体" w:hAnsi="宋体"/>
          <w:sz w:val="24"/>
        </w:rPr>
        <w:t xml:space="preserve"> 日北京时间17时0分前。以密封的形式提供投标文件到：广州大学城外环东路137号超算分布式能源站。</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采用邮寄方式的，应在邮寄外包装袋上注明“2021年备品备件采购”字样。投标供应商递交投标文件后，请联系采购人确认。</w:t>
      </w:r>
    </w:p>
    <w:p>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pPr>
        <w:spacing w:line="360" w:lineRule="auto"/>
        <w:ind w:firstLine="480" w:firstLineChars="200"/>
        <w:rPr>
          <w:rFonts w:ascii="宋体" w:hAnsi="宋体"/>
          <w:sz w:val="24"/>
        </w:rPr>
      </w:pPr>
      <w:r>
        <w:rPr>
          <w:rFonts w:hint="eastAsia" w:ascii="宋体" w:hAnsi="宋体"/>
          <w:sz w:val="24"/>
        </w:rPr>
        <w:t>八、采购人地址和联系方式</w:t>
      </w:r>
    </w:p>
    <w:p>
      <w:pPr>
        <w:pStyle w:val="14"/>
        <w:numPr>
          <w:ilvl w:val="0"/>
          <w:numId w:val="9"/>
        </w:numPr>
        <w:spacing w:line="360" w:lineRule="auto"/>
        <w:ind w:firstLineChars="0"/>
        <w:rPr>
          <w:rFonts w:ascii="宋体" w:hAnsi="宋体"/>
          <w:sz w:val="24"/>
        </w:rPr>
      </w:pPr>
      <w:r>
        <w:rPr>
          <w:rFonts w:hint="eastAsia" w:ascii="宋体" w:hAnsi="宋体"/>
          <w:sz w:val="24"/>
        </w:rPr>
        <w:t>采购单位：广州市超算分布式能源投资有限公司</w:t>
      </w:r>
    </w:p>
    <w:p>
      <w:pPr>
        <w:pStyle w:val="14"/>
        <w:numPr>
          <w:ilvl w:val="0"/>
          <w:numId w:val="9"/>
        </w:numPr>
        <w:spacing w:line="360" w:lineRule="auto"/>
        <w:ind w:firstLineChars="0"/>
        <w:rPr>
          <w:rFonts w:ascii="宋体" w:hAnsi="宋体"/>
          <w:sz w:val="24"/>
        </w:rPr>
      </w:pPr>
      <w:r>
        <w:rPr>
          <w:rFonts w:hint="eastAsia" w:ascii="宋体" w:hAnsi="宋体"/>
          <w:sz w:val="24"/>
        </w:rPr>
        <w:t>联系地址：广州大学城外环东路137号超算分布式能源站</w:t>
      </w:r>
    </w:p>
    <w:p>
      <w:pPr>
        <w:pStyle w:val="11"/>
        <w:numPr>
          <w:ilvl w:val="0"/>
          <w:numId w:val="9"/>
        </w:numPr>
        <w:spacing w:line="360" w:lineRule="auto"/>
        <w:ind w:firstLineChars="0"/>
        <w:rPr>
          <w:rFonts w:ascii="宋体" w:hAnsi="宋体"/>
          <w:sz w:val="24"/>
        </w:rPr>
      </w:pPr>
      <w:r>
        <w:rPr>
          <w:rFonts w:hint="eastAsia" w:ascii="宋体" w:hAnsi="宋体"/>
          <w:sz w:val="24"/>
        </w:rPr>
        <w:t>联系人：李俊杰 ，联系电话：18188801291，电子邮件：30673103@qq.com</w:t>
      </w:r>
    </w:p>
    <w:p>
      <w:pPr>
        <w:pStyle w:val="11"/>
        <w:spacing w:line="360" w:lineRule="auto"/>
        <w:ind w:firstLine="480"/>
        <w:rPr>
          <w:rFonts w:ascii="宋体" w:hAnsi="宋体"/>
          <w:sz w:val="24"/>
        </w:rPr>
      </w:pPr>
      <w:r>
        <w:rPr>
          <w:rFonts w:hint="eastAsia" w:ascii="宋体" w:hAnsi="宋体"/>
          <w:sz w:val="24"/>
        </w:rPr>
        <w:t>附件1、采购需求</w:t>
      </w:r>
    </w:p>
    <w:p>
      <w:pPr>
        <w:pStyle w:val="11"/>
        <w:spacing w:line="360" w:lineRule="auto"/>
        <w:ind w:firstLine="480"/>
        <w:rPr>
          <w:rFonts w:ascii="宋体" w:hAnsi="宋体"/>
          <w:sz w:val="24"/>
        </w:rPr>
      </w:pPr>
      <w:r>
        <w:rPr>
          <w:rFonts w:hint="eastAsia" w:ascii="宋体" w:hAnsi="宋体"/>
          <w:sz w:val="24"/>
        </w:rPr>
        <w:t>附件2、报价明细表</w:t>
      </w:r>
    </w:p>
    <w:p>
      <w:pPr>
        <w:pStyle w:val="11"/>
        <w:spacing w:line="360" w:lineRule="auto"/>
        <w:ind w:firstLine="480"/>
        <w:rPr>
          <w:rFonts w:ascii="宋体" w:hAnsi="宋体"/>
          <w:sz w:val="24"/>
        </w:rPr>
      </w:pPr>
      <w:r>
        <w:rPr>
          <w:rFonts w:hint="eastAsia" w:ascii="宋体" w:hAnsi="宋体"/>
          <w:sz w:val="24"/>
        </w:rPr>
        <w:t>附件3、供应商调查表</w:t>
      </w:r>
    </w:p>
    <w:p>
      <w:pPr>
        <w:pStyle w:val="11"/>
        <w:spacing w:line="360" w:lineRule="auto"/>
        <w:ind w:firstLine="480"/>
        <w:rPr>
          <w:rFonts w:ascii="宋体" w:hAnsi="宋体"/>
          <w:sz w:val="24"/>
        </w:rPr>
      </w:pPr>
      <w:r>
        <w:rPr>
          <w:rFonts w:hint="eastAsia" w:ascii="宋体" w:hAnsi="宋体"/>
          <w:sz w:val="24"/>
        </w:rPr>
        <w:t>附件4、实质性要求响应表</w:t>
      </w:r>
    </w:p>
    <w:p>
      <w:pPr>
        <w:pStyle w:val="11"/>
        <w:spacing w:line="360" w:lineRule="auto"/>
        <w:ind w:firstLine="480"/>
        <w:rPr>
          <w:rFonts w:ascii="宋体" w:hAnsi="宋体"/>
          <w:sz w:val="24"/>
        </w:rPr>
      </w:pPr>
      <w:r>
        <w:rPr>
          <w:rFonts w:hint="eastAsia" w:ascii="宋体" w:hAnsi="宋体"/>
          <w:sz w:val="24"/>
        </w:rPr>
        <w:t>附件5、资格性和有效性审查表</w:t>
      </w:r>
      <w:bookmarkStart w:id="0" w:name="_GoBack"/>
      <w:bookmarkEnd w:id="0"/>
    </w:p>
    <w:p>
      <w:pPr>
        <w:pStyle w:val="11"/>
        <w:spacing w:line="360" w:lineRule="auto"/>
        <w:ind w:firstLine="480"/>
        <w:rPr>
          <w:rFonts w:ascii="宋体" w:hAnsi="宋体"/>
          <w:sz w:val="24"/>
        </w:rPr>
      </w:pPr>
    </w:p>
    <w:p>
      <w:pPr>
        <w:pStyle w:val="11"/>
        <w:spacing w:line="360" w:lineRule="auto"/>
        <w:ind w:firstLine="480"/>
        <w:jc w:val="center"/>
        <w:rPr>
          <w:rFonts w:ascii="宋体" w:hAnsi="宋体"/>
          <w:sz w:val="24"/>
        </w:rPr>
      </w:pPr>
      <w:r>
        <w:rPr>
          <w:rFonts w:hint="eastAsia" w:ascii="宋体" w:hAnsi="宋体"/>
          <w:sz w:val="24"/>
        </w:rPr>
        <w:t xml:space="preserve">             采购人：广州市超算分布式能源投资有限公司</w:t>
      </w:r>
    </w:p>
    <w:p>
      <w:pPr>
        <w:pStyle w:val="11"/>
        <w:spacing w:line="360" w:lineRule="auto"/>
        <w:ind w:right="960" w:firstLine="4260" w:firstLineChars="1775"/>
        <w:rPr>
          <w:rFonts w:ascii="宋体" w:hAnsi="宋体"/>
          <w:sz w:val="24"/>
        </w:rPr>
      </w:pPr>
      <w:r>
        <w:rPr>
          <w:rFonts w:hint="eastAsia" w:ascii="宋体" w:hAnsi="宋体"/>
          <w:sz w:val="24"/>
        </w:rPr>
        <w:t>2021年3月1</w:t>
      </w:r>
      <w:r>
        <w:rPr>
          <w:rFonts w:hint="eastAsia" w:ascii="宋体" w:hAnsi="宋体"/>
          <w:sz w:val="24"/>
          <w:lang w:val="en-US" w:eastAsia="zh-CN"/>
        </w:rPr>
        <w:t>6</w:t>
      </w:r>
      <w:r>
        <w:rPr>
          <w:rFonts w:hint="eastAsia" w:ascii="宋体" w:hAnsi="宋体"/>
          <w:sz w:val="24"/>
        </w:rPr>
        <w:t>日</w:t>
      </w:r>
    </w:p>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spacing w:line="360" w:lineRule="auto"/>
        <w:jc w:val="center"/>
        <w:rPr>
          <w:rFonts w:ascii="宋体" w:hAnsi="宋体"/>
          <w:sz w:val="32"/>
        </w:rPr>
      </w:pPr>
      <w:r>
        <w:rPr>
          <w:rFonts w:hint="eastAsia" w:ascii="宋体" w:hAnsi="宋体"/>
          <w:sz w:val="32"/>
        </w:rPr>
        <w:t>采购需求</w:t>
      </w:r>
    </w:p>
    <w:p>
      <w:pPr>
        <w:numPr>
          <w:ilvl w:val="0"/>
          <w:numId w:val="10"/>
        </w:numPr>
        <w:tabs>
          <w:tab w:val="left" w:pos="420"/>
        </w:tabs>
        <w:spacing w:line="360" w:lineRule="auto"/>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rPr>
      </w:pPr>
      <w:r>
        <w:rPr>
          <w:rFonts w:hint="eastAsia" w:ascii="宋体" w:hAnsi="宋体"/>
          <w:sz w:val="24"/>
        </w:rPr>
        <w:t>资质要求</w:t>
      </w:r>
    </w:p>
    <w:p>
      <w:pPr>
        <w:numPr>
          <w:ilvl w:val="255"/>
          <w:numId w:val="0"/>
        </w:numPr>
        <w:tabs>
          <w:tab w:val="left" w:pos="420"/>
        </w:tabs>
        <w:spacing w:line="360" w:lineRule="auto"/>
        <w:ind w:left="420" w:leftChars="200"/>
        <w:rPr>
          <w:sz w:val="24"/>
        </w:rPr>
      </w:pPr>
      <w:r>
        <w:rPr>
          <w:rFonts w:hint="eastAsia" w:ascii="宋体" w:hAnsi="宋体"/>
          <w:sz w:val="24"/>
        </w:rPr>
        <w:t>（无）</w:t>
      </w:r>
    </w:p>
    <w:p>
      <w:pPr>
        <w:numPr>
          <w:ilvl w:val="0"/>
          <w:numId w:val="10"/>
        </w:numPr>
        <w:tabs>
          <w:tab w:val="left" w:pos="420"/>
        </w:tabs>
        <w:spacing w:line="360" w:lineRule="auto"/>
        <w:ind w:left="420" w:leftChars="200" w:firstLine="0"/>
        <w:rPr>
          <w:sz w:val="24"/>
        </w:rPr>
      </w:pPr>
      <w:r>
        <w:rPr>
          <w:rFonts w:hint="eastAsia" w:ascii="宋体" w:hAnsi="宋体"/>
          <w:sz w:val="24"/>
        </w:rPr>
        <w:t>业绩要求</w:t>
      </w:r>
    </w:p>
    <w:p>
      <w:pPr>
        <w:spacing w:line="360" w:lineRule="auto"/>
        <w:ind w:firstLine="480" w:firstLineChars="200"/>
        <w:rPr>
          <w:rFonts w:ascii="宋体" w:hAnsi="宋体"/>
          <w:sz w:val="24"/>
        </w:rPr>
      </w:pPr>
      <w:r>
        <w:rPr>
          <w:rFonts w:hint="eastAsia" w:ascii="宋体" w:hAnsi="宋体"/>
          <w:sz w:val="24"/>
        </w:rPr>
        <w:t>（无）</w:t>
      </w:r>
    </w:p>
    <w:p>
      <w:pPr>
        <w:numPr>
          <w:ilvl w:val="0"/>
          <w:numId w:val="10"/>
        </w:numPr>
        <w:tabs>
          <w:tab w:val="left" w:pos="420"/>
        </w:tabs>
        <w:spacing w:line="360" w:lineRule="auto"/>
        <w:ind w:left="420" w:leftChars="200" w:firstLine="0"/>
        <w:rPr>
          <w:sz w:val="24"/>
        </w:rPr>
      </w:pPr>
      <w:r>
        <w:rPr>
          <w:rFonts w:hint="eastAsia" w:ascii="宋体" w:hAnsi="宋体"/>
          <w:sz w:val="24"/>
        </w:rPr>
        <w:t>需求内容</w:t>
      </w:r>
    </w:p>
    <w:p>
      <w:pPr>
        <w:numPr>
          <w:ilvl w:val="0"/>
          <w:numId w:val="11"/>
        </w:numPr>
        <w:tabs>
          <w:tab w:val="left" w:pos="420"/>
        </w:tabs>
        <w:spacing w:line="360" w:lineRule="auto"/>
        <w:rPr>
          <w:sz w:val="24"/>
        </w:rPr>
      </w:pPr>
      <w:r>
        <w:rPr>
          <w:rFonts w:hint="eastAsia" w:ascii="宋体" w:hAnsi="宋体"/>
          <w:sz w:val="24"/>
        </w:rPr>
        <w:t>2021年备品备件采购清单</w:t>
      </w:r>
    </w:p>
    <w:tbl>
      <w:tblPr>
        <w:tblStyle w:val="9"/>
        <w:tblW w:w="9355" w:type="dxa"/>
        <w:tblInd w:w="0" w:type="dxa"/>
        <w:tblLayout w:type="fixed"/>
        <w:tblCellMar>
          <w:top w:w="0" w:type="dxa"/>
          <w:left w:w="108" w:type="dxa"/>
          <w:bottom w:w="0" w:type="dxa"/>
          <w:right w:w="108" w:type="dxa"/>
        </w:tblCellMar>
      </w:tblPr>
      <w:tblGrid>
        <w:gridCol w:w="676"/>
        <w:gridCol w:w="1991"/>
        <w:gridCol w:w="1169"/>
        <w:gridCol w:w="2896"/>
        <w:gridCol w:w="844"/>
        <w:gridCol w:w="709"/>
        <w:gridCol w:w="1070"/>
      </w:tblGrid>
      <w:tr>
        <w:tblPrEx>
          <w:tblLayout w:type="fixed"/>
          <w:tblCellMar>
            <w:top w:w="0" w:type="dxa"/>
            <w:left w:w="108" w:type="dxa"/>
            <w:bottom w:w="0" w:type="dxa"/>
            <w:right w:w="108" w:type="dxa"/>
          </w:tblCellMar>
        </w:tblPrEx>
        <w:trPr>
          <w:trHeight w:val="675" w:hRule="atLeast"/>
        </w:trPr>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9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产品名称</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品牌</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rPr>
          <w:trHeight w:val="558" w:hRule="atLeast"/>
        </w:trPr>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真空泵油</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四方</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GS-1，3.5kg/桶</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桶</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24</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真空泵用</w:t>
            </w:r>
          </w:p>
        </w:tc>
      </w:tr>
      <w:tr>
        <w:tblPrEx>
          <w:tblLayout w:type="fixed"/>
          <w:tblCellMar>
            <w:top w:w="0" w:type="dxa"/>
            <w:left w:w="108" w:type="dxa"/>
            <w:bottom w:w="0" w:type="dxa"/>
            <w:right w:w="108" w:type="dxa"/>
          </w:tblCellMar>
        </w:tblPrEx>
        <w:trPr>
          <w:trHeight w:val="521" w:hRule="atLeast"/>
        </w:trPr>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2</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三角皮带</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pP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 xml:space="preserve">SPB-4250LW                </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条</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64</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风机用</w:t>
            </w:r>
          </w:p>
        </w:tc>
      </w:tr>
      <w:tr>
        <w:tblPrEx>
          <w:tblLayout w:type="fixed"/>
          <w:tblCellMar>
            <w:top w:w="0" w:type="dxa"/>
            <w:left w:w="108" w:type="dxa"/>
            <w:bottom w:w="0" w:type="dxa"/>
            <w:right w:w="108" w:type="dxa"/>
          </w:tblCellMar>
        </w:tblPrEx>
        <w:trPr>
          <w:trHeight w:val="521" w:hRule="atLeast"/>
        </w:trPr>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3</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膨胀节</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PN16 DN150（耐高温橡胶）</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管道用</w:t>
            </w:r>
          </w:p>
        </w:tc>
      </w:tr>
      <w:tr>
        <w:tblPrEx>
          <w:tblLayout w:type="fixed"/>
          <w:tblCellMar>
            <w:top w:w="0" w:type="dxa"/>
            <w:left w:w="108" w:type="dxa"/>
            <w:bottom w:w="0" w:type="dxa"/>
            <w:right w:w="108" w:type="dxa"/>
          </w:tblCellMar>
        </w:tblPrEx>
        <w:trPr>
          <w:trHeight w:val="521" w:hRule="atLeast"/>
        </w:trPr>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排气管补偿器</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 xml:space="preserve">曼海姆 </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                                   1228 2362     </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燃机用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5</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压差监控器                                            </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 xml:space="preserve">曼海姆 </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                                   1240 4274</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燃机用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6</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转速传感器</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 xml:space="preserve">曼海姆 </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1232 2054  </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燃机用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7</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防腐蚀添加剂</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 加德士（18L/桶)    </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 加德士（18L/桶)</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22</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燃机用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8</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电机散热风扇</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华达</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华达 G180A</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5</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电机用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9</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执行机构  </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上仪牌</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上仪牌14AI  系列号SR99397 </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电动阀门用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火花塞                          </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曼海姆 </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12282839</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16</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燃机用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11</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水塔自动补水阀</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上海宝福阀门</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H742X   PN1.6Mpa  DN200</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12</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脱硝柜温控调节器</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威图</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SK3110</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13</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脱硝柜散热扇</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威图</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DV4650-470</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14</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机械密封</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KSB</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433机械密封</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15</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高压室绝缘橡胶垫</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3mm厚</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米</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60</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16</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缸盖罩</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曼海姆</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12281912</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17</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水分离器     </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曼海姆</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12282890</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18</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燃机系统控制器的电池</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曼海姆</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M4T32-BR12SH6</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19</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交流接触器</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CJX1-45/22  220v </w:t>
            </w:r>
          </w:p>
        </w:tc>
        <w:tc>
          <w:tcPr>
            <w:tcW w:w="844"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20</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声光报警器（防爆型）</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利达</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LD1001EN</w:t>
            </w:r>
          </w:p>
        </w:tc>
        <w:tc>
          <w:tcPr>
            <w:tcW w:w="844"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21</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                                               消火栓报警按钮（防爆型</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利达</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 xml:space="preserve">LD2004EH </w:t>
            </w:r>
          </w:p>
        </w:tc>
        <w:tc>
          <w:tcPr>
            <w:tcW w:w="844"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22</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主控制室玻璃门缓闭器</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23</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排污泵控制面板</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东方泵业</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DFK-QA2</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块</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w:t>
            </w:r>
          </w:p>
        </w:tc>
        <w:tc>
          <w:tcPr>
            <w:tcW w:w="1070" w:type="dxa"/>
            <w:tcBorders>
              <w:top w:val="single" w:color="auto" w:sz="4" w:space="0"/>
              <w:left w:val="nil"/>
              <w:bottom w:val="single" w:color="auto" w:sz="4" w:space="0"/>
              <w:right w:val="single" w:color="auto" w:sz="4" w:space="0"/>
              <w:tl2br w:val="nil"/>
              <w:tr2bl w:val="nil"/>
            </w:tcBorders>
            <w:vAlign w:val="center"/>
          </w:tcPr>
          <w:p>
            <w:pPr>
              <w:jc w:val="center"/>
            </w:pP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24</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防锈漆</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桶</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25</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灰色面漆</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桶</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26</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油漆稀释剂</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桶</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27</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防爆灯</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盏</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柴油机房用</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28</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Style w:val="19"/>
                <w:rFonts w:hint="default"/>
              </w:rPr>
              <w:t>油漆滚筒</w:t>
            </w:r>
            <w:r>
              <w:rPr>
                <w:rStyle w:val="20"/>
                <w:rFonts w:eastAsia="宋体"/>
              </w:rPr>
              <w:t>9</w:t>
            </w:r>
            <w:r>
              <w:rPr>
                <w:rStyle w:val="19"/>
                <w:rFonts w:hint="default"/>
              </w:rPr>
              <w:t>寸</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29</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Style w:val="19"/>
                <w:rFonts w:hint="default"/>
              </w:rPr>
              <w:t>油漆滚筒</w:t>
            </w:r>
            <w:r>
              <w:rPr>
                <w:rStyle w:val="20"/>
                <w:rFonts w:eastAsia="宋体"/>
              </w:rPr>
              <w:t>4</w:t>
            </w:r>
            <w:r>
              <w:rPr>
                <w:rStyle w:val="19"/>
                <w:rFonts w:hint="default"/>
              </w:rPr>
              <w:t>寸</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30</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Style w:val="19"/>
                <w:rFonts w:hint="default"/>
              </w:rPr>
              <w:t>油漆刷</w:t>
            </w:r>
            <w:r>
              <w:rPr>
                <w:rStyle w:val="20"/>
                <w:rFonts w:eastAsia="宋体"/>
              </w:rPr>
              <w:t>1</w:t>
            </w:r>
            <w:r>
              <w:rPr>
                <w:rStyle w:val="19"/>
                <w:rFonts w:hint="default"/>
              </w:rPr>
              <w:t>寸</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把</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31</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Style w:val="19"/>
                <w:rFonts w:hint="default"/>
              </w:rPr>
              <w:t>油漆刷</w:t>
            </w:r>
            <w:r>
              <w:rPr>
                <w:rStyle w:val="20"/>
                <w:rFonts w:eastAsia="宋体"/>
              </w:rPr>
              <w:t>2</w:t>
            </w:r>
            <w:r>
              <w:rPr>
                <w:rStyle w:val="19"/>
                <w:rFonts w:hint="default"/>
              </w:rPr>
              <w:t>寸</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把</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32</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Style w:val="19"/>
                <w:rFonts w:hint="default"/>
              </w:rPr>
              <w:t>油漆刷</w:t>
            </w:r>
            <w:r>
              <w:rPr>
                <w:rStyle w:val="20"/>
                <w:rFonts w:eastAsia="宋体"/>
              </w:rPr>
              <w:t>4</w:t>
            </w:r>
            <w:r>
              <w:rPr>
                <w:rStyle w:val="19"/>
                <w:rFonts w:hint="default"/>
              </w:rPr>
              <w:t>寸</w:t>
            </w:r>
          </w:p>
        </w:tc>
        <w:tc>
          <w:tcPr>
            <w:tcW w:w="1169"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把</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10</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冷却塔防腐</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33</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Style w:val="19"/>
                <w:rFonts w:hint="default"/>
              </w:rPr>
              <w:t>燃机房防爆免维护</w:t>
            </w:r>
            <w:r>
              <w:rPr>
                <w:rStyle w:val="20"/>
                <w:rFonts w:eastAsia="宋体"/>
              </w:rPr>
              <w:t>LED</w:t>
            </w:r>
            <w:r>
              <w:rPr>
                <w:rStyle w:val="19"/>
                <w:rFonts w:hint="default"/>
              </w:rPr>
              <w:t>泛光灯</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新黎明科创控股有限公司</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BZD188-02  220V 120W</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盏</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4</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燃机房</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34</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PVC堵帽</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联塑</w:t>
            </w:r>
          </w:p>
        </w:tc>
        <w:tc>
          <w:tcPr>
            <w:tcW w:w="289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DN75</w:t>
            </w: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个</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拆除旧水管</w:t>
            </w:r>
          </w:p>
        </w:tc>
      </w:tr>
      <w:tr>
        <w:tblPrEx>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35</w:t>
            </w:r>
          </w:p>
        </w:tc>
        <w:tc>
          <w:tcPr>
            <w:tcW w:w="19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胶水</w:t>
            </w:r>
          </w:p>
        </w:tc>
        <w:tc>
          <w:tcPr>
            <w:tcW w:w="116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联塑</w:t>
            </w:r>
          </w:p>
        </w:tc>
        <w:tc>
          <w:tcPr>
            <w:tcW w:w="2896" w:type="dxa"/>
            <w:tcBorders>
              <w:top w:val="single" w:color="auto" w:sz="4" w:space="0"/>
              <w:left w:val="nil"/>
              <w:bottom w:val="single" w:color="auto" w:sz="4" w:space="0"/>
              <w:right w:val="single" w:color="auto" w:sz="4" w:space="0"/>
              <w:tl2br w:val="nil"/>
              <w:tr2bl w:val="nil"/>
            </w:tcBorders>
            <w:vAlign w:val="center"/>
          </w:tcPr>
          <w:p>
            <w:pPr>
              <w:jc w:val="center"/>
              <w:rPr>
                <w:sz w:val="22"/>
                <w:szCs w:val="22"/>
              </w:rPr>
            </w:pPr>
          </w:p>
        </w:tc>
        <w:tc>
          <w:tcPr>
            <w:tcW w:w="844"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瓶</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sz w:val="22"/>
                <w:szCs w:val="22"/>
              </w:rPr>
            </w:pPr>
            <w:r>
              <w:rPr>
                <w:rFonts w:hint="eastAsia" w:ascii="宋体" w:hAnsi="宋体" w:eastAsia="宋体" w:cs="宋体"/>
                <w:color w:val="000000"/>
                <w:kern w:val="0"/>
                <w:szCs w:val="21"/>
              </w:rPr>
              <w:t>1</w:t>
            </w:r>
          </w:p>
        </w:tc>
        <w:tc>
          <w:tcPr>
            <w:tcW w:w="1070"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pPr>
            <w:r>
              <w:rPr>
                <w:rFonts w:hint="eastAsia" w:ascii="宋体" w:hAnsi="宋体" w:eastAsia="宋体" w:cs="宋体"/>
                <w:color w:val="000000"/>
                <w:kern w:val="0"/>
                <w:szCs w:val="21"/>
              </w:rPr>
              <w:t>拆除旧水管</w:t>
            </w:r>
          </w:p>
        </w:tc>
      </w:tr>
    </w:tbl>
    <w:p>
      <w:pPr>
        <w:spacing w:line="360" w:lineRule="auto"/>
        <w:rPr>
          <w:sz w:val="24"/>
        </w:rPr>
      </w:pPr>
    </w:p>
    <w:p>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rPr>
      </w:pPr>
      <w:r>
        <w:rPr>
          <w:rFonts w:hint="eastAsia" w:ascii="宋体" w:hAnsi="宋体"/>
          <w:sz w:val="24"/>
        </w:rPr>
        <w:t>特别说明</w:t>
      </w:r>
    </w:p>
    <w:p>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1.需送货至指定地点：广州大学城外环东路137号超算分布式能源站</w:t>
      </w:r>
    </w:p>
    <w:p>
      <w:pPr>
        <w:tabs>
          <w:tab w:val="left" w:pos="420"/>
        </w:tabs>
        <w:spacing w:line="360" w:lineRule="auto"/>
        <w:ind w:firstLine="480" w:firstLineChars="200"/>
        <w:rPr>
          <w:rFonts w:ascii="宋体" w:hAnsi="宋体"/>
          <w:sz w:val="24"/>
        </w:rPr>
      </w:pPr>
      <w:r>
        <w:rPr>
          <w:rFonts w:hint="eastAsia" w:ascii="宋体" w:hAnsi="宋体"/>
          <w:sz w:val="24"/>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rPr>
      </w:pPr>
      <w:r>
        <w:rPr>
          <w:rFonts w:hint="eastAsia" w:ascii="宋体" w:hAnsi="宋体"/>
          <w:sz w:val="24"/>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rPr>
      </w:pPr>
      <w:r>
        <w:rPr>
          <w:rFonts w:hint="eastAsia" w:ascii="宋体" w:hAnsi="宋体"/>
          <w:sz w:val="24"/>
        </w:rPr>
        <w:t>4.到货日期：按照供应商报价响应所承诺的货期将货物安全、完整、按时送货到采购人指定地点。货物货期最长不超过2</w:t>
      </w:r>
      <w:r>
        <w:rPr>
          <w:rFonts w:ascii="宋体" w:hAnsi="宋体"/>
          <w:sz w:val="24"/>
        </w:rPr>
        <w:t>个</w:t>
      </w:r>
      <w:r>
        <w:rPr>
          <w:rFonts w:hint="eastAsia" w:ascii="宋体" w:hAnsi="宋体"/>
          <w:sz w:val="24"/>
        </w:rPr>
        <w:t>月。如果采购人认为供应商报价响应所承诺的到货日期不能满足要求，可视为无效报价。</w:t>
      </w:r>
    </w:p>
    <w:p>
      <w:pPr>
        <w:numPr>
          <w:ilvl w:val="0"/>
          <w:numId w:val="11"/>
        </w:numPr>
        <w:tabs>
          <w:tab w:val="left" w:pos="420"/>
        </w:tabs>
        <w:spacing w:line="360" w:lineRule="auto"/>
        <w:rPr>
          <w:rFonts w:ascii="宋体" w:hAnsi="宋体"/>
          <w:sz w:val="24"/>
        </w:rPr>
      </w:pPr>
      <w:r>
        <w:rPr>
          <w:rFonts w:hint="eastAsia" w:ascii="宋体" w:hAnsi="宋体"/>
          <w:sz w:val="24"/>
        </w:rPr>
        <w:t>包装和装运</w:t>
      </w:r>
    </w:p>
    <w:p>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rPr>
      </w:pPr>
      <w:r>
        <w:rPr>
          <w:rFonts w:hint="eastAsia" w:ascii="宋体" w:hAnsi="宋体"/>
          <w:sz w:val="24"/>
        </w:rPr>
        <w:t>验收要求</w:t>
      </w:r>
    </w:p>
    <w:p>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一次合格率大于</w:t>
      </w:r>
      <w:r>
        <w:rPr>
          <w:rFonts w:ascii="宋体" w:hAnsi="宋体"/>
          <w:sz w:val="24"/>
        </w:rPr>
        <w:t>98%。</w:t>
      </w:r>
    </w:p>
    <w:p>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处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17"/>
        </w:numPr>
        <w:tabs>
          <w:tab w:val="left" w:pos="420"/>
        </w:tabs>
        <w:spacing w:line="360" w:lineRule="auto"/>
        <w:rPr>
          <w:rFonts w:ascii="宋体" w:hAnsi="宋体"/>
          <w:sz w:val="24"/>
        </w:rPr>
      </w:pPr>
      <w:r>
        <w:rPr>
          <w:rFonts w:hint="eastAsia" w:ascii="宋体" w:hAnsi="宋体"/>
          <w:sz w:val="24"/>
        </w:rPr>
        <w:t>★付款方式：采购清单各项全部货物货到现场并经双方验收合格签字和收到供方相关的技术资料后15天内支付至结算价的97%款项，同时余下结算价的3%作为质保金，质保期为1年，质保期满供方履行完质保期义务后付清余款。付款前供方开具相应金额增值税(含13%增值税)专用发票给需方。</w:t>
      </w:r>
    </w:p>
    <w:p>
      <w:pPr>
        <w:numPr>
          <w:ilvl w:val="0"/>
          <w:numId w:val="17"/>
        </w:numPr>
        <w:tabs>
          <w:tab w:val="left" w:pos="420"/>
        </w:tabs>
        <w:spacing w:line="360" w:lineRule="auto"/>
        <w:rPr>
          <w:rFonts w:ascii="宋体" w:hAnsi="宋体"/>
          <w:sz w:val="24"/>
        </w:rPr>
      </w:pPr>
      <w:r>
        <w:rPr>
          <w:rFonts w:hint="eastAsia" w:ascii="宋体" w:hAnsi="宋体"/>
          <w:sz w:val="24"/>
        </w:rPr>
        <w:t>违约责任</w:t>
      </w:r>
    </w:p>
    <w:p>
      <w:pPr>
        <w:numPr>
          <w:ilvl w:val="0"/>
          <w:numId w:val="18"/>
        </w:numPr>
        <w:tabs>
          <w:tab w:val="left" w:pos="420"/>
        </w:tabs>
        <w:spacing w:line="360" w:lineRule="auto"/>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pPr>
        <w:spacing w:line="360" w:lineRule="auto"/>
        <w:rPr>
          <w:rFonts w:ascii="宋体" w:hAnsi="宋体"/>
        </w:rPr>
      </w:pPr>
    </w:p>
    <w:p>
      <w:pPr>
        <w:spacing w:line="360" w:lineRule="auto"/>
        <w:rPr>
          <w:rFonts w:ascii="宋体" w:hAnsi="宋体"/>
        </w:rPr>
      </w:pPr>
    </w:p>
    <w:p>
      <w:pPr>
        <w:widowControl/>
        <w:jc w:val="left"/>
        <w:rPr>
          <w:rFonts w:ascii="宋体" w:hAnsi="宋体"/>
        </w:rPr>
      </w:pPr>
      <w:r>
        <w:rPr>
          <w:rFonts w:ascii="宋体" w:hAnsi="宋体"/>
        </w:rPr>
        <w:br w:type="page"/>
      </w:r>
    </w:p>
    <w:p>
      <w:pPr>
        <w:widowControl/>
        <w:jc w:val="left"/>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报价明细表</w:t>
      </w:r>
    </w:p>
    <w:p>
      <w:pPr>
        <w:spacing w:line="360" w:lineRule="auto"/>
        <w:rPr>
          <w:rFonts w:ascii="宋体" w:hAnsi="宋体"/>
        </w:rPr>
      </w:pPr>
      <w:r>
        <w:rPr>
          <w:rFonts w:hint="eastAsia" w:ascii="宋体" w:hAnsi="宋体"/>
        </w:rPr>
        <w:t>项目名称：2021年备品备件采购采购</w:t>
      </w:r>
    </w:p>
    <w:p>
      <w:pPr>
        <w:spacing w:line="360" w:lineRule="auto"/>
      </w:pPr>
      <w:r>
        <w:rPr>
          <w:rFonts w:hint="eastAsia" w:ascii="宋体" w:hAnsi="宋体"/>
        </w:rPr>
        <w:t xml:space="preserve">          </w:t>
      </w:r>
    </w:p>
    <w:tbl>
      <w:tblPr>
        <w:tblStyle w:val="9"/>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kern w:val="0"/>
                <w:sz w:val="24"/>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r>
              <w:rPr>
                <w:rFonts w:hint="eastAsia" w:ascii="宋体" w:hAnsi="宋体"/>
                <w:kern w:val="0"/>
                <w:sz w:val="24"/>
              </w:rPr>
              <w:t>未含税：</w:t>
            </w:r>
          </w:p>
          <w:p>
            <w:pPr>
              <w:widowControl/>
              <w:jc w:val="left"/>
              <w:rPr>
                <w:rFonts w:ascii="宋体" w:hAnsi="宋体"/>
                <w:kern w:val="0"/>
                <w:sz w:val="24"/>
              </w:rPr>
            </w:pPr>
            <w:r>
              <w:rPr>
                <w:rFonts w:hint="eastAsia" w:ascii="宋体" w:hAnsi="宋体"/>
                <w:kern w:val="0"/>
                <w:sz w:val="24"/>
              </w:rPr>
              <w:t>含税：</w:t>
            </w:r>
          </w:p>
        </w:tc>
      </w:tr>
    </w:tbl>
    <w:p>
      <w:pPr>
        <w:spacing w:line="360" w:lineRule="auto"/>
        <w:rPr>
          <w:sz w:val="24"/>
        </w:rPr>
      </w:pPr>
      <w:r>
        <w:rPr>
          <w:rFonts w:hint="eastAsia"/>
          <w:sz w:val="24"/>
        </w:rPr>
        <w:t>说明：</w:t>
      </w:r>
    </w:p>
    <w:p>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19"/>
        </w:numPr>
        <w:spacing w:line="360" w:lineRule="auto"/>
        <w:jc w:val="left"/>
        <w:rPr>
          <w:rFonts w:ascii="宋体" w:hAnsi="宋体"/>
          <w:sz w:val="24"/>
        </w:rPr>
      </w:pPr>
      <w:r>
        <w:rPr>
          <w:rFonts w:hint="eastAsia" w:ascii="宋体" w:hAnsi="宋体"/>
          <w:sz w:val="24"/>
        </w:rPr>
        <w:t>本</w:t>
      </w:r>
      <w:r>
        <w:rPr>
          <w:rFonts w:hint="eastAsia" w:ascii="宋体" w:hAnsi="宋体"/>
          <w:kern w:val="0"/>
          <w:sz w:val="24"/>
        </w:rPr>
        <w:t>项目</w:t>
      </w:r>
      <w:r>
        <w:rPr>
          <w:rFonts w:hint="eastAsia" w:ascii="宋体" w:hAnsi="宋体"/>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spacing w:line="360" w:lineRule="auto"/>
        <w:rPr>
          <w:rFonts w:ascii="宋体" w:hAnsi="宋体"/>
          <w:sz w:val="24"/>
        </w:rPr>
      </w:pPr>
      <w:r>
        <w:rPr>
          <w:rFonts w:hint="eastAsia"/>
          <w:sz w:val="24"/>
        </w:rPr>
        <w:t>报价有效期：</w:t>
      </w: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p>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pPr>
        <w:widowControl/>
        <w:jc w:val="center"/>
        <w:rPr>
          <w:rFonts w:ascii="宋体" w:hAnsi="宋体" w:eastAsia="宋体" w:cs="宋体"/>
          <w:kern w:val="0"/>
          <w:sz w:val="24"/>
        </w:rPr>
      </w:pPr>
      <w:r>
        <w:rPr>
          <w:rFonts w:hint="eastAsia" w:ascii="宋体" w:hAnsi="宋体" w:eastAsia="宋体" w:cs="宋体"/>
          <w:kern w:val="0"/>
          <w:sz w:val="24"/>
        </w:rPr>
        <w:t>(设备材料类)</w:t>
      </w:r>
    </w:p>
    <w:p>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rPr>
        <w:t>2021年备品备件采购采购</w:t>
      </w:r>
    </w:p>
    <w:tbl>
      <w:tblPr>
        <w:tblStyle w:val="9"/>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rPr>
            </w:pPr>
            <w:r>
              <w:br w:type="page"/>
            </w:r>
          </w:p>
          <w:p>
            <w:pPr>
              <w:widowControl/>
              <w:ind w:firstLine="1200" w:firstLineChars="500"/>
              <w:jc w:val="left"/>
              <w:rPr>
                <w:rFonts w:ascii="宋体" w:hAnsi="宋体" w:eastAsia="宋体" w:cs="宋体"/>
                <w:kern w:val="0"/>
                <w:sz w:val="24"/>
              </w:rPr>
            </w:pPr>
            <w:r>
              <w:rPr>
                <w:rFonts w:hint="eastAsia" w:ascii="宋体" w:hAnsi="宋体" w:eastAsia="宋体" w:cs="宋体"/>
                <w:kern w:val="0"/>
                <w:sz w:val="24"/>
              </w:rPr>
              <w:t>供应商：（公章）</w:t>
            </w:r>
          </w:p>
          <w:p>
            <w:pPr>
              <w:widowControl/>
              <w:ind w:firstLine="1200" w:firstLineChars="500"/>
              <w:jc w:val="left"/>
              <w:rPr>
                <w:rFonts w:ascii="宋体" w:hAnsi="宋体" w:eastAsia="宋体" w:cs="宋体"/>
                <w:kern w:val="0"/>
                <w:sz w:val="24"/>
              </w:rPr>
            </w:pPr>
          </w:p>
          <w:p>
            <w:pPr>
              <w:widowControl/>
              <w:ind w:firstLine="1200" w:firstLineChars="500"/>
              <w:jc w:val="left"/>
              <w:rPr>
                <w:rFonts w:ascii="宋体" w:hAnsi="宋体" w:eastAsia="宋体" w:cs="宋体"/>
                <w:kern w:val="0"/>
                <w:szCs w:val="21"/>
              </w:rPr>
            </w:pP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tc>
      </w:tr>
    </w:tbl>
    <w:p>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rPr>
      </w:pPr>
      <w:r>
        <w:rPr>
          <w:rFonts w:hint="eastAsia" w:ascii="宋体" w:hAnsi="宋体"/>
          <w:sz w:val="32"/>
        </w:rPr>
        <w:t>附件4</w:t>
      </w:r>
    </w:p>
    <w:p>
      <w:pPr>
        <w:pStyle w:val="2"/>
        <w:spacing w:line="360" w:lineRule="auto"/>
        <w:jc w:val="center"/>
        <w:rPr>
          <w:rFonts w:ascii="宋体" w:hAnsi="宋体"/>
          <w:b/>
          <w:sz w:val="30"/>
        </w:rPr>
      </w:pPr>
      <w:r>
        <w:rPr>
          <w:rFonts w:hint="eastAsia" w:ascii="宋体" w:hAnsi="宋体"/>
          <w:b/>
          <w:sz w:val="30"/>
        </w:rPr>
        <w:t>★实质性要求响应表</w:t>
      </w:r>
    </w:p>
    <w:p>
      <w:pPr>
        <w:spacing w:line="360" w:lineRule="auto"/>
        <w:ind w:left="1050" w:hanging="1050" w:hangingChars="500"/>
        <w:rPr>
          <w:rFonts w:ascii="宋体" w:hAnsi="宋体"/>
        </w:rPr>
      </w:pPr>
      <w:r>
        <w:rPr>
          <w:rFonts w:hint="eastAsia" w:ascii="宋体" w:hAnsi="宋体"/>
        </w:rPr>
        <w:t>项目名称：2021年备品备件采购采购</w:t>
      </w:r>
    </w:p>
    <w:tbl>
      <w:tblPr>
        <w:tblStyle w:val="9"/>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rPr>
            </w:pPr>
            <w:r>
              <w:rPr>
                <w:rFonts w:hint="eastAsia" w:ascii="宋体" w:hAnsi="宋体"/>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rPr>
            </w:pPr>
            <w:r>
              <w:rPr>
                <w:rFonts w:hint="eastAsia" w:ascii="宋体" w:hAnsi="宋体"/>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r>
              <w:rPr>
                <w:rFonts w:ascii="宋体" w:hAnsi="宋体"/>
                <w:sz w:val="18"/>
                <w:szCs w:val="18"/>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18"/>
                <w:szCs w:val="18"/>
              </w:rPr>
              <w:t>（包括关税、增值税专用发票等）</w:t>
            </w:r>
            <w:r>
              <w:rPr>
                <w:rFonts w:hint="eastAsia" w:ascii="宋体" w:hAnsi="宋体"/>
                <w:sz w:val="18"/>
                <w:szCs w:val="18"/>
              </w:rPr>
              <w:t>、质保期服务、采购实施过程中不可预见费用</w:t>
            </w:r>
            <w:r>
              <w:rPr>
                <w:rFonts w:hint="eastAsia" w:ascii="宋体" w:hAnsi="宋体"/>
                <w:kern w:val="0"/>
                <w:sz w:val="18"/>
                <w:szCs w:val="18"/>
              </w:rPr>
              <w:t>以及与设备有关的特殊要求等完成本合同工作所需的所有费用</w:t>
            </w:r>
            <w:r>
              <w:rPr>
                <w:rFonts w:hint="eastAsia" w:ascii="宋体" w:hAnsi="宋体"/>
                <w:sz w:val="18"/>
                <w:szCs w:val="18"/>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rPr>
            </w:pPr>
          </w:p>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r>
              <w:rPr>
                <w:rFonts w:ascii="宋体" w:hAnsi="宋体"/>
                <w:sz w:val="18"/>
                <w:szCs w:val="18"/>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pPr>
              <w:spacing w:line="36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四、需求内容（七）</w:t>
            </w:r>
            <w:r>
              <w:rPr>
                <w:rFonts w:ascii="宋体" w:hAnsi="宋体"/>
                <w:sz w:val="18"/>
                <w:szCs w:val="18"/>
              </w:rPr>
              <w:t>2、</w:t>
            </w:r>
            <w:r>
              <w:rPr>
                <w:rFonts w:hint="eastAsia" w:ascii="宋体" w:hAnsi="宋体"/>
                <w:sz w:val="18"/>
                <w:szCs w:val="18"/>
              </w:rPr>
              <w:t>★采购清单货物的质保期最少为到货验收合格之日起1年（不少于1年）。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采购清单中各项全部货物货到现场并经双方验收合格签字和收到供方相关的技术资料后15天内支付至结算价的97%款项，同时余下结算价的3%作为质保金，质保期为1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105" w:firstLineChars="50"/>
        <w:rPr>
          <w:rFonts w:ascii="宋体" w:hAnsi="宋体"/>
          <w:u w:val="single"/>
        </w:rPr>
      </w:pPr>
      <w:r>
        <w:rPr>
          <w:rFonts w:hint="eastAsia" w:ascii="宋体" w:hAnsi="宋体"/>
        </w:rPr>
        <w:t xml:space="preserve">                                              供应商名称（盖公章）：</w:t>
      </w:r>
    </w:p>
    <w:p>
      <w:pPr>
        <w:spacing w:line="360" w:lineRule="auto"/>
        <w:ind w:firstLine="4935" w:firstLineChars="2350"/>
        <w:rPr>
          <w:rFonts w:ascii="宋体" w:hAnsi="宋体"/>
          <w:sz w:val="32"/>
        </w:rPr>
      </w:pPr>
      <w:r>
        <w:rPr>
          <w:rFonts w:hint="eastAsia" w:ascii="宋体" w:hAnsi="宋体"/>
        </w:rPr>
        <w:t>日    期：2021年  月 日</w:t>
      </w:r>
    </w:p>
    <w:p>
      <w:pPr>
        <w:widowControl/>
        <w:jc w:val="center"/>
        <w:rPr>
          <w:rFonts w:ascii="宋体" w:hAnsi="宋体"/>
          <w:b/>
          <w:sz w:val="32"/>
        </w:rPr>
      </w:pPr>
      <w:r>
        <w:rPr>
          <w:rFonts w:ascii="宋体" w:hAnsi="宋体"/>
          <w:sz w:val="32"/>
        </w:rPr>
        <w:br w:type="page"/>
      </w:r>
    </w:p>
    <w:p>
      <w:pPr>
        <w:adjustRightInd w:val="0"/>
        <w:spacing w:line="460" w:lineRule="exact"/>
        <w:jc w:val="left"/>
        <w:rPr>
          <w:rFonts w:ascii="宋体" w:hAnsi="宋体"/>
          <w:b/>
          <w:sz w:val="32"/>
        </w:rPr>
      </w:pPr>
      <w:r>
        <w:rPr>
          <w:rFonts w:hint="eastAsia" w:ascii="宋体" w:hAnsi="宋体"/>
          <w:b/>
          <w:sz w:val="32"/>
        </w:rPr>
        <w:t>附件5</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420" w:leftChars="200" w:firstLine="420" w:firstLineChars="200"/>
        <w:rPr>
          <w:rFonts w:ascii="宋体" w:hAnsi="宋体"/>
        </w:rPr>
      </w:pPr>
      <w:r>
        <w:rPr>
          <w:rFonts w:hint="eastAsia" w:ascii="宋体" w:hAnsi="宋体"/>
        </w:rPr>
        <w:t>项目名称：2021年备品备件采购采购</w:t>
      </w:r>
    </w:p>
    <w:tbl>
      <w:tblPr>
        <w:tblStyle w:val="9"/>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投标总报价超过最高限价或报价畸低的（低于80%）；</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spacing w:line="360" w:lineRule="auto"/>
        <w:sectPr>
          <w:pgSz w:w="11906" w:h="16838"/>
          <w:pgMar w:top="1440" w:right="1800" w:bottom="1440" w:left="1800" w:header="851" w:footer="992" w:gutter="0"/>
          <w:cols w:space="720" w:num="1"/>
          <w:docGrid w:type="lines" w:linePitch="312" w:charSpace="0"/>
        </w:sectPr>
      </w:pPr>
    </w:p>
    <w:p>
      <w:pPr>
        <w:spacing w:line="360" w:lineRule="auto"/>
        <w:rPr>
          <w:rFonts w:ascii="宋体" w:hAnsi="宋体"/>
          <w:sz w:val="24"/>
        </w:rPr>
      </w:pPr>
    </w:p>
    <w:p>
      <w:pPr>
        <w:spacing w:line="360" w:lineRule="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3"/>
  </w:num>
  <w:num w:numId="4">
    <w:abstractNumId w:val="7"/>
  </w:num>
  <w:num w:numId="5">
    <w:abstractNumId w:val="16"/>
  </w:num>
  <w:num w:numId="6">
    <w:abstractNumId w:val="6"/>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9"/>
  </w:num>
  <w:num w:numId="17">
    <w:abstractNumId w:val="8"/>
  </w:num>
  <w:num w:numId="18">
    <w:abstractNumId w:val="0"/>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E6"/>
    <w:rsid w:val="00052324"/>
    <w:rsid w:val="00055462"/>
    <w:rsid w:val="00066EB5"/>
    <w:rsid w:val="000704AC"/>
    <w:rsid w:val="00073A1F"/>
    <w:rsid w:val="000775B8"/>
    <w:rsid w:val="0008426A"/>
    <w:rsid w:val="00084FC8"/>
    <w:rsid w:val="00092026"/>
    <w:rsid w:val="001154DB"/>
    <w:rsid w:val="00121884"/>
    <w:rsid w:val="001252F0"/>
    <w:rsid w:val="00131D18"/>
    <w:rsid w:val="001360AA"/>
    <w:rsid w:val="00150F6E"/>
    <w:rsid w:val="00151472"/>
    <w:rsid w:val="00160670"/>
    <w:rsid w:val="0016226C"/>
    <w:rsid w:val="00167995"/>
    <w:rsid w:val="00172A27"/>
    <w:rsid w:val="00177DB2"/>
    <w:rsid w:val="0019317C"/>
    <w:rsid w:val="001D06F3"/>
    <w:rsid w:val="001F3443"/>
    <w:rsid w:val="001F3FA4"/>
    <w:rsid w:val="00204CDD"/>
    <w:rsid w:val="00211957"/>
    <w:rsid w:val="00212346"/>
    <w:rsid w:val="00212DFD"/>
    <w:rsid w:val="00213918"/>
    <w:rsid w:val="002560DB"/>
    <w:rsid w:val="00282C8D"/>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69BF"/>
    <w:rsid w:val="00443DDA"/>
    <w:rsid w:val="00460C52"/>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603F0D"/>
    <w:rsid w:val="00610776"/>
    <w:rsid w:val="006133C3"/>
    <w:rsid w:val="006157FE"/>
    <w:rsid w:val="00620929"/>
    <w:rsid w:val="006326E3"/>
    <w:rsid w:val="00643C6C"/>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804AB7"/>
    <w:rsid w:val="00807B8B"/>
    <w:rsid w:val="008203A0"/>
    <w:rsid w:val="008233B6"/>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8655B"/>
    <w:rsid w:val="00A9110E"/>
    <w:rsid w:val="00A93C1E"/>
    <w:rsid w:val="00AD0A84"/>
    <w:rsid w:val="00AE07C4"/>
    <w:rsid w:val="00AE7619"/>
    <w:rsid w:val="00AF6A80"/>
    <w:rsid w:val="00B11C01"/>
    <w:rsid w:val="00B25413"/>
    <w:rsid w:val="00B3439E"/>
    <w:rsid w:val="00B35BF8"/>
    <w:rsid w:val="00B40C3B"/>
    <w:rsid w:val="00B46A1A"/>
    <w:rsid w:val="00B473E4"/>
    <w:rsid w:val="00B75F2C"/>
    <w:rsid w:val="00B92D92"/>
    <w:rsid w:val="00BC1D8F"/>
    <w:rsid w:val="00BD137E"/>
    <w:rsid w:val="00BD6859"/>
    <w:rsid w:val="00C02D4F"/>
    <w:rsid w:val="00C21B6F"/>
    <w:rsid w:val="00C24901"/>
    <w:rsid w:val="00C25A28"/>
    <w:rsid w:val="00C34E86"/>
    <w:rsid w:val="00C35BE0"/>
    <w:rsid w:val="00C65759"/>
    <w:rsid w:val="00CB3548"/>
    <w:rsid w:val="00CB6FFA"/>
    <w:rsid w:val="00CB7D96"/>
    <w:rsid w:val="00CD49B7"/>
    <w:rsid w:val="00CD5BBA"/>
    <w:rsid w:val="00CD6C03"/>
    <w:rsid w:val="00CE6AE9"/>
    <w:rsid w:val="00CF212B"/>
    <w:rsid w:val="00D05844"/>
    <w:rsid w:val="00D11328"/>
    <w:rsid w:val="00D21EBE"/>
    <w:rsid w:val="00D37D3B"/>
    <w:rsid w:val="00D404B5"/>
    <w:rsid w:val="00D4050C"/>
    <w:rsid w:val="00D56296"/>
    <w:rsid w:val="00D6111C"/>
    <w:rsid w:val="00D62037"/>
    <w:rsid w:val="00D64649"/>
    <w:rsid w:val="00D66802"/>
    <w:rsid w:val="00D771A6"/>
    <w:rsid w:val="00D81CDB"/>
    <w:rsid w:val="00D96975"/>
    <w:rsid w:val="00DA1824"/>
    <w:rsid w:val="00DA1F22"/>
    <w:rsid w:val="00DA2AA1"/>
    <w:rsid w:val="00DC4492"/>
    <w:rsid w:val="00DC67D9"/>
    <w:rsid w:val="00DD349E"/>
    <w:rsid w:val="00E312F0"/>
    <w:rsid w:val="00E31860"/>
    <w:rsid w:val="00E43FC5"/>
    <w:rsid w:val="00E467F5"/>
    <w:rsid w:val="00E474FB"/>
    <w:rsid w:val="00E560B1"/>
    <w:rsid w:val="00E8151C"/>
    <w:rsid w:val="00E933A8"/>
    <w:rsid w:val="00EC63AD"/>
    <w:rsid w:val="00ED5BEE"/>
    <w:rsid w:val="00ED5E29"/>
    <w:rsid w:val="00EE01B2"/>
    <w:rsid w:val="00F1390E"/>
    <w:rsid w:val="00F36482"/>
    <w:rsid w:val="00F5422B"/>
    <w:rsid w:val="00F56CDD"/>
    <w:rsid w:val="00F67C31"/>
    <w:rsid w:val="00FA1E8E"/>
    <w:rsid w:val="00FE22F7"/>
    <w:rsid w:val="00FF6134"/>
    <w:rsid w:val="103B7B54"/>
    <w:rsid w:val="1D486867"/>
    <w:rsid w:val="24C37BD9"/>
    <w:rsid w:val="24E1746D"/>
    <w:rsid w:val="318105E6"/>
    <w:rsid w:val="3AE87A4D"/>
    <w:rsid w:val="3B4320D1"/>
    <w:rsid w:val="3CCF0042"/>
    <w:rsid w:val="53E02240"/>
    <w:rsid w:val="55BC644E"/>
    <w:rsid w:val="5DD86938"/>
    <w:rsid w:val="6D535020"/>
    <w:rsid w:val="6F9A5A1C"/>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unhideWhenUsed/>
    <w:qFormat/>
    <w:uiPriority w:val="34"/>
    <w:pPr>
      <w:ind w:firstLine="420" w:firstLineChars="200"/>
    </w:pPr>
  </w:style>
  <w:style w:type="paragraph" w:customStyle="1" w:styleId="12">
    <w:name w:val="_Style 3"/>
    <w:basedOn w:val="1"/>
    <w:unhideWhenUsed/>
    <w:qFormat/>
    <w:uiPriority w:val="99"/>
    <w:pPr>
      <w:ind w:firstLine="420" w:firstLineChars="200"/>
    </w:pPr>
    <w:rPr>
      <w:rFonts w:ascii="Times New Roman" w:hAnsi="Times New Roman"/>
    </w:rPr>
  </w:style>
  <w:style w:type="paragraph" w:customStyle="1" w:styleId="1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4">
    <w:name w:val="List Paragraph"/>
    <w:basedOn w:val="1"/>
    <w:unhideWhenUsed/>
    <w:qFormat/>
    <w:uiPriority w:val="34"/>
    <w:pPr>
      <w:ind w:firstLine="420" w:firstLineChars="200"/>
    </w:pPr>
  </w:style>
  <w:style w:type="character" w:customStyle="1" w:styleId="15">
    <w:name w:val="批注框文本 Char"/>
    <w:basedOn w:val="7"/>
    <w:link w:val="4"/>
    <w:qFormat/>
    <w:uiPriority w:val="0"/>
    <w:rPr>
      <w:rFonts w:asciiTheme="minorHAnsi" w:hAnsiTheme="minorHAnsi" w:eastAsiaTheme="minorEastAsia" w:cstheme="minorBidi"/>
      <w:kern w:val="2"/>
      <w:sz w:val="18"/>
      <w:szCs w:val="18"/>
    </w:rPr>
  </w:style>
  <w:style w:type="character" w:customStyle="1" w:styleId="16">
    <w:name w:val="页眉 Char"/>
    <w:basedOn w:val="7"/>
    <w:link w:val="6"/>
    <w:qFormat/>
    <w:uiPriority w:val="0"/>
    <w:rPr>
      <w:rFonts w:asciiTheme="minorHAnsi" w:hAnsiTheme="minorHAnsi" w:eastAsiaTheme="minorEastAsia" w:cstheme="minorBidi"/>
      <w:kern w:val="2"/>
      <w:sz w:val="18"/>
      <w:szCs w:val="18"/>
    </w:rPr>
  </w:style>
  <w:style w:type="character" w:customStyle="1" w:styleId="17">
    <w:name w:val="xdrichtextbox2"/>
    <w:basedOn w:val="7"/>
    <w:uiPriority w:val="0"/>
    <w:rPr>
      <w:color w:val="0000FF"/>
      <w:sz w:val="18"/>
      <w:szCs w:val="18"/>
      <w:u w:val="none"/>
      <w:bdr w:val="single" w:color="DCDCDC" w:sz="8" w:space="0"/>
      <w:shd w:val="clear" w:color="auto" w:fill="FFFFFF"/>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font21"/>
    <w:basedOn w:val="7"/>
    <w:uiPriority w:val="0"/>
    <w:rPr>
      <w:rFonts w:hint="eastAsia" w:ascii="宋体" w:hAnsi="宋体" w:eastAsia="宋体" w:cs="宋体"/>
      <w:color w:val="000000"/>
      <w:sz w:val="21"/>
      <w:szCs w:val="21"/>
      <w:u w:val="none"/>
    </w:rPr>
  </w:style>
  <w:style w:type="character" w:customStyle="1" w:styleId="20">
    <w:name w:val="font11"/>
    <w:basedOn w:val="7"/>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FFC37-203B-4EFA-B778-AD6B3DFFA8CD}">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Pages>
  <Words>1251</Words>
  <Characters>7134</Characters>
  <Lines>59</Lines>
  <Paragraphs>16</Paragraphs>
  <TotalTime>9</TotalTime>
  <ScaleCrop>false</ScaleCrop>
  <LinksUpToDate>false</LinksUpToDate>
  <CharactersWithSpaces>8369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蒋明君</cp:lastModifiedBy>
  <dcterms:modified xsi:type="dcterms:W3CDTF">2021-03-18T07:09:27Z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